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3132/18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6"/>
          <w:szCs w:val="16"/>
        </w:rPr>
      </w:pPr>
      <w:r>
        <w:rPr>
          <w:rFonts w:cs="Miriam"/>
          <w:b/>
          <w:bCs/>
          <w:sz w:val="16"/>
          <w:szCs w:val="16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6"/>
          <w:szCs w:val="16"/>
        </w:rPr>
      </w:pPr>
      <w:r>
        <w:rPr>
          <w:rFonts w:cs="Miriam"/>
          <w:b/>
          <w:bCs/>
          <w:sz w:val="16"/>
          <w:szCs w:val="16"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  <w:sz w:val="16"/>
          <w:szCs w:val="16"/>
        </w:rPr>
      </w:pPr>
      <w:r>
        <w:rPr>
          <w:rFonts w:cs="Miriam"/>
          <w:b/>
          <w:bCs/>
          <w:sz w:val="16"/>
          <w:szCs w:val="16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8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פינקלשטיין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</w:t>
            </w:r>
            <w:r>
              <w:rPr>
                <w:sz w:val="24"/>
                <w:szCs w:val="24"/>
                <w:rtl w:val="true"/>
              </w:rPr>
              <w:t>.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.,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6.3.2018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15290-08-15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גלבפיש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סיימון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 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זהו מקרה חריג המצדיק התערבותו בעונש המאסר בפועל אשר 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אזרח אריתריאה אשר הורשע בחטיפה ובשתי עבירות אינוס בצוותא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והחמרתו כך שיעמוד על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היותו של המשיב שותף פעיל באונס קבוצתי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טיב העבירות והאכזריות שבה הן בוצעו ונוכח התייחסותו של המשיב כלפיהן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שותפים לעבירה – מבצע בצוותא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המדינה על גזר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במסגרתו הושתו על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אזרח אריתריאה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שני מאסרים מותנים ותשלום פיצויים למתלוננת בסך של </w:t>
      </w:r>
      <w:r>
        <w:rPr>
          <w:rFonts w:cs="Times New Roman" w:ascii="Times New Roman" w:hAnsi="Times New Roman"/>
          <w:spacing w:val="0"/>
          <w:szCs w:val="26"/>
        </w:rPr>
        <w:t>80,000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הרשעתו בעבירה של חטיפה ובשתי עבירות אינוס בצוותא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אף שלא בעל את המתלוננת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הרקע להרשעה ולעונש הוא אונס קבוצתי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מינץ ובהסכמת השופטים הנדל ושטיין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זו דרכה של ערכאת הערעור להתערב בעונש שגזרה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מקרים חריגים בהם נפלה בגזר הדין טעות מהותית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העונש שנגזר על ידי הערכאה המבררת חורג באופן ממשי מרמת הענישה המקובלת או הראויה בנסיבות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יצדיקו את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 זה נמנה על מקרים חריגים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מהטעם שעונש המאסר שהושת על המשיב מקל עמו יתר על המידה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כבר נפסק אודות החומרה הרבה הטמונה בעבירות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חומרה זו מתעצמת במקרים בהם מדובר באונס קבוצתי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 היה שותף פעיל בביצוע אונס קבוצתי ברוטאלי במתלוננת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שהתאפיין בהתנהגות אכזרית חסרת אנושיות כלפיה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שהיא שיכורה וחסרת יכולת ממשית להתנגד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 נטל חלק מרכזי ביותר בחטיפתה ואיפשר לנאשמים האחרים לבצע בה את זממם ללא הפרעות והמתין לתורו להיכנס לחדר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 מחזיק בתפישה שגויה לפיה הוא לא אנס את המתלוננת משום שלא קיים עמה יחסי מין בעצמו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ואינו מפנים את אחריותו לאינוס המתלוננת בידי חבריו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אלה צריכות לקבל משקל משמעותי בעת קביעת עונשו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כל אלה עומדת לצדו של המשיב העובדה שהוא לא קיים עם המתלוננת יחסי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לייחס לה משקל משמעותי לקולא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העובדה שהמשיב ידע שחבריו אונסים את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בכך ששמר על הדלת על מנת לאפשר למעשה האונס להימשך ושפעל באופן אקטיבי על מנת להרחיק את מַכָּרהּ של המתלוננת מהמקום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נחשב למבצע בצוותא של עבירת אינוס לכל דבר ועניין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הגם שיש להבחין בין המשיב לבין הנאשמים האחרים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ליתן להבחנה משקל כה משמעותי בעת קביעת 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קשות וחמורות של ביצוע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ליתן משקל ממשי גם לשיקולי הרתעה וגמול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לא נתן משקל מספק לשיקולים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 אינו מפנים את אחריותו למעשים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טיבן של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האכזריות שבה הן בוצעו ונוכח התייחסותו של המשיב כלפיהן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מקום להשית על המשיב עונש חמור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לב לעיקרון לפיו ערכאת הערעור אינה ממצה את מלוא חומרת הדין עם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יועמד עונש המאסר בפועל שהושת על המשיב על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רכיבי העונש יעמדו על מכונם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פינקלשטיין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.,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אמיר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6.3.2018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15290-08-15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בלילה שבין </w:t>
      </w:r>
      <w:r>
        <w:rPr/>
        <w:t>24.6.2015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25.6.2015</w:t>
      </w:r>
      <w:r>
        <w:rPr>
          <w:rtl w:val="true"/>
        </w:rPr>
        <w:t xml:space="preserve"> </w:t>
      </w:r>
      <w:r>
        <w:rPr>
          <w:rtl w:val="true"/>
        </w:rPr>
        <w:t>התקבצו המשיב</w:t>
      </w:r>
      <w:r>
        <w:rPr>
          <w:rtl w:val="true"/>
        </w:rPr>
        <w:t xml:space="preserve">, </w:t>
      </w:r>
      <w:r>
        <w:rPr>
          <w:rtl w:val="true"/>
        </w:rPr>
        <w:t>אזרח אריתר</w:t>
      </w:r>
      <w:r>
        <w:rPr>
          <w:rtl w:val="true"/>
        </w:rPr>
        <w:t>י</w:t>
      </w:r>
      <w:r>
        <w:rPr>
          <w:rtl w:val="true"/>
        </w:rPr>
        <w:t xml:space="preserve">אה יליד </w:t>
      </w:r>
      <w:r>
        <w:rPr/>
        <w:t>1992</w:t>
      </w:r>
      <w:r>
        <w:rPr>
          <w:rtl w:val="true"/>
        </w:rPr>
        <w:t xml:space="preserve">, </w:t>
      </w:r>
      <w:r>
        <w:rPr>
          <w:rtl w:val="true"/>
        </w:rPr>
        <w:t>ועוד ארבעה מחבריו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אף הם נתיני אריתר</w:t>
      </w:r>
      <w:r>
        <w:rPr>
          <w:rtl w:val="true"/>
        </w:rPr>
        <w:t>י</w:t>
      </w:r>
      <w:r>
        <w:rPr>
          <w:rtl w:val="true"/>
        </w:rPr>
        <w:t>אה</w:t>
      </w:r>
      <w:r>
        <w:rPr>
          <w:rtl w:val="true"/>
        </w:rPr>
        <w:t xml:space="preserve">, </w:t>
      </w:r>
      <w:r>
        <w:rPr>
          <w:rtl w:val="true"/>
        </w:rPr>
        <w:t>במסעדת שווארמה ב</w:t>
      </w:r>
      <w:r>
        <w:rPr>
          <w:rtl w:val="true"/>
        </w:rPr>
        <w:t xml:space="preserve">עיר </w:t>
      </w:r>
      <w:r>
        <w:rPr>
          <w:rtl w:val="true"/>
        </w:rPr>
        <w:t>ראש</w:t>
      </w:r>
      <w:r>
        <w:rPr>
          <w:rtl w:val="true"/>
        </w:rPr>
        <w:t xml:space="preserve">ון לציון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המסעדה</w:t>
      </w:r>
      <w:r>
        <w:rPr>
          <w:rFonts w:ascii="Century" w:hAnsi="Century" w:cs="Century"/>
          <w:sz w:val="22"/>
          <w:sz w:val="22"/>
          <w:rtl w:val="true"/>
        </w:rPr>
        <w:t xml:space="preserve"> בהתאמה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באותה עת שהתה במסעדה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ילידת </w:t>
      </w:r>
      <w:r>
        <w:rPr/>
        <w:t>1984</w:t>
      </w:r>
      <w:r>
        <w:rPr>
          <w:rtl w:val="true"/>
        </w:rPr>
        <w:t xml:space="preserve">, </w:t>
      </w:r>
      <w:r>
        <w:rPr>
          <w:rtl w:val="true"/>
        </w:rPr>
        <w:t xml:space="preserve">יחד עם מַכָּר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מַכָּר</w:t>
      </w:r>
      <w:r>
        <w:rPr>
          <w:rtl w:val="true"/>
        </w:rPr>
        <w:t xml:space="preserve">), </w:t>
      </w:r>
      <w:r>
        <w:rPr>
          <w:rtl w:val="true"/>
        </w:rPr>
        <w:t>לאחר ששתתה משקאות אלכוהוליים בכמות ניכרת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הנאשמים הבחינו במתלוננת ובשכרותה</w:t>
      </w:r>
      <w:r>
        <w:rPr>
          <w:rtl w:val="true"/>
        </w:rPr>
        <w:t xml:space="preserve">, </w:t>
      </w:r>
      <w:r>
        <w:rPr>
          <w:rtl w:val="true"/>
        </w:rPr>
        <w:t>ובמשך כעשר דקות התגודדו סביבה ו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אף ישב על ברכיה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בהיסח דעתו של 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tl w:val="true"/>
        </w:rPr>
        <w:t>מַכָּר</w:t>
      </w:r>
      <w:r>
        <w:rPr>
          <w:rtl w:val="true"/>
        </w:rPr>
        <w:t xml:space="preserve">, </w:t>
      </w:r>
      <w:r>
        <w:rPr>
          <w:rtl w:val="true"/>
        </w:rPr>
        <w:t xml:space="preserve">חטפו </w:t>
      </w:r>
      <w:r>
        <w:rPr>
          <w:rtl w:val="true"/>
        </w:rPr>
        <w:t>הנאשמים</w:t>
      </w:r>
      <w:r>
        <w:rPr>
          <w:rtl w:val="true"/>
        </w:rPr>
        <w:t xml:space="preserve"> </w:t>
      </w:r>
      <w:r>
        <w:rPr>
          <w:rtl w:val="true"/>
        </w:rPr>
        <w:t>את המתלוננת</w:t>
      </w:r>
      <w:r>
        <w:rPr>
          <w:rtl w:val="true"/>
        </w:rPr>
        <w:t xml:space="preserve">. </w:t>
      </w:r>
      <w:r>
        <w:rPr>
          <w:rtl w:val="true"/>
        </w:rPr>
        <w:t>הם גררו אותה בכוח ובניגוד לרצונה</w:t>
      </w:r>
      <w:r>
        <w:rPr>
          <w:rtl w:val="true"/>
        </w:rPr>
        <w:t xml:space="preserve">, </w:t>
      </w:r>
      <w:r>
        <w:rPr>
          <w:rtl w:val="true"/>
        </w:rPr>
        <w:t>כשהכרתה מעורפלת וכשלא הייתה מסוגלת להתנגד למעשים</w:t>
      </w:r>
      <w:r>
        <w:rPr>
          <w:rtl w:val="true"/>
        </w:rPr>
        <w:t xml:space="preserve">, </w:t>
      </w:r>
      <w:r>
        <w:rPr>
          <w:rtl w:val="true"/>
        </w:rPr>
        <w:t xml:space="preserve">מהמסעדה לחדרם של שניים מהם המצוי בבניין הסמוך למסעדה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החדר</w:t>
      </w:r>
      <w:r>
        <w:rPr>
          <w:rtl w:val="true"/>
        </w:rPr>
        <w:t xml:space="preserve">), </w:t>
      </w:r>
      <w:r>
        <w:rPr>
          <w:rtl w:val="true"/>
        </w:rPr>
        <w:t>כאשר המשיב היה אחד משני החוטפים והגוררים בפועל</w:t>
      </w:r>
      <w:r>
        <w:rPr>
          <w:rtl w:val="true"/>
        </w:rPr>
        <w:t xml:space="preserve">. </w:t>
      </w:r>
      <w:r>
        <w:rPr>
          <w:rtl w:val="true"/>
        </w:rPr>
        <w:t>כשנכנסו ל</w:t>
      </w:r>
      <w:r>
        <w:rPr>
          <w:rtl w:val="true"/>
        </w:rPr>
        <w:t>חדר</w:t>
      </w:r>
      <w:r>
        <w:rPr>
          <w:rtl w:val="true"/>
        </w:rPr>
        <w:t xml:space="preserve"> </w:t>
      </w:r>
      <w:r>
        <w:rPr>
          <w:rtl w:val="true"/>
        </w:rPr>
        <w:t>השכיב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 xml:space="preserve">הנאשמים את המתלוננת </w:t>
      </w:r>
      <w:r>
        <w:rPr>
          <w:rtl w:val="true"/>
        </w:rPr>
        <w:t>על מיטה</w:t>
      </w:r>
      <w:r>
        <w:rPr>
          <w:rtl w:val="true"/>
        </w:rPr>
        <w:t xml:space="preserve"> ויצאו מהחדר</w:t>
      </w:r>
      <w:r>
        <w:rPr>
          <w:rtl w:val="true"/>
        </w:rPr>
        <w:t xml:space="preserve">, </w:t>
      </w:r>
      <w:r>
        <w:rPr>
          <w:rtl w:val="true"/>
        </w:rPr>
        <w:t>כאשר בכל עת נותר אחד מהם לבדו עמה כשהדלת נעולה</w:t>
      </w:r>
      <w:r>
        <w:rPr>
          <w:rtl w:val="true"/>
        </w:rPr>
        <w:t xml:space="preserve">, </w:t>
      </w:r>
      <w:r>
        <w:rPr>
          <w:rtl w:val="true"/>
        </w:rPr>
        <w:t xml:space="preserve">והשאר נשארו בחוץ </w:t>
      </w:r>
      <w:r>
        <w:rPr>
          <w:rtl w:val="true"/>
        </w:rPr>
        <w:t>"</w:t>
      </w:r>
      <w:r>
        <w:rPr>
          <w:rtl w:val="true"/>
        </w:rPr>
        <w:t>ממתינים לתורם</w:t>
      </w:r>
      <w:r>
        <w:rPr>
          <w:rtl w:val="true"/>
        </w:rPr>
        <w:t xml:space="preserve">". </w:t>
      </w:r>
      <w:r>
        <w:rPr>
          <w:rtl w:val="true"/>
        </w:rPr>
        <w:t>בצאתו של אחד נכנס אחר במקומו</w:t>
      </w:r>
      <w:r>
        <w:rPr>
          <w:rtl w:val="true"/>
        </w:rPr>
        <w:t xml:space="preserve">. </w:t>
      </w:r>
      <w:r>
        <w:rPr>
          <w:rtl w:val="true"/>
        </w:rPr>
        <w:t>באופן זה החזיקו הנאשמים במתלוננת במשך שעה ו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שני הנאשמים שנכנסו ראשונים לחדר שהו בו למשך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דקות ו</w:t>
      </w:r>
      <w:r>
        <w:rPr>
          <w:rtl w:val="true"/>
        </w:rPr>
        <w:t>-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  <w:r>
        <w:rPr>
          <w:rtl w:val="true"/>
        </w:rPr>
        <w:t>בזמן זה השניים אנסו את המתלוננת</w:t>
      </w:r>
      <w:r>
        <w:rPr>
          <w:rtl w:val="true"/>
        </w:rPr>
        <w:t xml:space="preserve">, </w:t>
      </w:r>
      <w:r>
        <w:rPr>
          <w:rtl w:val="true"/>
        </w:rPr>
        <w:t>כל אחד בתורו</w:t>
      </w:r>
      <w:r>
        <w:rPr>
          <w:rtl w:val="true"/>
        </w:rPr>
        <w:t xml:space="preserve">, </w:t>
      </w:r>
      <w:r>
        <w:rPr>
          <w:rtl w:val="true"/>
        </w:rPr>
        <w:t xml:space="preserve">תוך שהיא צועקת בקול רם 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צילו הצילו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וצעקותיה נשמעו למרחקים</w:t>
      </w:r>
      <w:r>
        <w:rPr>
          <w:rtl w:val="true"/>
        </w:rPr>
        <w:t xml:space="preserve">. </w:t>
      </w:r>
      <w:r>
        <w:rPr>
          <w:rtl w:val="true"/>
        </w:rPr>
        <w:t>משך אותם שני מעשי אונס עמד המשיב מחוץ ובסמוך לדלת החדר</w:t>
      </w:r>
      <w:r>
        <w:rPr>
          <w:rtl w:val="true"/>
        </w:rPr>
        <w:t xml:space="preserve">, </w:t>
      </w:r>
      <w:r>
        <w:rPr>
          <w:rtl w:val="true"/>
        </w:rPr>
        <w:t xml:space="preserve">ולעיתים אף </w:t>
      </w:r>
      <w:r>
        <w:rPr>
          <w:rtl w:val="true"/>
        </w:rPr>
        <w:t>הצמיד את אוזנו לדלת ולחרך שמתחתיה</w:t>
      </w:r>
      <w:r>
        <w:rPr>
          <w:rtl w:val="true"/>
        </w:rPr>
        <w:t xml:space="preserve">. </w:t>
      </w:r>
      <w:r>
        <w:rPr>
          <w:rtl w:val="true"/>
        </w:rPr>
        <w:t xml:space="preserve">המשיב </w:t>
      </w:r>
      <w:r>
        <w:rPr>
          <w:rtl w:val="true"/>
        </w:rPr>
        <w:t xml:space="preserve">שמע את צעקות העזרה של המתלוננת וידע כי </w:t>
      </w:r>
      <w:r>
        <w:rPr>
          <w:rtl w:val="true"/>
        </w:rPr>
        <w:t xml:space="preserve">שני חבריו </w:t>
      </w:r>
      <w:r>
        <w:rPr>
          <w:rtl w:val="true"/>
        </w:rPr>
        <w:t>אונסים אותה באותה העת מעבר לדלת ה</w:t>
      </w:r>
      <w:r>
        <w:rPr>
          <w:rtl w:val="true"/>
        </w:rPr>
        <w:t>סגורה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לאחר שני הנאשמים הראשונים נכנס נאשם שלישי לחדר ושהה בו למשך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 xml:space="preserve">ולאחריו נכנס המשיב ושהה בחדר למשך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  <w:r>
        <w:rPr>
          <w:rtl w:val="true"/>
        </w:rPr>
        <w:t xml:space="preserve">בהמשך נכנס הנאשם הראשון שוב לחדר למשך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ולבסוף נכנס הנאשם החמישי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במהלך האונס הראשון ולמשמע זעקותיה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הגיע למקום 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tl w:val="true"/>
        </w:rPr>
        <w:t>מַכָּר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אך המשיב שעמד מחוץ לדלת </w:t>
      </w:r>
      <w:r>
        <w:rPr>
          <w:rtl w:val="true"/>
        </w:rPr>
        <w:t>ג</w:t>
      </w:r>
      <w:r>
        <w:rPr>
          <w:rtl w:val="true"/>
        </w:rPr>
        <w:t>י</w:t>
      </w:r>
      <w:r>
        <w:rPr>
          <w:rtl w:val="true"/>
        </w:rPr>
        <w:t>רש אותו מהמקום</w:t>
      </w:r>
      <w:r>
        <w:rPr>
          <w:rtl w:val="true"/>
        </w:rPr>
        <w:t xml:space="preserve">. </w:t>
      </w:r>
      <w:r>
        <w:rPr>
          <w:rtl w:val="true"/>
        </w:rPr>
        <w:t>בחלוף כשעה ו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דקות מרגע כליאתה</w:t>
      </w:r>
      <w:r>
        <w:rPr>
          <w:rtl w:val="true"/>
        </w:rPr>
        <w:t xml:space="preserve">, </w:t>
      </w:r>
      <w:r>
        <w:rPr>
          <w:rtl w:val="true"/>
        </w:rPr>
        <w:t xml:space="preserve">שוב שמע 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tl w:val="true"/>
        </w:rPr>
        <w:t>מַכָּר את צעקותיה והגיע בשנית לחפשֹה</w:t>
      </w:r>
      <w:r>
        <w:rPr>
          <w:rtl w:val="true"/>
        </w:rPr>
        <w:t xml:space="preserve">. </w:t>
      </w:r>
      <w:r>
        <w:rPr>
          <w:rtl w:val="true"/>
        </w:rPr>
        <w:t>משהבחין המשיב במַכָּר הוא שב על מעשיו ודחף אותו על מנת שיעזוב את המקום ולא יפריע לנאשמים בביצוע מעשיהם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tl w:val="true"/>
        </w:rPr>
        <w:t>מַכָּר סרב והתקרב לדלת החדר</w:t>
      </w:r>
      <w:r>
        <w:rPr>
          <w:rtl w:val="true"/>
        </w:rPr>
        <w:t xml:space="preserve">, </w:t>
      </w:r>
      <w:r>
        <w:rPr>
          <w:rtl w:val="true"/>
        </w:rPr>
        <w:t>ובעקבות זאת שוחררה המתלוננת ועזבה עמו את המקום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המחוזי שמע את מסכת הראיות במלואה</w:t>
      </w:r>
      <w:r>
        <w:rPr>
          <w:rtl w:val="true"/>
        </w:rPr>
        <w:t xml:space="preserve">, </w:t>
      </w:r>
      <w:r>
        <w:rPr>
          <w:rtl w:val="true"/>
        </w:rPr>
        <w:t>ובהמלצתו הגיעו באי</w:t>
      </w:r>
      <w:r>
        <w:rPr>
          <w:rtl w:val="true"/>
        </w:rPr>
        <w:t>-</w:t>
      </w:r>
      <w:r>
        <w:rPr>
          <w:rtl w:val="true"/>
        </w:rPr>
        <w:t>כוח הצדדים לרשימת מוסכמות עובדתיות שפורטה לעיל</w:t>
      </w:r>
      <w:r>
        <w:rPr>
          <w:rtl w:val="true"/>
        </w:rPr>
        <w:t xml:space="preserve">, </w:t>
      </w:r>
      <w:r>
        <w:rPr>
          <w:rtl w:val="true"/>
        </w:rPr>
        <w:t>בהן הסכמה כי המשיב לא בעל את המתלוננת</w:t>
      </w:r>
      <w:r>
        <w:rPr>
          <w:rtl w:val="true"/>
        </w:rPr>
        <w:t xml:space="preserve">. </w:t>
      </w:r>
      <w:r>
        <w:rPr>
          <w:rtl w:val="true"/>
        </w:rPr>
        <w:t>בית המשפט נדרש להכריע בשתי שאלות בלבד</w:t>
      </w:r>
      <w:r>
        <w:rPr>
          <w:rtl w:val="true"/>
        </w:rPr>
        <w:t xml:space="preserve">: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 xml:space="preserve">האם יש להרשיע את המשיב בעבירת של חטיפה לפי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 xml:space="preserve">האם יש להרשיע את המשיב בעבירה של אינוס בנסיבות מחמירות בצוותא חדא לפי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27.9.2017</w:t>
      </w:r>
      <w:r>
        <w:rPr>
          <w:rtl w:val="true"/>
        </w:rPr>
        <w:t xml:space="preserve"> </w:t>
      </w:r>
      <w:r>
        <w:rPr>
          <w:rtl w:val="true"/>
        </w:rPr>
        <w:t>ניתנה הכרעת הדין בעניינו של המשיב</w:t>
      </w:r>
      <w:r>
        <w:rPr>
          <w:rtl w:val="true"/>
        </w:rPr>
        <w:t xml:space="preserve">. </w:t>
      </w:r>
      <w:r>
        <w:rPr>
          <w:rtl w:val="true"/>
        </w:rPr>
        <w:t>תחילה קבע בית המשפט כי</w:t>
      </w:r>
      <w:r>
        <w:rPr>
          <w:rtl w:val="true"/>
        </w:rPr>
        <w:t xml:space="preserve"> המשי</w:t>
      </w:r>
      <w:r>
        <w:rPr>
          <w:rtl w:val="true"/>
        </w:rPr>
        <w:t xml:space="preserve">ב </w:t>
      </w:r>
      <w:r>
        <w:rPr>
          <w:rtl w:val="true"/>
        </w:rPr>
        <w:t>חטף את המתלוננת ביחד עם חבריו</w:t>
      </w:r>
      <w:r>
        <w:rPr>
          <w:rtl w:val="true"/>
        </w:rPr>
        <w:t xml:space="preserve">, </w:t>
      </w:r>
      <w:r>
        <w:rPr>
          <w:rtl w:val="true"/>
        </w:rPr>
        <w:t>תוך שהוא היה מודע למעשיו כמו גם לעובדה שגרירתה של המתלוננת נעשתה בכוח ובניגוד לרצונה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התקיימו הן היסוד העובדתי והן היסוד הנפשי של עבירת החטיפה</w:t>
      </w:r>
      <w:r>
        <w:rPr>
          <w:rtl w:val="true"/>
        </w:rPr>
        <w:t xml:space="preserve">. </w:t>
      </w:r>
      <w:r>
        <w:rPr>
          <w:rtl w:val="true"/>
        </w:rPr>
        <w:t>כן נקבע כי הגם שהמשיב עצמו לא בעל את המתלוננת</w:t>
      </w:r>
      <w:r>
        <w:rPr>
          <w:rtl w:val="true"/>
        </w:rPr>
        <w:t xml:space="preserve">, </w:t>
      </w:r>
      <w:r>
        <w:rPr>
          <w:rtl w:val="true"/>
        </w:rPr>
        <w:t>הוא ידע</w:t>
      </w:r>
      <w:r>
        <w:rPr>
          <w:rtl w:val="true"/>
        </w:rPr>
        <w:t xml:space="preserve">, </w:t>
      </w:r>
      <w:r>
        <w:rPr>
          <w:rtl w:val="true"/>
        </w:rPr>
        <w:t>בעמדו מחוץ לדלת החדר</w:t>
      </w:r>
      <w:r>
        <w:rPr>
          <w:rtl w:val="true"/>
        </w:rPr>
        <w:t xml:space="preserve">, </w:t>
      </w:r>
      <w:r>
        <w:rPr>
          <w:rtl w:val="true"/>
        </w:rPr>
        <w:t>כי חבריו אונסים אותה</w:t>
      </w:r>
      <w:r>
        <w:rPr>
          <w:rtl w:val="true"/>
        </w:rPr>
        <w:t xml:space="preserve">, </w:t>
      </w:r>
      <w:r>
        <w:rPr>
          <w:rtl w:val="true"/>
        </w:rPr>
        <w:t>כל אחד בתורו</w:t>
      </w:r>
      <w:r>
        <w:rPr>
          <w:rtl w:val="true"/>
        </w:rPr>
        <w:t xml:space="preserve">. </w:t>
      </w:r>
      <w:r>
        <w:rPr>
          <w:rtl w:val="true"/>
        </w:rPr>
        <w:t xml:space="preserve">הוא אף גרר את המתלוננת לחדר וסייע בהרחקת 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tl w:val="true"/>
        </w:rPr>
        <w:t>מַכָּר שבא לחפש אותה</w:t>
      </w:r>
      <w:r>
        <w:rPr>
          <w:rtl w:val="true"/>
        </w:rPr>
        <w:t xml:space="preserve">. </w:t>
      </w:r>
      <w:r>
        <w:rPr>
          <w:rtl w:val="true"/>
        </w:rPr>
        <w:t>כל האמור</w:t>
      </w:r>
      <w:r>
        <w:rPr>
          <w:rtl w:val="true"/>
        </w:rPr>
        <w:t xml:space="preserve">, </w:t>
      </w:r>
      <w:r>
        <w:rPr>
          <w:rtl w:val="true"/>
        </w:rPr>
        <w:t>כך נקבע</w:t>
      </w:r>
      <w:r>
        <w:rPr>
          <w:rtl w:val="true"/>
        </w:rPr>
        <w:t xml:space="preserve">, </w:t>
      </w:r>
      <w:r>
        <w:rPr>
          <w:rtl w:val="true"/>
        </w:rPr>
        <w:t>מצביע על כך שהמשיב היה שותף עיקרי לביצוע האונס</w:t>
      </w:r>
      <w:r>
        <w:rPr>
          <w:rtl w:val="true"/>
        </w:rPr>
        <w:t xml:space="preserve">, </w:t>
      </w:r>
      <w:r>
        <w:rPr>
          <w:rtl w:val="true"/>
        </w:rPr>
        <w:t>הן מבחינה עובדתית והן מבחינת היסוד הנפשי שלו</w:t>
      </w:r>
      <w:r>
        <w:rPr>
          <w:rtl w:val="true"/>
        </w:rPr>
        <w:t xml:space="preserve">, </w:t>
      </w:r>
      <w:r>
        <w:rPr>
          <w:rtl w:val="true"/>
        </w:rPr>
        <w:t>ולא רק בגדר מסייע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ואף על פי שלא בעל את המתלוננת בפועל</w:t>
      </w:r>
      <w:r>
        <w:rPr>
          <w:rtl w:val="true"/>
        </w:rPr>
        <w:t xml:space="preserve">, </w:t>
      </w:r>
      <w:r>
        <w:rPr>
          <w:rtl w:val="true"/>
        </w:rPr>
        <w:t>הוא נחשב למבצע בצוותא של עבירת האינוס</w:t>
      </w:r>
      <w:r>
        <w:rPr>
          <w:rtl w:val="true"/>
        </w:rPr>
        <w:t xml:space="preserve">. </w:t>
      </w:r>
      <w:r>
        <w:rPr>
          <w:rtl w:val="true"/>
        </w:rPr>
        <w:t>בשל מעשים אלו הורשע המשיב בעבירת חטיפה ובשתי עבירות אינוס בצוותא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6.3.2018</w:t>
      </w:r>
      <w:r>
        <w:rPr>
          <w:rtl w:val="true"/>
        </w:rPr>
        <w:t xml:space="preserve"> </w:t>
      </w:r>
      <w:r>
        <w:rPr>
          <w:rtl w:val="true"/>
        </w:rPr>
        <w:t>גזר בית המשפט המחוזי את דינו של המשיב</w:t>
      </w:r>
      <w:r>
        <w:rPr>
          <w:rtl w:val="true"/>
        </w:rPr>
        <w:t xml:space="preserve">. </w:t>
      </w:r>
      <w:r>
        <w:rPr>
          <w:rtl w:val="true"/>
        </w:rPr>
        <w:t>תחילה מנה בית המשפט את השיקולים הצריכים להילקח בחשבון בעת קביעת העונש</w:t>
      </w:r>
      <w:r>
        <w:rPr>
          <w:rtl w:val="true"/>
        </w:rPr>
        <w:t xml:space="preserve">. </w:t>
      </w:r>
      <w:r>
        <w:rPr>
          <w:rtl w:val="true"/>
        </w:rPr>
        <w:t>לחומרת המשיב הובאה בחשבון העובדה שלא רק שהוא היה דומיננטי בחטיפה</w:t>
      </w:r>
      <w:r>
        <w:rPr>
          <w:rtl w:val="true"/>
        </w:rPr>
        <w:t xml:space="preserve">, </w:t>
      </w:r>
      <w:r>
        <w:rPr>
          <w:rtl w:val="true"/>
        </w:rPr>
        <w:t>ולא רק שעמד והקשיב מחוץ לדלת</w:t>
      </w:r>
      <w:r>
        <w:rPr>
          <w:rtl w:val="true"/>
        </w:rPr>
        <w:t xml:space="preserve">, </w:t>
      </w:r>
      <w:r>
        <w:rPr>
          <w:rtl w:val="true"/>
        </w:rPr>
        <w:t xml:space="preserve">הוא אף הרחיק פעמיים את 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tl w:val="true"/>
        </w:rPr>
        <w:t>מַכָּר שהגיע לחלץ את המתלוננת</w:t>
      </w:r>
      <w:r>
        <w:rPr>
          <w:rtl w:val="true"/>
        </w:rPr>
        <w:t xml:space="preserve">. </w:t>
      </w:r>
      <w:r>
        <w:rPr>
          <w:rtl w:val="true"/>
        </w:rPr>
        <w:t>כן צוינה העובדה שהמשיב אינו מפנים את אחריותו לאינוס המתלוננת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 המשפט מצא לייחס משקל משמעותי לקולא לעובדה שכאשר נכנס המשיב לחדר בו שהתה המתלוננת</w:t>
      </w:r>
      <w:r>
        <w:rPr>
          <w:rtl w:val="true"/>
        </w:rPr>
        <w:t xml:space="preserve">, </w:t>
      </w:r>
      <w:r>
        <w:rPr>
          <w:rtl w:val="true"/>
        </w:rPr>
        <w:t>הוא שאל אותה אם היא מסכימה לקיים עמו יחסי מין ומשהשיבה בשלילה</w:t>
      </w:r>
      <w:r>
        <w:rPr>
          <w:rtl w:val="true"/>
        </w:rPr>
        <w:t xml:space="preserve">, </w:t>
      </w:r>
      <w:r>
        <w:rPr>
          <w:rtl w:val="true"/>
        </w:rPr>
        <w:t>הוא כיבד זאת ויצא מהחדר</w:t>
      </w:r>
      <w:r>
        <w:rPr>
          <w:rtl w:val="true"/>
        </w:rPr>
        <w:t xml:space="preserve">. </w:t>
      </w:r>
      <w:r>
        <w:rPr>
          <w:rtl w:val="true"/>
        </w:rPr>
        <w:t>כן ציין בית המשפט כי הודייתו</w:t>
      </w:r>
      <w:r>
        <w:rPr>
          <w:rtl w:val="true"/>
        </w:rPr>
        <w:t xml:space="preserve">, </w:t>
      </w:r>
      <w:r>
        <w:rPr>
          <w:rtl w:val="true"/>
        </w:rPr>
        <w:t>שיתוף הפעולה מצדו</w:t>
      </w:r>
      <w:r>
        <w:rPr>
          <w:rtl w:val="true"/>
        </w:rPr>
        <w:t xml:space="preserve">, </w:t>
      </w:r>
      <w:r>
        <w:rPr>
          <w:rtl w:val="true"/>
        </w:rPr>
        <w:t>היעדר עברו הפלילי והיותו זר בארצנו</w:t>
      </w:r>
      <w:r>
        <w:rPr>
          <w:rtl w:val="true"/>
        </w:rPr>
        <w:t xml:space="preserve">, </w:t>
      </w:r>
      <w:r>
        <w:rPr>
          <w:rtl w:val="true"/>
        </w:rPr>
        <w:t>גם הם מהווים שיקולים לקולא</w:t>
      </w:r>
      <w:r>
        <w:rPr>
          <w:rtl w:val="true"/>
        </w:rPr>
        <w:t xml:space="preserve">. </w:t>
      </w:r>
      <w:r>
        <w:rPr>
          <w:rtl w:val="true"/>
        </w:rPr>
        <w:t>לאחר ששקל את מכלול השיקולים</w:t>
      </w:r>
      <w:r>
        <w:rPr>
          <w:rtl w:val="true"/>
        </w:rPr>
        <w:t xml:space="preserve">, </w:t>
      </w:r>
      <w:r>
        <w:rPr>
          <w:rtl w:val="true"/>
        </w:rPr>
        <w:t>ולאחר שסקר את הפסיקה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המשפט את מתחם העונש ההולם בעניינו של המשיב בין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בנוסף למאסר מותנה ולתשלום פיצויים למתלוננת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גזר בית המשפט על המשיב את העונשים המפורטים בכותרת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לטענת המערערת</w:t>
      </w:r>
      <w:r>
        <w:rPr>
          <w:rtl w:val="true"/>
        </w:rPr>
        <w:t xml:space="preserve">, </w:t>
      </w:r>
      <w:r>
        <w:rPr>
          <w:rtl w:val="true"/>
        </w:rPr>
        <w:t>בית המשפט המחוזי הקל עם המשיב יתר על המידה והשית עליו עונש שאינו הולם את חומרת המעשים שביצע</w:t>
      </w:r>
      <w:r>
        <w:rPr>
          <w:rtl w:val="true"/>
        </w:rPr>
        <w:t xml:space="preserve">, </w:t>
      </w:r>
      <w:r>
        <w:rPr>
          <w:rtl w:val="true"/>
        </w:rPr>
        <w:t>גם בהינתן שלא בעל את המתלוננת בפועל</w:t>
      </w:r>
      <w:r>
        <w:rPr>
          <w:rtl w:val="true"/>
        </w:rPr>
        <w:t xml:space="preserve">. </w:t>
      </w:r>
      <w:r>
        <w:rPr>
          <w:rtl w:val="true"/>
        </w:rPr>
        <w:t>למשיב היה חלק פעיל ביותר באירוע</w:t>
      </w:r>
      <w:r>
        <w:rPr>
          <w:rtl w:val="true"/>
        </w:rPr>
        <w:t xml:space="preserve">, </w:t>
      </w:r>
      <w:r>
        <w:rPr>
          <w:rtl w:val="true"/>
        </w:rPr>
        <w:t>והדבר בא לידי ביטוי בהתנהגותו במסעדה</w:t>
      </w:r>
      <w:r>
        <w:rPr>
          <w:rtl w:val="true"/>
        </w:rPr>
        <w:t xml:space="preserve">, </w:t>
      </w:r>
      <w:r>
        <w:rPr>
          <w:rtl w:val="true"/>
        </w:rPr>
        <w:t>בעת החטיפה</w:t>
      </w:r>
      <w:r>
        <w:rPr>
          <w:rtl w:val="true"/>
        </w:rPr>
        <w:t xml:space="preserve">, </w:t>
      </w:r>
      <w:r>
        <w:rPr>
          <w:rtl w:val="true"/>
        </w:rPr>
        <w:t>בהמתנתו ליד החדר בו שהתה המתלוננת עת ביצעו בה הנאשמים את זממם ובעת שמנע מ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tl w:val="true"/>
        </w:rPr>
        <w:t>מַכָּר להגיע ולחלצהּ</w:t>
      </w:r>
      <w:r>
        <w:rPr>
          <w:rtl w:val="true"/>
        </w:rPr>
        <w:t xml:space="preserve">. </w:t>
      </w:r>
      <w:r>
        <w:rPr>
          <w:rtl w:val="true"/>
        </w:rPr>
        <w:t>בהקשר זה הפנתה המערערת לתמונות מתוך סרטוני האבטחה שהוגשו במסגרת ניהול התיק ואף הוגשו כראיה לעונש</w:t>
      </w:r>
      <w:r>
        <w:rPr>
          <w:rtl w:val="true"/>
        </w:rPr>
        <w:t xml:space="preserve">, </w:t>
      </w:r>
      <w:r>
        <w:rPr>
          <w:rtl w:val="true"/>
        </w:rPr>
        <w:t>בהן ניתן לראות לטענתה את חלקו של המשיב בחטיפה ואת התנהגותו בזמן שהמתלוננת הייתה כלואה בחדר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המערערת הוסיפה כי השתתפותו האקטיבית של המשיב באינוסה של המתלוננת הייתה הן לפני שנכנס לחדר והן לאחר מכן כשניסה לגרש את 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tl w:val="true"/>
        </w:rPr>
        <w:t>מַכָּר בפעם השנייה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על אף שהמשיב עצמו נמנע מלקיים יחסי מין עם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לא התחולל אצלו שינוי של </w:t>
      </w:r>
      <w:r>
        <w:rPr>
          <w:rtl w:val="true"/>
        </w:rPr>
        <w:t>"</w:t>
      </w:r>
      <w:r>
        <w:rPr>
          <w:rtl w:val="true"/>
        </w:rPr>
        <w:t>היפוך לבבות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פטור עקב חרטה</w:t>
      </w:r>
      <w:r>
        <w:rPr>
          <w:rtl w:val="true"/>
        </w:rPr>
        <w:t xml:space="preserve">", </w:t>
      </w:r>
      <w:r>
        <w:rPr>
          <w:rtl w:val="true"/>
        </w:rPr>
        <w:t>אלא הוא היה פעיל ונחוש למנוע סיכול של המשך ביצוע המעשים במתלוננת ולוּ על ידי חבריו</w:t>
      </w:r>
      <w:r>
        <w:rPr>
          <w:rtl w:val="true"/>
        </w:rPr>
        <w:t xml:space="preserve">. </w:t>
      </w:r>
      <w:r>
        <w:rPr>
          <w:rtl w:val="true"/>
        </w:rPr>
        <w:t>לפיכך סבורה המערערת כי שגה בית המשפט המחוזי כשנתן משקל רב מדי לעובדה שהמשיב עצמו לא קיים יחסי מין עם המתלוננת</w:t>
      </w:r>
      <w:r>
        <w:rPr>
          <w:rtl w:val="true"/>
        </w:rPr>
        <w:t xml:space="preserve">, </w:t>
      </w:r>
      <w:r>
        <w:rPr>
          <w:rtl w:val="true"/>
        </w:rPr>
        <w:t>וכי היה מקום לקבוע מתחם ענישה גבוה משמעותית מזה שנקבע</w:t>
      </w:r>
      <w:r>
        <w:rPr>
          <w:rtl w:val="true"/>
        </w:rPr>
        <w:t xml:space="preserve">. </w:t>
      </w:r>
      <w:r>
        <w:rPr>
          <w:rtl w:val="true"/>
        </w:rPr>
        <w:t>באשר לשיקולים בקביעת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>המערערת תמכה את יתדותיה בפסיקה וטענה כי יש ליתן משקל לשיקולי הרתעת היחיד והרתעת הרבים</w:t>
      </w:r>
      <w:r>
        <w:rPr>
          <w:rtl w:val="true"/>
        </w:rPr>
        <w:t xml:space="preserve">, </w:t>
      </w:r>
      <w:r>
        <w:rPr>
          <w:rtl w:val="true"/>
        </w:rPr>
        <w:t>המצדיקים הטלת עונש במיקום גבוה יותר בתוך מתחם הענישה</w:t>
      </w:r>
      <w:r>
        <w:rPr>
          <w:rtl w:val="true"/>
        </w:rPr>
        <w:t xml:space="preserve">. </w:t>
      </w:r>
      <w:r>
        <w:rPr>
          <w:rtl w:val="true"/>
        </w:rPr>
        <w:t xml:space="preserve">נוכח כל האמור סבורה המערערת כי יש להחמיר באופן משמעותי את עונשו של המשיב ולהשית עליו בין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המשיב החרה החזיק אחר גזר דינו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צדק בית המשפט המחוזי כשנתן דגש לעובדה שהמשיב לא אנס בפועל את המתלוננת אלא עמד מחוץ לחדר</w:t>
      </w:r>
      <w:r>
        <w:rPr>
          <w:rtl w:val="true"/>
        </w:rPr>
        <w:t xml:space="preserve">. </w:t>
      </w:r>
      <w:r>
        <w:rPr>
          <w:rtl w:val="true"/>
        </w:rPr>
        <w:t>המשיב אף לא סייע במעשי האונס על ידי אחיזתה של המתלוננת</w:t>
      </w:r>
      <w:r>
        <w:rPr>
          <w:rtl w:val="true"/>
        </w:rPr>
        <w:t xml:space="preserve">, </w:t>
      </w:r>
      <w:r>
        <w:rPr>
          <w:rtl w:val="true"/>
        </w:rPr>
        <w:t>והלכה למעשה מעשיו גובלים בסיוע לביצוע עבירה בלבד</w:t>
      </w:r>
      <w:r>
        <w:rPr>
          <w:rtl w:val="true"/>
        </w:rPr>
        <w:t xml:space="preserve">. </w:t>
      </w:r>
      <w:r>
        <w:rPr>
          <w:rtl w:val="true"/>
        </w:rPr>
        <w:t>כן ציין בא</w:t>
      </w:r>
      <w:r>
        <w:rPr>
          <w:rtl w:val="true"/>
        </w:rPr>
        <w:t>-</w:t>
      </w:r>
      <w:r>
        <w:rPr>
          <w:rtl w:val="true"/>
        </w:rPr>
        <w:t>כוח המשיב כי המשיב נעדר עבר פלילי</w:t>
      </w:r>
      <w:r>
        <w:rPr>
          <w:rtl w:val="true"/>
        </w:rPr>
        <w:t xml:space="preserve">, </w:t>
      </w:r>
      <w:r>
        <w:rPr>
          <w:rtl w:val="true"/>
        </w:rPr>
        <w:t>נמצא במדינה זרה וחסר כל תמיכה או סיוע משפטי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הוא לא יזכה לביקורים מבני משפחתו הנמצאים מעבר למדינת הים</w:t>
      </w:r>
      <w:r>
        <w:rPr>
          <w:rtl w:val="true"/>
        </w:rPr>
        <w:t xml:space="preserve">, </w:t>
      </w:r>
      <w:r>
        <w:rPr>
          <w:rtl w:val="true"/>
        </w:rPr>
        <w:t>ואף לא יזכה לניכוי שליש מתקופת מאסרו בבוא העת</w:t>
      </w:r>
      <w:r>
        <w:rPr>
          <w:rtl w:val="true"/>
        </w:rPr>
        <w:t xml:space="preserve">, </w:t>
      </w:r>
      <w:r>
        <w:rPr>
          <w:rtl w:val="true"/>
        </w:rPr>
        <w:t>ולו מפני שאין בידו לשאת בתשלום הפיצויים שהושתו עליו</w:t>
      </w:r>
      <w:r>
        <w:rPr>
          <w:rtl w:val="true"/>
        </w:rPr>
        <w:t xml:space="preserve">. </w:t>
      </w:r>
      <w:r>
        <w:rPr>
          <w:rtl w:val="true"/>
        </w:rPr>
        <w:t>המשיב שימש כעד עיקרי בתיק</w:t>
      </w:r>
      <w:r>
        <w:rPr>
          <w:rtl w:val="true"/>
        </w:rPr>
        <w:t xml:space="preserve">, </w:t>
      </w:r>
      <w:r>
        <w:rPr>
          <w:rtl w:val="true"/>
        </w:rPr>
        <w:t>שיתף פעולה בחקירה ואף העיד נגד חבריו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בהתחשב במצבור הנסיבות</w:t>
      </w:r>
      <w:r>
        <w:rPr>
          <w:rtl w:val="true"/>
        </w:rPr>
        <w:t xml:space="preserve">, </w:t>
      </w:r>
      <w:r>
        <w:rPr>
          <w:rtl w:val="true"/>
        </w:rPr>
        <w:t>מתחם הענישה שנקבע על ידי בית המשפט המחוזי הולם ונכון</w:t>
      </w:r>
      <w:r>
        <w:rPr>
          <w:rtl w:val="true"/>
        </w:rPr>
        <w:t xml:space="preserve">, </w:t>
      </w:r>
      <w:r>
        <w:rPr>
          <w:rtl w:val="true"/>
        </w:rPr>
        <w:t>וכך גם העונש שהושת בפועל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יש לדחות את הערעור ולהותיר את העונש שהושת על כנו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עיון בכתב הערעור ובנספחים שצורפו לו</w:t>
      </w:r>
      <w:r>
        <w:rPr>
          <w:rtl w:val="true"/>
        </w:rPr>
        <w:t xml:space="preserve">, </w:t>
      </w:r>
      <w:r>
        <w:rPr>
          <w:rtl w:val="true"/>
        </w:rPr>
        <w:t>ולאחר שמיעת טענות הצדדים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הערעור להתקבל</w:t>
      </w:r>
      <w:r>
        <w:rPr>
          <w:rtl w:val="true"/>
        </w:rPr>
        <w:t xml:space="preserve">, </w:t>
      </w:r>
      <w:r>
        <w:rPr>
          <w:rtl w:val="true"/>
        </w:rPr>
        <w:t>וכך אציע לחבריי שנעשה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 זו דרכה של ערכאת הערעור להתערב בעונש שגזרה הערכאה הדיונית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ישנם מקרים חריגים </w:t>
      </w:r>
      <w:r>
        <w:rPr>
          <w:rtl w:val="true"/>
        </w:rPr>
        <w:t>בהם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 xml:space="preserve">כאשר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>י הערכאה המבררת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מרמת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 xml:space="preserve">אשר יצדיקו את התערבות ערכאת הערעור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1079/16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נחמן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(</w:t>
      </w:r>
      <w:r>
        <w:rPr/>
        <w:t>1.8.2016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40/15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12.4.2016</w:t>
      </w:r>
      <w:r>
        <w:rPr>
          <w:rtl w:val="true"/>
        </w:rPr>
        <w:t xml:space="preserve">)). </w:t>
      </w:r>
      <w:r>
        <w:rPr>
          <w:rtl w:val="true"/>
        </w:rPr>
        <w:t>להשקפתי המקרה שלפנינו נמנה על מקרים חריגים אלו</w:t>
      </w:r>
      <w:r>
        <w:rPr>
          <w:rtl w:val="true"/>
        </w:rPr>
        <w:t xml:space="preserve">, </w:t>
      </w:r>
      <w:r>
        <w:rPr>
          <w:rtl w:val="true"/>
        </w:rPr>
        <w:t>מהטעם שעונש המאסר שהושת על המשיב מקל עמו יתר על המידה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בית משפט זה עמד לא אחת על החומרה הרבה הטמונה בעבירות מין</w:t>
      </w:r>
      <w:r>
        <w:rPr>
          <w:rtl w:val="true"/>
        </w:rPr>
        <w:t xml:space="preserve">. </w:t>
      </w:r>
      <w:r>
        <w:rPr>
          <w:rtl w:val="true"/>
        </w:rPr>
        <w:t xml:space="preserve">יפים לעניין זה דבריה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</w:t>
      </w:r>
      <w:r>
        <w:rPr>
          <w:rtl w:val="true"/>
        </w:rPr>
        <w:t xml:space="preserve"> 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9994/07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11.8.2008</w:t>
      </w:r>
      <w:r>
        <w:rPr>
          <w:rFonts w:cs="Century" w:ascii="Century" w:hAnsi="Century"/>
          <w:sz w:val="22"/>
          <w:rtl w:val="true"/>
        </w:rPr>
        <w:t>):</w:t>
      </w:r>
    </w:p>
    <w:p>
      <w:pPr>
        <w:pStyle w:val="BODYVERDICT"/>
        <w:shd w:fill="FFFFFF" w:val="clear"/>
        <w:spacing w:lineRule="auto" w:line="36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והפוגעניות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בביטחונו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ובשלום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פולשת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, </w:t>
      </w:r>
      <w:r>
        <w:rPr>
          <w:rtl w:val="true"/>
        </w:rPr>
        <w:t>והורסת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עצמיותו</w:t>
      </w:r>
      <w:r>
        <w:rPr>
          <w:rtl w:val="true"/>
        </w:rPr>
        <w:t xml:space="preserve">, </w:t>
      </w:r>
      <w:r>
        <w:rPr>
          <w:rtl w:val="true"/>
        </w:rPr>
        <w:t>ופוגעת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באינטימיות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המקודשת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והברוטאלי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ובפוטנציה</w:t>
      </w:r>
      <w:r>
        <w:rPr>
          <w:rtl w:val="true"/>
        </w:rPr>
        <w:t>."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קבוצתי</w:t>
      </w:r>
      <w:r>
        <w:rPr>
          <w:rtl w:val="true"/>
        </w:rPr>
        <w:t xml:space="preserve">, </w:t>
      </w:r>
      <w:r>
        <w:rPr>
          <w:rtl w:val="true"/>
        </w:rPr>
        <w:t>ודומה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במילים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>, "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'</w:t>
      </w:r>
      <w:r>
        <w:rPr>
          <w:rtl w:val="true"/>
        </w:rPr>
        <w:t>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" 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7.4.2010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ובבריונות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ומעבירים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tl w:val="true"/>
        </w:rPr>
        <w:t xml:space="preserve">, </w:t>
      </w:r>
      <w:r>
        <w:rPr>
          <w:rtl w:val="true"/>
        </w:rPr>
        <w:t>נכנסים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1484/10</w:t>
        </w:r>
      </w:hyperlink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חאמד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34-33</w:t>
      </w:r>
      <w:r>
        <w:rPr>
          <w:rtl w:val="true"/>
        </w:rPr>
        <w:t xml:space="preserve"> (</w:t>
      </w:r>
      <w:r>
        <w:rPr/>
        <w:t>22.10.2012</w:t>
      </w:r>
      <w:r>
        <w:rPr>
          <w:rtl w:val="true"/>
        </w:rPr>
        <w:t xml:space="preserve">); </w:t>
      </w:r>
      <w:hyperlink r:id="rId16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8056/10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חוסם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79</w:t>
      </w:r>
      <w:r>
        <w:rPr>
          <w:rtl w:val="true"/>
        </w:rPr>
        <w:t xml:space="preserve"> (</w:t>
      </w:r>
      <w:r>
        <w:rPr/>
        <w:t>19.11.2012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5673/04</w:t>
        </w:r>
      </w:hyperlink>
      <w:r>
        <w:rPr>
          <w:rFonts w:eastAsia="FrankRuehl" w:ascii="FrankRuehl" w:hAnsi="FrankRuehl"/>
          <w:rtl w:val="true"/>
        </w:rPr>
        <w:t>‏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30.12.2004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1004/06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9.8.2006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המשיב היה שותף פעיל בביצוע אונס קבוצתי ברוטאלי במתלוננת</w:t>
      </w:r>
      <w:r>
        <w:rPr>
          <w:rtl w:val="true"/>
        </w:rPr>
        <w:t xml:space="preserve">, </w:t>
      </w:r>
      <w:r>
        <w:rPr>
          <w:rtl w:val="true"/>
        </w:rPr>
        <w:t>אשר התאפיין בהתנהגות אכזרית חסרת אנושיות כלפיה</w:t>
      </w:r>
      <w:r>
        <w:rPr>
          <w:rtl w:val="true"/>
        </w:rPr>
        <w:t xml:space="preserve">, </w:t>
      </w:r>
      <w:r>
        <w:rPr>
          <w:rtl w:val="true"/>
        </w:rPr>
        <w:t>תוך שהיא שיכורה וחסרת יכולת ממשית להתנגד</w:t>
      </w:r>
      <w:r>
        <w:rPr>
          <w:rtl w:val="true"/>
        </w:rPr>
        <w:t xml:space="preserve">. </w:t>
      </w:r>
      <w:r>
        <w:rPr>
          <w:rtl w:val="true"/>
        </w:rPr>
        <w:t>חלקו של המשיב בביצוע העבירות משמעותי ביותר</w:t>
      </w:r>
      <w:r>
        <w:rPr>
          <w:rtl w:val="true"/>
        </w:rPr>
        <w:t xml:space="preserve">. </w:t>
      </w:r>
      <w:r>
        <w:rPr>
          <w:rtl w:val="true"/>
        </w:rPr>
        <w:t>כבר בתחילת האירוע</w:t>
      </w:r>
      <w:r>
        <w:rPr>
          <w:rtl w:val="true"/>
        </w:rPr>
        <w:t xml:space="preserve">, </w:t>
      </w:r>
      <w:r>
        <w:rPr>
          <w:rtl w:val="true"/>
        </w:rPr>
        <w:t>עת שהתה החבורה במסעדה</w:t>
      </w:r>
      <w:r>
        <w:rPr>
          <w:rtl w:val="true"/>
        </w:rPr>
        <w:t xml:space="preserve">, </w:t>
      </w:r>
      <w:r>
        <w:rPr>
          <w:rtl w:val="true"/>
        </w:rPr>
        <w:t>המשיב הוא זה שהתיישב על ברכיה של המתלוננת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ותוך ניצול חוסר תשומת ליבו של 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tl w:val="true"/>
        </w:rPr>
        <w:t>מַכָּר</w:t>
      </w:r>
      <w:r>
        <w:rPr>
          <w:rtl w:val="true"/>
        </w:rPr>
        <w:t xml:space="preserve">, </w:t>
      </w:r>
      <w:r>
        <w:rPr>
          <w:rtl w:val="true"/>
        </w:rPr>
        <w:t>המשיב הוא זה שנטל חלק מרכזי ודומיננטי ביותר בחטיפתה</w:t>
      </w:r>
      <w:r>
        <w:rPr>
          <w:rtl w:val="true"/>
        </w:rPr>
        <w:t xml:space="preserve">. </w:t>
      </w:r>
      <w:r>
        <w:rPr>
          <w:rtl w:val="true"/>
        </w:rPr>
        <w:t>בתחילה החזיק אותה בידה וגרר אותה לכיוון החדר תוך שהיא מנסה להתחמק מאחיזתו</w:t>
      </w:r>
      <w:r>
        <w:rPr>
          <w:rtl w:val="true"/>
        </w:rPr>
        <w:t xml:space="preserve">, </w:t>
      </w:r>
      <w:r>
        <w:rPr>
          <w:rtl w:val="true"/>
        </w:rPr>
        <w:t>ובהמשך סחב אותה באחזו בפלג גופה העליון</w:t>
      </w:r>
      <w:r>
        <w:rPr>
          <w:rtl w:val="true"/>
        </w:rPr>
        <w:t xml:space="preserve">. </w:t>
      </w:r>
      <w:r>
        <w:rPr>
          <w:rtl w:val="true"/>
        </w:rPr>
        <w:t>לאחר שהכניס אותה לחדר ויצא</w:t>
      </w:r>
      <w:r>
        <w:rPr>
          <w:rtl w:val="true"/>
        </w:rPr>
        <w:t xml:space="preserve">, </w:t>
      </w:r>
      <w:r>
        <w:rPr>
          <w:rtl w:val="true"/>
        </w:rPr>
        <w:t>עמד המשיב בסמוך לדלת והאזין לעיתים למתרחש בחדר</w:t>
      </w:r>
      <w:r>
        <w:rPr>
          <w:rtl w:val="true"/>
        </w:rPr>
        <w:t xml:space="preserve">. </w:t>
      </w:r>
      <w:r>
        <w:rPr>
          <w:rtl w:val="true"/>
        </w:rPr>
        <w:t>הוא עמד כזקיף השומר מחוץ לחדר על מנת לאפשר לנאשמים האחרים לבצע בה את זממם ללא הפרעות והמתין לתורו להיכנס לחדר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הוא הדף את 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tl w:val="true"/>
        </w:rPr>
        <w:t>מַכָּר</w:t>
      </w:r>
      <w:r>
        <w:rPr>
          <w:rtl w:val="true"/>
        </w:rPr>
        <w:t xml:space="preserve">, </w:t>
      </w:r>
      <w:r>
        <w:rPr>
          <w:rtl w:val="true"/>
        </w:rPr>
        <w:t>שהגיע בשמעו את קריאות המתלוננת לעזרה</w:t>
      </w:r>
      <w:r>
        <w:rPr>
          <w:rtl w:val="true"/>
        </w:rPr>
        <w:t xml:space="preserve">, </w:t>
      </w:r>
      <w:r>
        <w:rPr>
          <w:rtl w:val="true"/>
        </w:rPr>
        <w:t>אל מחוץ לאזור כדי למנוע ממנו להגיע לחדר ולחלץ את המתלוננת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על מנת שהאונס הקבוצתי יוכל להמשיך להתבצע כמתוכנן</w:t>
      </w:r>
      <w:r>
        <w:rPr>
          <w:rtl w:val="true"/>
        </w:rPr>
        <w:t xml:space="preserve">. </w:t>
      </w:r>
      <w:r>
        <w:rPr>
          <w:rtl w:val="true"/>
        </w:rPr>
        <w:t>על אף כל האמור</w:t>
      </w:r>
      <w:r>
        <w:rPr>
          <w:rtl w:val="true"/>
        </w:rPr>
        <w:t xml:space="preserve">, </w:t>
      </w:r>
      <w:r>
        <w:rPr>
          <w:rtl w:val="true"/>
        </w:rPr>
        <w:t>המשיב מחזיק בתפישה שגויה לפיה הוא לא אנס את המתלוננת משום שלא קיים עמה יחסי מין בעצמו</w:t>
      </w:r>
      <w:r>
        <w:rPr>
          <w:rtl w:val="true"/>
        </w:rPr>
        <w:t xml:space="preserve">, </w:t>
      </w:r>
      <w:r>
        <w:rPr>
          <w:rtl w:val="true"/>
        </w:rPr>
        <w:t>ואינו מפנים את אחריותו לאינוס המתלוננת בידי חבריו</w:t>
      </w:r>
      <w:r>
        <w:rPr>
          <w:rtl w:val="true"/>
        </w:rPr>
        <w:t xml:space="preserve">. </w:t>
      </w:r>
      <w:r>
        <w:rPr>
          <w:rtl w:val="true"/>
        </w:rPr>
        <w:t>נסיבות אלה צריכות לקבל משקל משמעותי בעת קביעת עונשו של המשיב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לצד כל אלה עומדת לצדו של המשיב העובדה שבניגוד לנאשמים האחרים אשר בעלו את המתלוננת</w:t>
      </w:r>
      <w:r>
        <w:rPr>
          <w:rtl w:val="true"/>
        </w:rPr>
        <w:t xml:space="preserve">, </w:t>
      </w:r>
      <w:r>
        <w:rPr>
          <w:rtl w:val="true"/>
        </w:rPr>
        <w:t>המשיב עצמו לא קיים עמה יחסי מין</w:t>
      </w:r>
      <w:r>
        <w:rPr>
          <w:rtl w:val="true"/>
        </w:rPr>
        <w:t xml:space="preserve">. </w:t>
      </w:r>
      <w:r>
        <w:rPr>
          <w:rtl w:val="true"/>
        </w:rPr>
        <w:t>הוא נכנס לחדר בתורו ושאל את המתלוננת האם היא מעוניינת לקיים עמו יחסי מין</w:t>
      </w:r>
      <w:r>
        <w:rPr>
          <w:rtl w:val="true"/>
        </w:rPr>
        <w:t xml:space="preserve">, </w:t>
      </w:r>
      <w:r>
        <w:rPr>
          <w:rtl w:val="true"/>
        </w:rPr>
        <w:t>ומשהשיבה בשלילה</w:t>
      </w:r>
      <w:r>
        <w:rPr>
          <w:rtl w:val="true"/>
        </w:rPr>
        <w:t xml:space="preserve">, </w:t>
      </w:r>
      <w:r>
        <w:rPr>
          <w:rtl w:val="true"/>
        </w:rPr>
        <w:t>יצא מהחדר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ובניגוד לקביעת בית המשפט המחוזי</w:t>
      </w:r>
      <w:r>
        <w:rPr>
          <w:rtl w:val="true"/>
        </w:rPr>
        <w:t xml:space="preserve">, </w:t>
      </w:r>
      <w:r>
        <w:rPr>
          <w:rtl w:val="true"/>
        </w:rPr>
        <w:t>אינני סבור כי יש לייחס לעובדה זו משקל משמעותי לקולא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כאמור בהכרעת הדין</w:t>
      </w:r>
      <w:r>
        <w:rPr>
          <w:rtl w:val="true"/>
        </w:rPr>
        <w:t xml:space="preserve">, </w:t>
      </w:r>
      <w:r>
        <w:rPr>
          <w:rtl w:val="true"/>
        </w:rPr>
        <w:t>נוכח העובדה שהמשיב ידע שחבריו אונסים את המתלוננת</w:t>
      </w:r>
      <w:r>
        <w:rPr>
          <w:rtl w:val="true"/>
        </w:rPr>
        <w:t xml:space="preserve">, </w:t>
      </w:r>
      <w:r>
        <w:rPr>
          <w:rtl w:val="true"/>
        </w:rPr>
        <w:t>כמו גם בכך ששמר על הדלת על מנת לאפשר למעשה האונס להימשך ושפעל באופן אקטיבי על מנת להרחיק את מַכָּרהּ של המתלוננת מהמקום</w:t>
      </w:r>
      <w:r>
        <w:rPr>
          <w:rtl w:val="true"/>
        </w:rPr>
        <w:t xml:space="preserve">, </w:t>
      </w:r>
      <w:r>
        <w:rPr>
          <w:rtl w:val="true"/>
        </w:rPr>
        <w:t>הוא נחשב למבצע בצוותא של עבירת אינוס לכל דבר ועניין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הגם שיש להבחין בין המשיב לבין הנאשמים האחרים</w:t>
      </w:r>
      <w:r>
        <w:rPr>
          <w:rtl w:val="true"/>
        </w:rPr>
        <w:t xml:space="preserve">, </w:t>
      </w:r>
      <w:r>
        <w:rPr>
          <w:rtl w:val="true"/>
        </w:rPr>
        <w:t>אין ליתן להבחנה משקל כה משמעותי בעת קביעת עונשו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. </w:t>
      </w:r>
      <w:r>
        <w:rPr>
          <w:rtl w:val="true"/>
        </w:rPr>
        <w:t>סבורני כי בגזירת עונשו של המשיב היה מקום ליתן את הדעת גם לשיקולים נוספים המכריעים לחומרה</w:t>
      </w:r>
      <w:r>
        <w:rPr>
          <w:rtl w:val="true"/>
        </w:rPr>
        <w:t xml:space="preserve">. </w:t>
      </w:r>
      <w:r>
        <w:rPr>
          <w:rtl w:val="true"/>
        </w:rPr>
        <w:t>ואבהיר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העיון בתמונות מצלמות האבטחה שצורפו לערעור מצמרר ומעורר תחושות קשות ביותר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בתמונות נראית המתלוננת מובלת באפיסת כוחות לעבר החדר שבו ביצעה החבורה את זממה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תחילה אוחזים המשיב וחברו במתלוננת בחוזקה משני צדיה ומוליכים אותה עמם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המתלוננת מנסה להתנגד ולהיחלץ מאחיזתם של השניים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ללא הועיל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הם לופתים אותה בחוזקה ולא מאפשרים לה להימלט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שכרותה וניסיונותיה הרבים להימלט התישו אותה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למרות זאת היא המשיכה להתנגד בשארית כוחותיה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משהגיעו לפתחו של גרם מדרגות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נראים המשיב וחברו מנסים להשתלט על המתלוננת המתנגדת להם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השניים אחזו במתלוננת בכוח והרימו אותה בידיה וברגליה היישר לחדר בו ביצעו בה יתר הנאשמים את זממם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בכל העת בה שהתה המתלוננת בחדר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עמד המשיב מחוץ לדלת והאזין למתרחש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והרחיק ככל שיכל את </w:t>
      </w:r>
      <w:r>
        <w:rPr>
          <w:rtl w:val="true"/>
        </w:rPr>
        <w:t>מַכָּרהּ</w:t>
      </w:r>
      <w:r>
        <w:rPr>
          <w:rFonts w:ascii="Century" w:hAnsi="Century" w:cs="Century"/>
          <w:sz w:val="22"/>
          <w:sz w:val="22"/>
          <w:rtl w:val="true"/>
        </w:rPr>
        <w:t xml:space="preserve"> של המתלוננת בל יפריע לחבריו לבצע את זממם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 קשות וחמורות אלה</w:t>
      </w:r>
      <w:r>
        <w:rPr>
          <w:rtl w:val="true"/>
        </w:rPr>
        <w:t xml:space="preserve">, </w:t>
      </w:r>
      <w:r>
        <w:rPr>
          <w:rtl w:val="true"/>
        </w:rPr>
        <w:t>יש ליתן משקל ממשי גם לשיקולי הרתעה וגמול</w:t>
      </w:r>
      <w:r>
        <w:rPr>
          <w:rtl w:val="true"/>
        </w:rPr>
        <w:t xml:space="preserve">. </w:t>
      </w:r>
      <w:r>
        <w:rPr>
          <w:rtl w:val="true"/>
        </w:rPr>
        <w:t xml:space="preserve">יפים לעניין זה דבריה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</w:t>
      </w:r>
      <w:r>
        <w:rPr>
          <w:rFonts w:ascii="Century" w:hAnsi="Century" w:cs="Century"/>
          <w:rtl w:val="true"/>
        </w:rPr>
        <w:t xml:space="preserve"> ב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10715/05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4.9.2007</w:t>
      </w:r>
      <w:r>
        <w:rPr>
          <w:rFonts w:cs="Century" w:ascii="Century" w:hAnsi="Century"/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ובנפשה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והאלימות</w:t>
      </w:r>
      <w:r>
        <w:rPr>
          <w:rtl w:val="true"/>
        </w:rPr>
        <w:t xml:space="preserve">, </w:t>
      </w:r>
      <w:r>
        <w:rPr>
          <w:rtl w:val="true"/>
        </w:rPr>
        <w:t>הברוטאליות</w:t>
      </w:r>
      <w:r>
        <w:rPr>
          <w:rtl w:val="true"/>
        </w:rPr>
        <w:t xml:space="preserve">, </w:t>
      </w:r>
      <w:r>
        <w:rPr>
          <w:rtl w:val="true"/>
        </w:rPr>
        <w:t>האכזריות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והחייתיות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ובקשיותם</w:t>
      </w:r>
      <w:r>
        <w:rPr>
          <w:rtl w:val="true"/>
        </w:rPr>
        <w:t xml:space="preserve">, </w:t>
      </w:r>
      <w:r>
        <w:rPr>
          <w:rtl w:val="true"/>
        </w:rPr>
        <w:t>ומחייבים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. </w:t>
      </w:r>
      <w:r>
        <w:rPr>
          <w:rtl w:val="true"/>
        </w:rPr>
        <w:t>המסר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ונוקב</w:t>
      </w:r>
      <w:r>
        <w:rPr>
          <w:rtl w:val="true"/>
        </w:rPr>
        <w:t xml:space="preserve">.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חלשים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האנושי</w:t>
      </w:r>
      <w:r>
        <w:rPr>
          <w:rtl w:val="true"/>
        </w:rPr>
        <w:t xml:space="preserve">, </w:t>
      </w:r>
      <w:r>
        <w:rPr>
          <w:rtl w:val="true"/>
        </w:rPr>
        <w:t>ולקבוע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הגמול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bookmarkStart w:id="17" w:name="Text1"/>
      <w:r>
        <w:rPr>
          <w:rFonts w:ascii="FrankRuehl" w:hAnsi="FrankRuehl"/>
          <w:color w:val="000000"/>
          <w:sz w:val="28"/>
          <w:sz w:val="28"/>
          <w:rtl w:val="true"/>
        </w:rPr>
        <w:t>ראו גם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hyperlink r:id="rId20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8233/05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bookmarkEnd w:id="17"/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(</w:t>
      </w:r>
      <w:r>
        <w:rPr/>
        <w:t>14.8.2008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10715/05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4.9.2007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4654/99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גדבאן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13.2.2000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דומה אפוא כי בית המשפט לא נתן משקל מספק לשיקולים אלה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 כאשר עולה מדבריו של המשיב בדיון שהתקיים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אני לא אנסתי את הילדה</w:t>
      </w:r>
      <w:r>
        <w:rPr>
          <w:rtl w:val="true"/>
        </w:rPr>
        <w:t xml:space="preserve">. </w:t>
      </w:r>
      <w:r>
        <w:rPr>
          <w:rtl w:val="true"/>
        </w:rPr>
        <w:t>שאלתי והיא לא רצתה</w:t>
      </w:r>
      <w:r>
        <w:rPr>
          <w:rtl w:val="true"/>
        </w:rPr>
        <w:t xml:space="preserve">. </w:t>
      </w:r>
      <w:r>
        <w:rPr>
          <w:rtl w:val="true"/>
        </w:rPr>
        <w:t>לא עשיתי כלום</w:t>
      </w:r>
      <w:r>
        <w:rPr>
          <w:rtl w:val="true"/>
        </w:rPr>
        <w:t xml:space="preserve">", </w:t>
      </w:r>
      <w:r>
        <w:rPr>
          <w:rtl w:val="true"/>
        </w:rPr>
        <w:t>שהוא אינו מפנים</w:t>
      </w:r>
      <w:r>
        <w:rPr>
          <w:rFonts w:ascii="Century" w:hAnsi="Century" w:cs="Century"/>
          <w:sz w:val="22"/>
          <w:sz w:val="22"/>
          <w:rtl w:val="true"/>
        </w:rPr>
        <w:t xml:space="preserve"> את אחריותו למעשים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בנסיבות 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נוכח טיבן של העבירות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נוכח האכזריות שבה הן בוצעו ונוכח התייחסותו של המשיב כלפיהן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מקום להשית על המשיב עונש חמור יותר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eastAsia="Century" w:cs="Century" w:ascii="Century" w:hAnsi="Century"/>
          <w:sz w:val="22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ובשים לב לעיקרון לפיו ערכאת הערעור אינה ממצה את מלוא חומרת הדין עם נאשם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4497/18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19.8.2018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8720/15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פינטו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(</w:t>
      </w:r>
      <w:r>
        <w:rPr/>
        <w:t>11.9.2016</w:t>
      </w:r>
      <w:r>
        <w:rPr>
          <w:rtl w:val="true"/>
        </w:rPr>
        <w:t xml:space="preserve">)), </w:t>
      </w:r>
      <w:r>
        <w:rPr>
          <w:rtl w:val="true"/>
        </w:rPr>
        <w:t xml:space="preserve">אציע לחבריי לקבל את הערעור ולהעמיד את עונש המאסר בפועל שהושת על המשיב על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כאשר יתר רכיבי העונש יעמדו על מכונם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start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הנדל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:</w:t>
      </w:r>
    </w:p>
    <w:p>
      <w:pPr>
        <w:pStyle w:val="Ruller41"/>
        <w:ind w:end="0"/>
        <w:jc w:val="start"/>
        <w:rPr>
          <w:rFonts w:ascii="Times New Roman" w:hAnsi="Times New Roman" w:cs="Times New Roman"/>
          <w:spacing w:val="0"/>
          <w:sz w:val="28"/>
          <w:szCs w:val="24"/>
          <w:u w:val="single"/>
        </w:rPr>
      </w:pPr>
      <w:r>
        <w:rPr>
          <w:rFonts w:cs="Times New Roman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1"/>
        <w:ind w:end="0"/>
        <w:jc w:val="start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start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שטיין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:</w:t>
      </w:r>
    </w:p>
    <w:p>
      <w:pPr>
        <w:pStyle w:val="Ruller41"/>
        <w:ind w:end="0"/>
        <w:jc w:val="start"/>
        <w:rPr>
          <w:rFonts w:ascii="Times New Roman" w:hAnsi="Times New Roman" w:cs="Times New Roman"/>
          <w:spacing w:val="0"/>
          <w:sz w:val="28"/>
          <w:szCs w:val="24"/>
          <w:u w:val="single"/>
        </w:rPr>
      </w:pPr>
      <w:r>
        <w:rPr>
          <w:rFonts w:cs="Times New Roman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1"/>
        <w:ind w:end="0"/>
        <w:jc w:val="start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הוחלט כאמור בפסק דינו של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מינץ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9.12.2018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18031320</w:t>
      </w:r>
      <w:r>
        <w:rPr>
          <w:sz w:val="16"/>
          <w:rtl w:val="true"/>
        </w:rPr>
        <w:t>_</w:t>
      </w:r>
      <w:r>
        <w:rPr>
          <w:sz w:val="16"/>
        </w:rPr>
        <w:t>N05.doc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5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54678313-3132/18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3132/18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1" TargetMode="External"/><Relationship Id="rId4" Type="http://schemas.openxmlformats.org/officeDocument/2006/relationships/hyperlink" Target="http://www.nevo.co.il/law/70301/345.b.5" TargetMode="External"/><Relationship Id="rId5" Type="http://schemas.openxmlformats.org/officeDocument/2006/relationships/hyperlink" Target="http://www.nevo.co.il/law/70301/369" TargetMode="External"/><Relationship Id="rId6" Type="http://schemas.openxmlformats.org/officeDocument/2006/relationships/hyperlink" Target="http://www.nevo.co.il/case/20493244" TargetMode="External"/><Relationship Id="rId7" Type="http://schemas.openxmlformats.org/officeDocument/2006/relationships/hyperlink" Target="http://www.nevo.co.il/law/70301/36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45.a.1" TargetMode="External"/><Relationship Id="rId10" Type="http://schemas.openxmlformats.org/officeDocument/2006/relationships/hyperlink" Target="http://www.nevo.co.il/law/70301/345.b.5" TargetMode="External"/><Relationship Id="rId11" Type="http://schemas.openxmlformats.org/officeDocument/2006/relationships/hyperlink" Target="http://www.nevo.co.il/case/20952936" TargetMode="External"/><Relationship Id="rId12" Type="http://schemas.openxmlformats.org/officeDocument/2006/relationships/hyperlink" Target="http://www.nevo.co.il/case/20523155" TargetMode="External"/><Relationship Id="rId13" Type="http://schemas.openxmlformats.org/officeDocument/2006/relationships/hyperlink" Target="http://www.nevo.co.il/case/6241014" TargetMode="External"/><Relationship Id="rId14" Type="http://schemas.openxmlformats.org/officeDocument/2006/relationships/hyperlink" Target="http://www.nevo.co.il/case/5721330" TargetMode="External"/><Relationship Id="rId15" Type="http://schemas.openxmlformats.org/officeDocument/2006/relationships/hyperlink" Target="http://www.nevo.co.il/case/5772329" TargetMode="External"/><Relationship Id="rId16" Type="http://schemas.openxmlformats.org/officeDocument/2006/relationships/hyperlink" Target="http://www.nevo.co.il/case/5614674" TargetMode="External"/><Relationship Id="rId17" Type="http://schemas.openxmlformats.org/officeDocument/2006/relationships/hyperlink" Target="http://www.nevo.co.il/case/6026806" TargetMode="External"/><Relationship Id="rId18" Type="http://schemas.openxmlformats.org/officeDocument/2006/relationships/hyperlink" Target="http://www.nevo.co.il/case/5939853" TargetMode="External"/><Relationship Id="rId19" Type="http://schemas.openxmlformats.org/officeDocument/2006/relationships/hyperlink" Target="http://www.nevo.co.il/case/5729694" TargetMode="External"/><Relationship Id="rId20" Type="http://schemas.openxmlformats.org/officeDocument/2006/relationships/hyperlink" Target="http://www.nevo.co.il/case/6239118" TargetMode="External"/><Relationship Id="rId21" Type="http://schemas.openxmlformats.org/officeDocument/2006/relationships/hyperlink" Target="http://www.nevo.co.il/case/5729694" TargetMode="External"/><Relationship Id="rId22" Type="http://schemas.openxmlformats.org/officeDocument/2006/relationships/hyperlink" Target="http://www.nevo.co.il/case/5969169" TargetMode="External"/><Relationship Id="rId23" Type="http://schemas.openxmlformats.org/officeDocument/2006/relationships/hyperlink" Target="http://www.nevo.co.il/case/24285475" TargetMode="External"/><Relationship Id="rId24" Type="http://schemas.openxmlformats.org/officeDocument/2006/relationships/hyperlink" Target="http://www.nevo.co.il/case/21479221" TargetMode="External"/><Relationship Id="rId25" Type="http://schemas.openxmlformats.org/officeDocument/2006/relationships/hyperlink" Target="https://supreme.court.gov.il/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2018-12-10T10:16:00Z</dcterms:created>
  <dc:creator> </dc:creator>
  <dc:description/>
  <cp:keywords/>
  <dc:language>en-IL</dc:language>
  <cp:lastModifiedBy>orly</cp:lastModifiedBy>
  <cp:lastPrinted>2018-12-06T10:30:00Z</cp:lastPrinted>
  <dcterms:modified xsi:type="dcterms:W3CDTF">2018-12-10T10:16:00Z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20493244;20952936;20523155;6241014;5721330;5772329;5614674;6026806;5939853;5729694:2;6239118;5969169;24285475;21479221</vt:lpwstr>
  </property>
  <property fmtid="{D5CDD505-2E9C-101B-9397-08002B2CF9AE}" pid="9" name="CITY">
    <vt:lpwstr/>
  </property>
  <property fmtid="{D5CDD505-2E9C-101B-9397-08002B2CF9AE}" pid="10" name="DATE">
    <vt:lpwstr>20181209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הנדל;ד' מינץ;א' שטיין</vt:lpwstr>
  </property>
  <property fmtid="{D5CDD505-2E9C-101B-9397-08002B2CF9AE}" pid="14" name="LAWLISTTMP1">
    <vt:lpwstr>70301/369;345.a.1;345.b.5</vt:lpwstr>
  </property>
  <property fmtid="{D5CDD505-2E9C-101B-9397-08002B2CF9AE}" pid="15" name="LAWYER">
    <vt:lpwstr>ניל סיימון;איתמר גלבפיש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שותפים לעבירה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1446;1446;1446;1451</vt:lpwstr>
  </property>
  <property fmtid="{D5CDD505-2E9C-101B-9397-08002B2CF9AE}" pid="48" name="NOSE31">
    <vt:lpwstr>מדיניות ענישה: עבירות מין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מבצע בצוותא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8988;8995;8982;9034</vt:lpwstr>
  </property>
  <property fmtid="{D5CDD505-2E9C-101B-9397-08002B2CF9AE}" pid="59" name="PADIDATE">
    <vt:lpwstr>20181210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3132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410120181209</vt:lpwstr>
  </property>
  <property fmtid="{D5CDD505-2E9C-101B-9397-08002B2CF9AE}" pid="69" name="TYPE_N_DATE">
    <vt:lpwstr>41020181209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