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3168/19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color w:val="000000"/>
                <w:sz w:val="28"/>
              </w:rPr>
            </w:pPr>
            <w:r>
              <w:rPr>
                <w:rFonts w:ascii="David" w:hAnsi="David"/>
                <w:color w:val="000000"/>
                <w:sz w:val="28"/>
                <w:sz w:val="28"/>
                <w:rtl w:val="true"/>
              </w:rPr>
              <w:t>אדלאו איילין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42560-11-15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30.06.2021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2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4" w:name="FirstLawyer"/>
            <w:bookmarkStart w:id="5" w:name="FirstLawyer"/>
            <w:bookmarkEnd w:id="5"/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רוזן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10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8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כאשר רצח אישה בידי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זוגה משתלב עם פגיעה קשה בילד קטין של האישה בשל כך שהוא נאלץ בעל כורחו להיות עד למעשה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ככלל מתקיימת הנסיבה המחמירה של ״אכזריות מיוחדת״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שמחייבת הטלת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מתקיים היסוד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 מאחר שהמעשה נעשה בנוכחות ביתה הקטינה בת 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 עדת ראייה ישירה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אינה מיטיבה עם המערער מבחינת הענישה על מעשה הרצח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שהוא ירצה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אכזריות מיוחדת או תוך התעללות גופנית או נפשית בקורבן 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תחולה בזמן – שינוי חיקוק לאחר ביצוע העבירה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שבמסגרתם הורשע המערער ברצח אשתו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שהעונש עליה הוא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התבססה על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בנוסחו טרם חקיקת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התיקון נחקק לאחר שניתנה 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בטרם ניתן 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התיקון חל על עניינו של המערער במידה שהוא מקל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נסוב על השאלה האם מעשהו של המערער מגבש עבירה של רצח בנסיבות מחמירות כהגדרתה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 העונשין בנוסחו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עליו אינו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התמקד ברישת הנסיבה המחמירה 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שעניינה 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המשנה לנשיאה הנדל ובהסכמת השופטים פוגלמן ואלרון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מנת לקבוע כי מעשהו של המערער מהווה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 בהתגבשות אחת מהנסיבות המפורטות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התמקד בשאלה מהי אכזריות מיוחדת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המחוקק ביאר כי השימוש בביטוי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מגלם דרישה לאכזריות החורגת מזו הגלומה בעצם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 זה פורש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נוספת בקרבן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שהתלוותה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המלומדים קרמניצר וגנאים פירשו את יסוד האכזריות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גרימת סבל מיוחד לקורבן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פיזי או 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המבט שממנה נבחנת ככלל קיומה של אכזריות מיוחדת במעשה הרצח היא זו של 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נטעו מסמרות בשאלה האם האכזריות יכולה להיבחן רק מנקודת מבטו של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לשון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האכזריות המיוחדת מתייחסת לטיב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מספר דוגמאות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שאינן רשימה סגורה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לפרשנות הנסיבה של 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שיטת 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 הרצח נלווה אלמנט של השפלה או פגיעה בכבוד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הרצח בוצע לנגד עיני עדים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 הוריו או ילדיו של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שבוצעו כלפי גופת הקורבן לאחר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הדוגמא הראשונה והשנייה נכנסות בבירור בגדרי הנסיבה של ״אכזריות מיוחדת״ או ״התעללות גופנית או נפשית בקורבן״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גם במצב שבו הקורבן אינו מודע למעשה ההשפלה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בו 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הדוגמא השלישית והרביעית מורכבות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והדבר תלוי בווריאציות שיכולות להיות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הנסיבות של מעשה הרצח שביצע המערער מאפשרות לקבוע ללא קושי כי מתקיים בו היסוד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בראש ובראשונה מאחר שהמעשה נעשה בנוכחות ביתה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 עדת ראייה ישירה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שהתרחש בעודה קטינה בת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לכך שביתה של המנוחה רואה את מעשה הרצח ואף לכך שהמנוחה מודעת לכך שביתה עדה למעשה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האכזריות הגלומה במעשה חורגת מעצם האכזריות הטמונה בעצם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בנותיהן של המערער והמנוחה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שהיו בנות כשנה וכשנתיים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נכחו באירוע ונוכחותן מעצימה את האכזריות שבמעשה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מן הנמנע כי אופן ההמתה של המנוחה מגבש כשלעצמו את היסוד של אכזריות מיוחדת או 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משיסוד האכזריות המיוחדת מתקיים במובהק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שביתה של המנוחה הייתה עדה 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שאלה זו לא הוכרעה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 שביצע המערער נעשה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אינה מיטיבה עם המערער מבחינת הענישה על מעשה הרצח שביצע ואין בה כדי לשנות את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לפיה ירצה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התייתר הצורך לדון בנסיבה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כאשר רצח אישה בידי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זוגה משתלב עם פגיעה קשה בילד קטין של האישה בשל כך שהוא נאלץ בעל כורחו להיות עד למעשה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 מתקיימת הנסיבה המחמירה של ״אכזריות מיוחדת״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אישה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ידי בן זוגה בנוכחות אחד מילדיה שם קץ לחייה של האישה עם ממד נוסף של פגיעה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ידיעתה על היות ילדהּ עד להירצחה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ומותיר צלקת עמוקה בנפש הקטין שעלולה ללוות אותו שנים רבות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המשמעות היא כי מבצע מעשה זה ככלל לא יורשע בעבירת הרצח ״הבסיסית״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בעבירה של 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שמחייבת הטלת עונש של מאסר עולם בלי להותיר לבית המשפט שיקול דעת בעניין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מונח לפנינו ערעור על הכרעת דינו וגזר דינו של בית המשפט המחוזי בלוד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42560-11-15</w:t>
        </w:r>
      </w:hyperlink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שבמסגרתם הורשע המערער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ברצח אשתו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 שהעונש עליה הוא מאסר עולם חובה</w:t>
      </w:r>
      <w:r>
        <w:rPr>
          <w:rtl w:val="true"/>
        </w:rPr>
        <w:t xml:space="preserve">. </w:t>
      </w:r>
      <w:r>
        <w:rPr>
          <w:rtl w:val="true"/>
        </w:rPr>
        <w:t xml:space="preserve">הרשעת המערער התבססה על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הקודם</w:t>
      </w:r>
      <w:r>
        <w:rPr>
          <w:rtl w:val="true"/>
        </w:rPr>
        <w:t xml:space="preserve">, </w:t>
      </w:r>
      <w:r>
        <w:rPr>
          <w:rtl w:val="true"/>
        </w:rPr>
        <w:t xml:space="preserve">טרם חקיקתו של 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המוכר כ</w:t>
      </w:r>
      <w:r>
        <w:rPr>
          <w:rtl w:val="true"/>
        </w:rPr>
        <w:t>"</w:t>
      </w:r>
      <w:r>
        <w:rPr>
          <w:rtl w:val="true"/>
        </w:rPr>
        <w:t>רפורמה בעבירות ההמתה</w:t>
      </w:r>
      <w:r>
        <w:rPr>
          <w:rtl w:val="true"/>
        </w:rPr>
        <w:t xml:space="preserve">". </w:t>
      </w:r>
      <w:r>
        <w:rPr>
          <w:rtl w:val="true"/>
        </w:rPr>
        <w:t>התיקון</w:t>
      </w:r>
      <w:r>
        <w:rPr>
          <w:rtl w:val="true"/>
        </w:rPr>
        <w:t xml:space="preserve"> </w:t>
      </w:r>
      <w:r>
        <w:rPr>
          <w:rtl w:val="true"/>
        </w:rPr>
        <w:t>נחקק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שניתנה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מנגנון המעבר הקבוע </w:t>
      </w:r>
      <w:hyperlink r:id="rId2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התיקון חל על עניינו של המערער במידה שהוא מקל עמו</w:t>
      </w:r>
      <w:r>
        <w:rPr>
          <w:rtl w:val="true"/>
        </w:rPr>
        <w:t xml:space="preserve">. </w:t>
      </w:r>
      <w:r>
        <w:rPr>
          <w:rtl w:val="true"/>
        </w:rPr>
        <w:t>הערעור נסוב על שאלה זו</w:t>
      </w:r>
      <w:r>
        <w:rPr>
          <w:rtl w:val="true"/>
        </w:rPr>
        <w:t xml:space="preserve">, </w:t>
      </w:r>
      <w:r>
        <w:rPr>
          <w:rtl w:val="true"/>
        </w:rPr>
        <w:t>ובאופן ממוקד יותר</w:t>
      </w:r>
      <w:r>
        <w:rPr>
          <w:rtl w:val="true"/>
        </w:rPr>
        <w:t xml:space="preserve">, </w:t>
      </w:r>
      <w:r>
        <w:rPr>
          <w:rtl w:val="true"/>
        </w:rPr>
        <w:t xml:space="preserve">על השאלה האם מעשהו של המערער מגבש עבירה של רצח בנסיבות מחמירות כהגדרתה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הנוכחי</w:t>
      </w:r>
      <w:r>
        <w:rPr>
          <w:rtl w:val="true"/>
        </w:rPr>
        <w:t xml:space="preserve">, </w:t>
      </w:r>
      <w:r>
        <w:rPr>
          <w:rtl w:val="true"/>
        </w:rPr>
        <w:t xml:space="preserve">שהרי אם לאו </w:t>
      </w:r>
      <w:r>
        <w:rPr>
          <w:rtl w:val="true"/>
        </w:rPr>
        <w:t>–</w:t>
      </w:r>
      <w:r>
        <w:rPr>
          <w:rtl w:val="true"/>
        </w:rPr>
        <w:t xml:space="preserve"> העונש עליו אינו מאסר עולם חובה</w:t>
      </w:r>
      <w:r>
        <w:rPr>
          <w:rtl w:val="true"/>
        </w:rPr>
        <w:t xml:space="preserve">. </w:t>
      </w:r>
      <w:r>
        <w:rPr>
          <w:rtl w:val="true"/>
        </w:rPr>
        <w:t xml:space="preserve">הסוגיה המתעוררת בערעור זה היא פרשנותן של שתיים מהנסיבות המחמירות המופיעות בעבירה זו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וגיבוש החלטה להמית</w:t>
      </w:r>
      <w:r>
        <w:rPr>
          <w:rtl w:val="true"/>
        </w:rPr>
        <w:t>" (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ו״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״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נחוץ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בנסיבה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״אכזריות</w:t>
      </w:r>
      <w:r>
        <w:rPr>
          <w:rtl w:val="true"/>
        </w:rPr>
        <w:t xml:space="preserve"> </w:t>
      </w:r>
      <w:r>
        <w:rPr>
          <w:rtl w:val="true"/>
        </w:rPr>
        <w:t>מיוחדת״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outlineLvl w:val="0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אלו עובדות המקרה</w:t>
      </w:r>
      <w:r>
        <w:rPr>
          <w:rtl w:val="true"/>
        </w:rPr>
        <w:t xml:space="preserve">, </w:t>
      </w:r>
      <w:r>
        <w:rPr>
          <w:rtl w:val="true"/>
        </w:rPr>
        <w:t>כפי שנקבעו בהכרעת הדין של בית משפט קמא</w:t>
      </w:r>
      <w:r>
        <w:rPr>
          <w:rtl w:val="true"/>
        </w:rPr>
        <w:t xml:space="preserve">, </w:t>
      </w:r>
      <w:r>
        <w:rPr>
          <w:rtl w:val="true"/>
        </w:rPr>
        <w:t>ושעליהן אין מחלוקת בהליך זה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והמנוחה נישאו בשנת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והביאו לעולם שתי בנות</w:t>
      </w:r>
      <w:r>
        <w:rPr>
          <w:rtl w:val="true"/>
        </w:rPr>
        <w:t xml:space="preserve">. </w:t>
      </w:r>
      <w:r>
        <w:rPr>
          <w:rtl w:val="true"/>
        </w:rPr>
        <w:t xml:space="preserve">בתקופה שסביב חודש אוגוסט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יחסיהם עלו על שרטון</w:t>
      </w:r>
      <w:r>
        <w:rPr>
          <w:rtl w:val="true"/>
        </w:rPr>
        <w:t xml:space="preserve">. </w:t>
      </w:r>
      <w:r>
        <w:rPr>
          <w:rtl w:val="true"/>
        </w:rPr>
        <w:t>לצד עניינים נוספים</w:t>
      </w:r>
      <w:r>
        <w:rPr>
          <w:rtl w:val="true"/>
        </w:rPr>
        <w:t xml:space="preserve">, </w:t>
      </w:r>
      <w:r>
        <w:rPr>
          <w:rtl w:val="true"/>
        </w:rPr>
        <w:t>המחלוקת ביניהם באותה העת נסבה על הדירה שבה התגוררו</w:t>
      </w:r>
      <w:r>
        <w:rPr>
          <w:rtl w:val="true"/>
        </w:rPr>
        <w:t xml:space="preserve">, </w:t>
      </w:r>
      <w:r>
        <w:rPr>
          <w:rtl w:val="true"/>
        </w:rPr>
        <w:t>שהייתה בבעלות המנוחה לאחר שזו רכשה את זכויותיו של הגרוש שלה בה</w:t>
      </w:r>
      <w:r>
        <w:rPr>
          <w:rtl w:val="true"/>
        </w:rPr>
        <w:t xml:space="preserve">. </w:t>
      </w:r>
      <w:r>
        <w:rPr>
          <w:rtl w:val="true"/>
        </w:rPr>
        <w:t>המנוחה דרשה באותה התקופה שהמערער יחתום על מסמך שלפיו הוא מוותר על כל טענה לזכויות בדירה ואילו המערער סירב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25.10.2015</w:t>
      </w:r>
      <w:r>
        <w:rPr>
          <w:rtl w:val="true"/>
        </w:rPr>
        <w:t xml:space="preserve"> </w:t>
      </w:r>
      <w:r>
        <w:rPr>
          <w:rtl w:val="true"/>
        </w:rPr>
        <w:t>בבוקר שהו המערער והמנוחה בדירה</w:t>
      </w:r>
      <w:r>
        <w:rPr>
          <w:rtl w:val="true"/>
        </w:rPr>
        <w:t xml:space="preserve">, </w:t>
      </w:r>
      <w:r>
        <w:rPr>
          <w:rtl w:val="true"/>
        </w:rPr>
        <w:t>ושוב התווכחו בעניין זכויות המערער בדירה</w:t>
      </w:r>
      <w:r>
        <w:rPr>
          <w:rtl w:val="true"/>
        </w:rPr>
        <w:t xml:space="preserve">. </w:t>
      </w:r>
      <w:r>
        <w:rPr>
          <w:rtl w:val="true"/>
        </w:rPr>
        <w:t>המערער עקב אחר המנוחה ממקום למקום בדירה</w:t>
      </w:r>
      <w:r>
        <w:rPr>
          <w:rtl w:val="true"/>
        </w:rPr>
        <w:t xml:space="preserve">. </w:t>
      </w:r>
      <w:r>
        <w:rPr>
          <w:rtl w:val="true"/>
        </w:rPr>
        <w:t>המנוחה התקשרה למשטרה וניסתה לצאת מהדירה</w:t>
      </w:r>
      <w:r>
        <w:rPr>
          <w:rtl w:val="true"/>
        </w:rPr>
        <w:t xml:space="preserve">, </w:t>
      </w:r>
      <w:r>
        <w:rPr>
          <w:rtl w:val="true"/>
        </w:rPr>
        <w:t>אולם המערער מנע ממנה לצאת מהדירה תוך שהחזיק את הדלת</w:t>
      </w:r>
      <w:r>
        <w:rPr>
          <w:rtl w:val="true"/>
        </w:rPr>
        <w:t xml:space="preserve">, </w:t>
      </w:r>
      <w:r>
        <w:rPr>
          <w:rtl w:val="true"/>
        </w:rPr>
        <w:t>תפס את ידה והכניס אותה בחזרה לדירה</w:t>
      </w:r>
      <w:r>
        <w:rPr>
          <w:rtl w:val="true"/>
        </w:rPr>
        <w:t xml:space="preserve">. </w:t>
      </w:r>
      <w:r>
        <w:rPr>
          <w:rtl w:val="true"/>
        </w:rPr>
        <w:t>ביתה בת ה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של המנוחה מנישואיה הקודמים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שנכחה כל אותה העת בדירה</w:t>
      </w:r>
      <w:r>
        <w:rPr>
          <w:rtl w:val="true"/>
        </w:rPr>
        <w:t xml:space="preserve">, </w:t>
      </w:r>
      <w:r>
        <w:rPr>
          <w:rtl w:val="true"/>
        </w:rPr>
        <w:t>צעקה למערער שישחרר את המנוחה וניסתה לשחרר את אחיזתו בה</w:t>
      </w:r>
      <w:r>
        <w:rPr>
          <w:rtl w:val="true"/>
        </w:rPr>
        <w:t xml:space="preserve">, </w:t>
      </w:r>
      <w:r>
        <w:rPr>
          <w:rtl w:val="true"/>
        </w:rPr>
        <w:t>אך לא הצליחה</w:t>
      </w:r>
      <w:r>
        <w:rPr>
          <w:rtl w:val="true"/>
        </w:rPr>
        <w:t xml:space="preserve">. </w:t>
      </w:r>
      <w:r>
        <w:rPr>
          <w:rtl w:val="true"/>
        </w:rPr>
        <w:t>המערער סילק את ידה של א</w:t>
      </w:r>
      <w:r>
        <w:rPr>
          <w:rtl w:val="true"/>
        </w:rPr>
        <w:t xml:space="preserve">', </w:t>
      </w:r>
      <w:r>
        <w:rPr>
          <w:rtl w:val="true"/>
        </w:rPr>
        <w:t xml:space="preserve">אמר לה </w:t>
      </w:r>
      <w:r>
        <w:rPr>
          <w:rtl w:val="true"/>
        </w:rPr>
        <w:t>"</w:t>
      </w:r>
      <w:r>
        <w:rPr>
          <w:rtl w:val="true"/>
        </w:rPr>
        <w:t>תעופי מפה</w:t>
      </w:r>
      <w:r>
        <w:rPr>
          <w:rtl w:val="true"/>
        </w:rPr>
        <w:t xml:space="preserve">" </w:t>
      </w:r>
      <w:r>
        <w:rPr>
          <w:rtl w:val="true"/>
        </w:rPr>
        <w:t>והראה לה סכין קטנה שנשא על גופו מתחת לחולצתו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גרר את המנוחה אל המטבח</w:t>
      </w:r>
      <w:r>
        <w:rPr>
          <w:rtl w:val="true"/>
        </w:rPr>
        <w:t xml:space="preserve">, </w:t>
      </w:r>
      <w:r>
        <w:rPr>
          <w:rtl w:val="true"/>
        </w:rPr>
        <w:t>לקח סכין גדולה</w:t>
      </w:r>
      <w:r>
        <w:rPr>
          <w:rtl w:val="true"/>
        </w:rPr>
        <w:t xml:space="preserve">, </w:t>
      </w:r>
      <w:r>
        <w:rPr>
          <w:rtl w:val="true"/>
        </w:rPr>
        <w:t>תפס את המנוחה והחל לחתוך את גרונה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לשמע צעקות המנוחה</w:t>
      </w:r>
      <w:r>
        <w:rPr>
          <w:rtl w:val="true"/>
        </w:rPr>
        <w:t xml:space="preserve">, </w:t>
      </w:r>
      <w:r>
        <w:rPr>
          <w:rtl w:val="true"/>
        </w:rPr>
        <w:t>הגיעה שכנתם של המערער והמנוחה</w:t>
      </w:r>
      <w:r>
        <w:rPr>
          <w:rtl w:val="true"/>
        </w:rPr>
        <w:t xml:space="preserve">, </w:t>
      </w:r>
      <w:r>
        <w:rPr>
          <w:rtl w:val="true"/>
        </w:rPr>
        <w:t>וראתה את המנוחה על הרצפה ואת המערער עליה עם סכין בידו</w:t>
      </w:r>
      <w:r>
        <w:rPr>
          <w:rtl w:val="true"/>
        </w:rPr>
        <w:t xml:space="preserve">. </w:t>
      </w:r>
      <w:r>
        <w:rPr>
          <w:rtl w:val="true"/>
        </w:rPr>
        <w:t>היא לקחה כיסא והכתה את המערער בגבו</w:t>
      </w:r>
      <w:r>
        <w:rPr>
          <w:rtl w:val="true"/>
        </w:rPr>
        <w:t xml:space="preserve">. </w:t>
      </w:r>
      <w:r>
        <w:rPr>
          <w:rtl w:val="true"/>
        </w:rPr>
        <w:t>המערער הסתובב אל השכנה והמשיך במעשיו</w:t>
      </w:r>
      <w:r>
        <w:rPr>
          <w:rtl w:val="true"/>
        </w:rPr>
        <w:t xml:space="preserve">; </w:t>
      </w:r>
      <w:r>
        <w:rPr>
          <w:rtl w:val="true"/>
        </w:rPr>
        <w:t>השכנה נבהלה ממבטו וחזרה לדירתה</w:t>
      </w:r>
      <w:r>
        <w:rPr>
          <w:rtl w:val="true"/>
        </w:rPr>
        <w:t xml:space="preserve">. </w:t>
      </w:r>
      <w:r>
        <w:rPr>
          <w:rtl w:val="true"/>
        </w:rPr>
        <w:t>המערער התקדם עם המנוחה מהמטבח אל דלת היציאה מהדירה תוך שהוא מחזיק אותה כל הזמן בתנועת חניקה</w:t>
      </w:r>
      <w:r>
        <w:rPr>
          <w:rtl w:val="true"/>
        </w:rPr>
        <w:t xml:space="preserve">, </w:t>
      </w:r>
      <w:r>
        <w:rPr>
          <w:rtl w:val="true"/>
        </w:rPr>
        <w:t>והיא מנסה להתנגד ולברוח אך אינה מצליחה</w:t>
      </w:r>
      <w:r>
        <w:rPr>
          <w:rtl w:val="true"/>
        </w:rPr>
        <w:t xml:space="preserve">. </w:t>
      </w:r>
      <w:r>
        <w:rPr>
          <w:rtl w:val="true"/>
        </w:rPr>
        <w:t>המערער הוציא את המנוחה מהדירה</w:t>
      </w:r>
      <w:r>
        <w:rPr>
          <w:rtl w:val="true"/>
        </w:rPr>
        <w:t xml:space="preserve">, </w:t>
      </w:r>
      <w:r>
        <w:rPr>
          <w:rtl w:val="true"/>
        </w:rPr>
        <w:t>שם השעין אותה על הקיר והמשיך לחתוך את גרונה</w:t>
      </w:r>
      <w:r>
        <w:rPr>
          <w:rtl w:val="true"/>
        </w:rPr>
        <w:t xml:space="preserve">. </w:t>
      </w:r>
      <w:r>
        <w:rPr>
          <w:rtl w:val="true"/>
        </w:rPr>
        <w:t>המנוחה צעקה ולבסוף התמוטטה על הרצפה מדממת</w:t>
      </w:r>
      <w:r>
        <w:rPr>
          <w:rtl w:val="true"/>
        </w:rPr>
        <w:t xml:space="preserve">, </w:t>
      </w:r>
      <w:r>
        <w:rPr>
          <w:rtl w:val="true"/>
        </w:rPr>
        <w:t>והמערער נכנס לדירה</w:t>
      </w:r>
      <w:r>
        <w:rPr>
          <w:rtl w:val="true"/>
        </w:rPr>
        <w:t xml:space="preserve">. </w:t>
      </w:r>
      <w:r>
        <w:rPr>
          <w:rtl w:val="true"/>
        </w:rPr>
        <w:t>לאחר מכן הוא יצא מהדירה וירד במעלית</w:t>
      </w:r>
      <w:r>
        <w:rPr>
          <w:rtl w:val="true"/>
        </w:rPr>
        <w:t xml:space="preserve">; </w:t>
      </w:r>
      <w:r>
        <w:rPr>
          <w:rtl w:val="true"/>
        </w:rPr>
        <w:t>וכעבר זמן קצר עלה שוב לדירה</w:t>
      </w:r>
      <w:r>
        <w:rPr>
          <w:rtl w:val="true"/>
        </w:rPr>
        <w:t xml:space="preserve">, </w:t>
      </w:r>
      <w:r>
        <w:rPr>
          <w:rtl w:val="true"/>
        </w:rPr>
        <w:t>שם החליף את מכנסיו</w:t>
      </w:r>
      <w:r>
        <w:rPr>
          <w:rtl w:val="true"/>
        </w:rPr>
        <w:t xml:space="preserve">, </w:t>
      </w:r>
      <w:r>
        <w:rPr>
          <w:rtl w:val="true"/>
        </w:rPr>
        <w:t>ואז יצא מהדירה והלך מהמקום</w:t>
      </w:r>
      <w:r>
        <w:rPr>
          <w:rtl w:val="true"/>
        </w:rPr>
        <w:t xml:space="preserve">. </w:t>
      </w:r>
      <w:r>
        <w:rPr>
          <w:rtl w:val="true"/>
        </w:rPr>
        <w:t>דקירות המערער גרמו למנוחה פציעות רבות</w:t>
      </w:r>
      <w:r>
        <w:rPr>
          <w:rtl w:val="true"/>
        </w:rPr>
        <w:t xml:space="preserve">, </w:t>
      </w:r>
      <w:r>
        <w:rPr>
          <w:rtl w:val="true"/>
        </w:rPr>
        <w:t>כולל קטיעת כלי הדם הראשיים וקנה הנשימה</w:t>
      </w:r>
      <w:r>
        <w:rPr>
          <w:rtl w:val="true"/>
        </w:rPr>
        <w:t xml:space="preserve">, </w:t>
      </w:r>
      <w:r>
        <w:rPr>
          <w:rtl w:val="true"/>
        </w:rPr>
        <w:t>והלם תת</w:t>
      </w:r>
      <w:r>
        <w:rPr>
          <w:rtl w:val="true"/>
        </w:rPr>
        <w:t>-</w:t>
      </w:r>
      <w:r>
        <w:rPr>
          <w:rtl w:val="true"/>
        </w:rPr>
        <w:t>נפחי אשר הוביל למותה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הרשיע את המערער בעבירת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כהגדרתה בנוסחו הקודם של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: </w:t>
      </w:r>
      <w:r>
        <w:rPr>
          <w:rtl w:val="true"/>
        </w:rPr>
        <w:t>מי ש</w:t>
      </w:r>
      <w:r>
        <w:rPr>
          <w:rtl w:val="true"/>
        </w:rPr>
        <w:t>"</w:t>
      </w:r>
      <w:r>
        <w:rPr>
          <w:rtl w:val="true"/>
        </w:rPr>
        <w:t>גורם בכוונה תחילה למותו של אדם</w:t>
      </w:r>
      <w:r>
        <w:rPr>
          <w:rtl w:val="true"/>
        </w:rPr>
        <w:t xml:space="preserve">". </w:t>
      </w: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התרשם בית משפט קמא מעדותה של א</w:t>
      </w:r>
      <w:r>
        <w:rPr>
          <w:rtl w:val="true"/>
        </w:rPr>
        <w:t xml:space="preserve">' </w:t>
      </w:r>
      <w:r>
        <w:rPr>
          <w:rtl w:val="true"/>
        </w:rPr>
        <w:t>ושל השכנה כמהימנות ואימץ אותן במלואן</w:t>
      </w:r>
      <w:r>
        <w:rPr>
          <w:rtl w:val="true"/>
        </w:rPr>
        <w:t xml:space="preserve">. </w:t>
      </w:r>
      <w:r>
        <w:rPr>
          <w:rtl w:val="true"/>
        </w:rPr>
        <w:t>מעדותו של המערער התרשם בית משפט קמא כי היא בלתי</w:t>
      </w:r>
      <w:r>
        <w:rPr>
          <w:rtl w:val="true"/>
        </w:rPr>
        <w:t>-</w:t>
      </w:r>
      <w:r>
        <w:rPr>
          <w:rtl w:val="true"/>
        </w:rPr>
        <w:t>מהימנה בנקודות רבות</w:t>
      </w:r>
      <w:r>
        <w:rPr>
          <w:rtl w:val="true"/>
        </w:rPr>
        <w:t xml:space="preserve">. </w:t>
      </w:r>
      <w:r>
        <w:rPr>
          <w:rtl w:val="true"/>
        </w:rPr>
        <w:t>בית משפט קמא קבע</w:t>
      </w:r>
      <w:r>
        <w:rPr>
          <w:rtl w:val="true"/>
        </w:rPr>
        <w:t xml:space="preserve">, </w:t>
      </w:r>
      <w:r>
        <w:rPr>
          <w:rtl w:val="true"/>
        </w:rPr>
        <w:t>ועל כך לא הייתה מחלוקת</w:t>
      </w:r>
      <w:r>
        <w:rPr>
          <w:rtl w:val="true"/>
        </w:rPr>
        <w:t xml:space="preserve">, </w:t>
      </w:r>
      <w:r>
        <w:rPr>
          <w:rtl w:val="true"/>
        </w:rPr>
        <w:t>כי התקיימו רכיבי היסוד העובדתי</w:t>
      </w:r>
      <w:r>
        <w:rPr>
          <w:rtl w:val="true"/>
        </w:rPr>
        <w:t xml:space="preserve">, </w:t>
      </w:r>
      <w:r>
        <w:rPr>
          <w:rtl w:val="true"/>
        </w:rPr>
        <w:t>בהתאם להשתלשלות האירועים שתוארה לעיל</w:t>
      </w:r>
      <w:r>
        <w:rPr>
          <w:rtl w:val="true"/>
        </w:rPr>
        <w:t xml:space="preserve">, </w:t>
      </w:r>
      <w:r>
        <w:rPr>
          <w:rtl w:val="true"/>
        </w:rPr>
        <w:t xml:space="preserve">ורכיבי היסוד הנפשי של </w:t>
      </w:r>
      <w:r>
        <w:rPr>
          <w:rtl w:val="true"/>
        </w:rPr>
        <w:t>"</w:t>
      </w:r>
      <w:r>
        <w:rPr>
          <w:rtl w:val="true"/>
        </w:rPr>
        <w:t>הכנה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". </w:t>
      </w:r>
      <w:r>
        <w:rPr>
          <w:rtl w:val="true"/>
        </w:rPr>
        <w:t>בית משפט קמא דחה את טענת המערער לקנטור מצד המנוחה</w:t>
      </w:r>
      <w:r>
        <w:rPr>
          <w:rtl w:val="true"/>
        </w:rPr>
        <w:t xml:space="preserve">, </w:t>
      </w:r>
      <w:r>
        <w:rPr>
          <w:rtl w:val="true"/>
        </w:rPr>
        <w:t>הן במישור הסובייקטיבי והן במישור האובייקטיבי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וחילק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בנותיה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באמצעות סנגורו כי בהתאם לתיקון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), </w:t>
      </w:r>
      <w:r>
        <w:rPr>
          <w:rtl w:val="true"/>
        </w:rPr>
        <w:t>החל על עניינו במידה שהוא מקל עמו</w:t>
      </w:r>
      <w:r>
        <w:rPr>
          <w:rtl w:val="true"/>
        </w:rPr>
        <w:t xml:space="preserve">, </w:t>
      </w:r>
      <w:r>
        <w:rPr>
          <w:rtl w:val="true"/>
        </w:rPr>
        <w:t xml:space="preserve">אין להרשיעו בעבירה של רצח בנסיבות מחמירות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 xml:space="preserve">שעונש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החובה</w:t>
      </w:r>
      <w:r>
        <w:rPr>
          <w:rtl w:val="true"/>
        </w:rPr>
        <w:t xml:space="preserve"> עליה הוא מאסר עולם חובה</w:t>
      </w:r>
      <w:r>
        <w:rPr>
          <w:rtl w:val="true"/>
        </w:rPr>
        <w:t xml:space="preserve">, </w:t>
      </w:r>
      <w:r>
        <w:rPr>
          <w:rtl w:val="true"/>
        </w:rPr>
        <w:t>מאחר שלא התקיימה אף אחת מהנסיבות המחמירות המנויות בסעיף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 xml:space="preserve">יש להרשיעו בעבירה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של רצח </w:t>
      </w:r>
      <w:r>
        <w:rPr>
          <w:rtl w:val="true"/>
        </w:rPr>
        <w:t>(</w:t>
      </w:r>
      <w:r>
        <w:rPr>
          <w:rtl w:val="true"/>
        </w:rPr>
        <w:t>ללא 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שהעונש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</w:t>
      </w:r>
      <w:r>
        <w:rPr>
          <w:rtl w:val="true"/>
        </w:rPr>
        <w:t xml:space="preserve"> עליה הוא מאסר עולם</w:t>
      </w:r>
      <w:r>
        <w:rPr>
          <w:rtl w:val="true"/>
        </w:rPr>
        <w:t xml:space="preserve">, </w:t>
      </w:r>
      <w:r>
        <w:rPr>
          <w:rtl w:val="true"/>
        </w:rPr>
        <w:t>ולהחזיר את עניינו לבית משפט קמא על מנת שזה יגזור את דינו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בערעורו מפרט המערער באמצעות סנגורו כי הנסיבה הרלוונטית לענייננו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המקבילה לעבירה של רצח </w:t>
      </w:r>
      <w:r>
        <w:rPr>
          <w:rtl w:val="true"/>
        </w:rPr>
        <w:t>"</w:t>
      </w:r>
      <w:r>
        <w:rPr>
          <w:rtl w:val="true"/>
        </w:rPr>
        <w:t>בכוונה תחילה</w:t>
      </w:r>
      <w:r>
        <w:rPr>
          <w:rtl w:val="true"/>
        </w:rPr>
        <w:t xml:space="preserve">", </w:t>
      </w:r>
      <w:r>
        <w:rPr>
          <w:rtl w:val="true"/>
        </w:rPr>
        <w:t xml:space="preserve">היא זו הקבועה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 "</w:t>
      </w:r>
      <w:r>
        <w:rPr>
          <w:rtl w:val="true"/>
        </w:rPr>
        <w:t xml:space="preserve">המעשה נעשה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הסנגור טוען כי על</w:t>
      </w:r>
      <w:r>
        <w:rPr>
          <w:rtl w:val="true"/>
        </w:rPr>
        <w:t>-</w:t>
      </w:r>
      <w:r>
        <w:rPr>
          <w:rtl w:val="true"/>
        </w:rPr>
        <w:t>פי לשון הסעיף וכוונת המחוקק ברפורמה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נסיבה זו נועדה לחול על קשת מצומצמת יותר של מקרים מאשר היסוד של </w:t>
      </w:r>
      <w:r>
        <w:rPr>
          <w:rtl w:val="true"/>
        </w:rPr>
        <w:t>"</w:t>
      </w:r>
      <w:r>
        <w:rPr>
          <w:rtl w:val="true"/>
        </w:rPr>
        <w:t>בכוונה תחילה</w:t>
      </w:r>
      <w:r>
        <w:rPr>
          <w:rtl w:val="true"/>
        </w:rPr>
        <w:t xml:space="preserve">" </w:t>
      </w:r>
      <w:r>
        <w:rPr>
          <w:rtl w:val="true"/>
        </w:rPr>
        <w:t>שפורש בצורה מרחיבה בפסיקה</w:t>
      </w:r>
      <w:r>
        <w:rPr>
          <w:rtl w:val="true"/>
        </w:rPr>
        <w:t xml:space="preserve">. </w:t>
      </w:r>
      <w:r>
        <w:rPr>
          <w:rtl w:val="true"/>
        </w:rPr>
        <w:t xml:space="preserve">על רקע תפיסה זו מוסבר כי רצח המנוחה לא נעשה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", </w:t>
      </w:r>
      <w:r>
        <w:rPr>
          <w:rtl w:val="true"/>
        </w:rPr>
        <w:t>אלא בחמת זעם ובאופן ספונטני</w:t>
      </w:r>
      <w:r>
        <w:rPr>
          <w:rtl w:val="true"/>
        </w:rPr>
        <w:t xml:space="preserve">, </w:t>
      </w:r>
      <w:r>
        <w:rPr>
          <w:rtl w:val="true"/>
        </w:rPr>
        <w:t>ומכאן שאין להרשיע את המערער בעבירה של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לחלופין נטען כי גם אם התקיימו הנסיבות להרשעת המערער בעבירה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להרשיעו בעבירה זו וזאת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המאפשר לבית המשפט</w:t>
      </w:r>
      <w:r>
        <w:rPr>
          <w:rtl w:val="true"/>
        </w:rPr>
        <w:t xml:space="preserve">, </w:t>
      </w:r>
      <w:r>
        <w:rPr>
          <w:rtl w:val="true"/>
        </w:rPr>
        <w:t>מטעמים מיוחדים שיירשמו</w:t>
      </w:r>
      <w:r>
        <w:rPr>
          <w:rtl w:val="true"/>
        </w:rPr>
        <w:t xml:space="preserve">, </w:t>
      </w:r>
      <w:r>
        <w:rPr>
          <w:rtl w:val="true"/>
        </w:rPr>
        <w:t xml:space="preserve">ובהתקיים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שבשלהן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 xml:space="preserve">להרשיעו בעבירת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אינה חולקת על המסגור המשפטי העקרוני שמציג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שלפיו הרפורמה בעבירות ההמתה ביקשה לנסח מחדש את היסוד של </w:t>
      </w:r>
      <w:r>
        <w:rPr>
          <w:rtl w:val="true"/>
        </w:rPr>
        <w:t>"</w:t>
      </w:r>
      <w:r>
        <w:rPr>
          <w:rtl w:val="true"/>
        </w:rPr>
        <w:t>בכוונה תחילה</w:t>
      </w:r>
      <w:r>
        <w:rPr>
          <w:rtl w:val="true"/>
        </w:rPr>
        <w:t xml:space="preserve">", </w:t>
      </w:r>
      <w:r>
        <w:rPr>
          <w:rtl w:val="true"/>
        </w:rPr>
        <w:t xml:space="preserve">כך שהנסיבה המחמירה הקבועה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נועדה להבחין בין מקרים שביסודם תכנון או הליך ממשי של שקילה</w:t>
      </w:r>
      <w:r>
        <w:rPr>
          <w:rtl w:val="true"/>
        </w:rPr>
        <w:t xml:space="preserve">, </w:t>
      </w:r>
      <w:r>
        <w:rPr>
          <w:rtl w:val="true"/>
        </w:rPr>
        <w:t>לבין מקרים שבהם הרצון להמית נוצר באופן ספונטני ובלהט הרגע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המשיבה סבורה כי מעשה המערער בענייננו עולה כדי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לנוכח התקיימותן של שתי נסיבות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" (</w:t>
      </w:r>
      <w:r>
        <w:rPr>
          <w:rtl w:val="true"/>
        </w:rPr>
        <w:t xml:space="preserve">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" (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: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הצטיידותו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; </w:t>
      </w:r>
      <w:r>
        <w:rPr>
          <w:rtl w:val="true"/>
        </w:rPr>
        <w:t>מעקב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יציאתה</w:t>
      </w:r>
      <w:r>
        <w:rPr>
          <w:rtl w:val="true"/>
        </w:rPr>
        <w:t xml:space="preserve">;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התרחשותו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נחישות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הפסקתו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יציאה</w:t>
      </w:r>
      <w:r>
        <w:rPr>
          <w:rtl w:val="true"/>
        </w:rPr>
        <w:t xml:space="preserve">" </w:t>
      </w:r>
      <w:r>
        <w:rPr>
          <w:rtl w:val="true"/>
        </w:rPr>
        <w:t>אפשריות</w:t>
      </w:r>
      <w:r>
        <w:rPr>
          <w:rtl w:val="true"/>
        </w:rPr>
        <w:t xml:space="preserve">; </w:t>
      </w:r>
      <w:r>
        <w:rPr>
          <w:rtl w:val="true"/>
        </w:rPr>
        <w:t>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ואופן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ומכוונות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bidi w:val="0"/>
        <w:rPr/>
      </w:pPr>
      <w:r>
        <w:rPr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בפנינו חזר בא</w:t>
      </w:r>
      <w:r>
        <w:rPr>
          <w:rtl w:val="true"/>
        </w:rPr>
        <w:t>-</w:t>
      </w:r>
      <w:r>
        <w:rPr>
          <w:rtl w:val="true"/>
        </w:rPr>
        <w:t>כוח המערער על הטענה כי לא התקיים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תוך שחלק על טענות המשיבה לגבי הנתונים המסוימים אשר מגבשים לשיטתה נסיבה מחמירה זו</w:t>
      </w:r>
      <w:r>
        <w:rPr>
          <w:rtl w:val="true"/>
        </w:rPr>
        <w:t xml:space="preserve">. </w:t>
      </w:r>
      <w:r>
        <w:rPr>
          <w:rtl w:val="true"/>
        </w:rPr>
        <w:t>בנוסף טען בא</w:t>
      </w:r>
      <w:r>
        <w:rPr>
          <w:rtl w:val="true"/>
        </w:rPr>
        <w:t>-</w:t>
      </w:r>
      <w:r>
        <w:rPr>
          <w:rtl w:val="true"/>
        </w:rPr>
        <w:t>כוח המערער כי לא התקיימה אכזריות מיוחדת במעשה המערער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אכזריות החורגת מזו הקיימת בכל מעשה רצח</w:t>
      </w:r>
      <w:r>
        <w:rPr>
          <w:rtl w:val="true"/>
        </w:rPr>
        <w:t xml:space="preserve">. </w:t>
      </w:r>
      <w:r>
        <w:rPr>
          <w:rtl w:val="true"/>
        </w:rPr>
        <w:t>לעניין זה הדגיש הסנגור כי שאלת האכזריות צריכה להיבחן מנקודת מבטו של קורבן העבירה</w:t>
      </w:r>
      <w:r>
        <w:rPr>
          <w:rtl w:val="true"/>
        </w:rPr>
        <w:t xml:space="preserve">, </w:t>
      </w:r>
      <w:r>
        <w:rPr>
          <w:rtl w:val="true"/>
        </w:rPr>
        <w:t>וציין כי אין בפסק דינו של בית המשפט המחוזי קביעה פוזיטיבית כי מעשה הרצח נעשה לנגד עיני ביתה של המנוחה תוך מודעותה של המנוחה לכך</w:t>
      </w:r>
      <w:r>
        <w:rPr>
          <w:rtl w:val="true"/>
        </w:rPr>
        <w:t xml:space="preserve">. </w:t>
      </w:r>
      <w:r>
        <w:rPr>
          <w:rtl w:val="true"/>
        </w:rPr>
        <w:t xml:space="preserve">הסנגור לא חזר בדיון על הטיעון להתקיימות נסיבות מיוחדות מקלות לפי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outlineLvl w:val="0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השאלה העומדת לפתחנו היא האם מעשהו של המערער מגבש את אחת הנסיבות המפורטות בעבירה של רצח בנסיבות מחמירות לפי נוסחו החדש של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במידה שהתשובה לשאלה זו היא בשלילה</w:t>
      </w:r>
      <w:r>
        <w:rPr>
          <w:rtl w:val="true"/>
        </w:rPr>
        <w:t xml:space="preserve">, </w:t>
      </w:r>
      <w:r>
        <w:rPr>
          <w:rtl w:val="true"/>
        </w:rPr>
        <w:t>יוצא כי הרפורמה בעבירות ההמתה מקלה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במובן שהעונש בגין העבירה שביצע לא יהיה עונש חובה של מאסר עולם </w:t>
      </w:r>
      <w:r>
        <w:rPr>
          <w:rtl w:val="true"/>
        </w:rPr>
        <w:t>(</w:t>
      </w:r>
      <w:r>
        <w:rPr>
          <w:rtl w:val="true"/>
        </w:rPr>
        <w:t xml:space="preserve">אלא עונש </w:t>
      </w:r>
      <w:r>
        <w:rPr>
          <w:rFonts w:ascii="Century" w:hAnsi="Century" w:cs="Century"/>
          <w:sz w:val="22"/>
          <w:sz w:val="22"/>
          <w:rtl w:val="true"/>
        </w:rPr>
        <w:t>מרבי</w:t>
      </w:r>
      <w:r>
        <w:rPr>
          <w:rtl w:val="true"/>
        </w:rPr>
        <w:t xml:space="preserve"> של מאסר עולם</w:t>
      </w:r>
      <w:r>
        <w:rPr>
          <w:rtl w:val="true"/>
        </w:rPr>
        <w:t xml:space="preserve">). </w:t>
      </w:r>
      <w:r>
        <w:rPr>
          <w:rtl w:val="true"/>
        </w:rPr>
        <w:t>על מנת לקבוע כי מעשהו של המערער מהווה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די בהתגבשותה של אחת מהנסיבות המפורטות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המשיבה טוענת כי שתיים מנסיבות אלו מתקיימות </w:t>
      </w:r>
      <w:r>
        <w:rPr>
          <w:rtl w:val="true"/>
        </w:rPr>
        <w:t>–</w:t>
      </w:r>
      <w:r>
        <w:rPr>
          <w:rtl w:val="true"/>
        </w:rPr>
        <w:t xml:space="preserve"> אכזריות מיוחדת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השמינית</w:t>
      </w:r>
      <w:r>
        <w:rPr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שעניינה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בכך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שהקורבן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הוא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קטין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שטרם מלאו לו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</w:rPr>
        <w:t>14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שנים</w:t>
      </w:r>
      <w:r>
        <w:rPr>
          <w:rFonts w:cs="Garamond" w:ascii="Garamond" w:hAnsi="Garamond"/>
          <w:sz w:val="24"/>
          <w:rtl w:val="true"/>
        </w:rPr>
        <w:t>,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קטין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שעובר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העבירה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אחראי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עליו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חסר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ישע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כהגדרתו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בחוק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העשירית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נפתח את הדיון בחלופה השביעית בעבירת הרצח בנסיבות מחמירות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לנוכח חשיבות העניין</w:t>
      </w:r>
      <w:r>
        <w:rPr>
          <w:rtl w:val="true"/>
        </w:rPr>
        <w:t xml:space="preserve">, </w:t>
      </w:r>
      <w:r>
        <w:rPr>
          <w:rtl w:val="true"/>
        </w:rPr>
        <w:t>נציג את לשון הנסיבה באופן מלא</w:t>
      </w:r>
      <w:r>
        <w:rPr>
          <w:rtl w:val="true"/>
        </w:rPr>
        <w:t xml:space="preserve">: </w:t>
      </w:r>
      <w:r>
        <w:rPr>
          <w:rtl w:val="true"/>
        </w:rPr>
        <w:t>״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״</w:t>
      </w:r>
      <w:r>
        <w:rPr>
          <w:rtl w:val="true"/>
        </w:rPr>
        <w:t xml:space="preserve">. </w:t>
      </w:r>
      <w:r>
        <w:rPr>
          <w:rtl w:val="true"/>
        </w:rPr>
        <w:t>עינינו הרואות כי הנסיבה טומנת בחובה שלוש חלופות שדי באחת מהן כדי לגבשה</w:t>
      </w:r>
      <w:r>
        <w:rPr>
          <w:rtl w:val="true"/>
        </w:rPr>
        <w:t xml:space="preserve">: </w:t>
      </w:r>
      <w:r>
        <w:rPr>
          <w:rtl w:val="true"/>
        </w:rPr>
        <w:t>אכזריות מיוחדת</w:t>
      </w:r>
      <w:r>
        <w:rPr>
          <w:rtl w:val="true"/>
        </w:rPr>
        <w:t xml:space="preserve">, </w:t>
      </w:r>
      <w:r>
        <w:rPr>
          <w:rtl w:val="true"/>
        </w:rPr>
        <w:t>התעללות גופנית בקורבן או התעללות נפשית בקורבן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לענייננו נתמקד ברישא של הסעיף</w:t>
      </w:r>
      <w:r>
        <w:rPr>
          <w:rtl w:val="true"/>
        </w:rPr>
        <w:t xml:space="preserve">: </w:t>
      </w:r>
      <w:r>
        <w:rPr>
          <w:rtl w:val="true"/>
        </w:rPr>
        <w:t>אכזריות מיוחדת</w:t>
      </w:r>
      <w:r>
        <w:rPr>
          <w:rtl w:val="true"/>
        </w:rPr>
        <w:t xml:space="preserve">. </w:t>
      </w:r>
      <w:r>
        <w:rPr>
          <w:rtl w:val="true"/>
        </w:rPr>
        <w:t>קמה ומזדקרת השאלה מהי אכזריות מיוחדת</w:t>
      </w:r>
      <w:r>
        <w:rPr>
          <w:rtl w:val="true"/>
        </w:rPr>
        <w:t xml:space="preserve">, </w:t>
      </w:r>
      <w:r>
        <w:rPr>
          <w:rtl w:val="true"/>
        </w:rPr>
        <w:t>שהרי ניתן לומר שישנה אכזריות בכל עבירת רצח</w:t>
      </w:r>
      <w:r>
        <w:rPr>
          <w:rtl w:val="true"/>
        </w:rPr>
        <w:t xml:space="preserve">. </w:t>
      </w:r>
      <w:r>
        <w:rPr>
          <w:rtl w:val="true"/>
        </w:rPr>
        <w:t>המחוקק היה מודע לקושי זה</w:t>
      </w:r>
      <w:r>
        <w:rPr>
          <w:rtl w:val="true"/>
        </w:rPr>
        <w:t xml:space="preserve">, </w:t>
      </w:r>
      <w:r>
        <w:rPr>
          <w:rtl w:val="true"/>
        </w:rPr>
        <w:t xml:space="preserve">וביאר בדברי ההסבר להצעת החוק של רפורמת עבירות ההמתה כי </w:t>
      </w:r>
      <w:r>
        <w:rPr>
          <w:rtl w:val="true"/>
        </w:rPr>
        <w:t>"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בביטוי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' </w:t>
      </w:r>
      <w:r>
        <w:rPr>
          <w:rtl w:val="true"/>
        </w:rPr>
        <w:t>מגלם</w:t>
      </w:r>
      <w:r>
        <w:rPr>
          <w:rtl w:val="true"/>
        </w:rPr>
        <w:t xml:space="preserve"> </w:t>
      </w:r>
      <w:r>
        <w:rPr>
          <w:rtl w:val="true"/>
        </w:rPr>
        <w:t>דרישה</w:t>
      </w:r>
      <w:r>
        <w:rPr>
          <w:rtl w:val="true"/>
        </w:rPr>
        <w:t xml:space="preserve"> </w:t>
      </w:r>
      <w:r>
        <w:rPr>
          <w:rtl w:val="true"/>
        </w:rPr>
        <w:t>לאכזריות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החורגת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הגלומה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בעצם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tl w:val="true"/>
        </w:rPr>
        <w:t>" (</w:t>
      </w:r>
      <w:r>
        <w:rPr>
          <w:rtl w:val="true"/>
        </w:rPr>
        <w:t xml:space="preserve">דברי הסבר להצעת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172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tl w:val="true"/>
        </w:rPr>
        <w:t xml:space="preserve">)). </w:t>
      </w:r>
      <w:r>
        <w:rPr>
          <w:rtl w:val="true"/>
        </w:rPr>
        <w:t>מהי אותה אכזריות</w:t>
      </w:r>
      <w:r>
        <w:rPr>
          <w:rtl w:val="true"/>
        </w:rPr>
        <w:t xml:space="preserve">? </w:t>
      </w:r>
      <w:r>
        <w:rPr>
          <w:rtl w:val="true"/>
        </w:rPr>
        <w:t>בדברי ההסבר לחוק פורש יסוד זה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בקרבן</w:t>
      </w:r>
      <w:r>
        <w:rPr>
          <w:rtl w:val="true"/>
        </w:rPr>
        <w:t xml:space="preserve">" </w:t>
      </w:r>
      <w:r>
        <w:rPr>
          <w:rtl w:val="true"/>
        </w:rPr>
        <w:t xml:space="preserve">שהתלוותה לרצח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 xml:space="preserve">)). </w:t>
      </w:r>
      <w:r>
        <w:rPr>
          <w:rtl w:val="true"/>
        </w:rPr>
        <w:t>המלומדים קרמניצר וגנאים מפרשים את יסוד האכזריות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לקורבן</w:t>
      </w:r>
      <w:r>
        <w:rPr>
          <w:rtl w:val="true"/>
        </w:rPr>
        <w:t xml:space="preserve">", </w:t>
      </w:r>
      <w:r>
        <w:rPr>
          <w:rtl w:val="true"/>
        </w:rPr>
        <w:t xml:space="preserve">ומבארים כי הסבל יכול להיות פיזי או נפשי </w:t>
      </w:r>
      <w:r>
        <w:rPr>
          <w:rtl w:val="true"/>
        </w:rPr>
        <w:t>(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חאלד</w:t>
      </w:r>
      <w:r>
        <w:rPr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320-319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עולה כי נקודת המבט שממנה נבחנת ככלל קיומה של אכזריות מיוחדת במעשה הרצח היא זו של קורבן 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קו זה</w:t>
      </w:r>
      <w:r>
        <w:rPr>
          <w:rtl w:val="true"/>
        </w:rPr>
        <w:t xml:space="preserve">, </w:t>
      </w:r>
      <w:r>
        <w:rPr>
          <w:rtl w:val="true"/>
        </w:rPr>
        <w:t xml:space="preserve">לאחרונה עמדתי על כך שנסיבה זו </w:t>
      </w:r>
      <w:r>
        <w:rPr>
          <w:rtl w:val="true"/>
        </w:rPr>
        <w:t>"</w:t>
      </w:r>
      <w:r>
        <w:rPr>
          <w:rtl w:val="true"/>
        </w:rPr>
        <w:t>שמה את הזרקור על קורבן העבירה</w:t>
      </w:r>
      <w:r>
        <w:rPr>
          <w:rtl w:val="true"/>
        </w:rPr>
        <w:t xml:space="preserve">. </w:t>
      </w:r>
      <w:r>
        <w:rPr>
          <w:rtl w:val="true"/>
        </w:rPr>
        <w:t>על בית המשפט לבחון את מעשה הרצח על פי החוויה שהקורבן עבר</w:t>
      </w:r>
      <w:r>
        <w:rPr>
          <w:rtl w:val="true"/>
        </w:rPr>
        <w:t>" 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tl w:val="true"/>
        </w:rPr>
        <w:t xml:space="preserve">)).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יודגש כי אין צורך לטעת מסמרות בשאלה האם האכזריות יכולה להיבחן רק מנקודת מבטו של הקורבן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תושם אל לב לשון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מורה מפורשות לגבי ההתעללות הגופנית או הנפשית כי היא בקורבן</w:t>
      </w:r>
      <w:r>
        <w:rPr>
          <w:rtl w:val="true"/>
        </w:rPr>
        <w:t xml:space="preserve">, </w:t>
      </w:r>
      <w:r>
        <w:rPr>
          <w:rtl w:val="true"/>
        </w:rPr>
        <w:t>אך לא מציינת באופן דומה כי האכזריות היא כלפי הקורבן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יצוין כי על</w:t>
      </w:r>
      <w:r>
        <w:rPr>
          <w:rtl w:val="true"/>
        </w:rPr>
        <w:t>-</w:t>
      </w:r>
      <w:r>
        <w:rPr>
          <w:rtl w:val="true"/>
        </w:rPr>
        <w:t>פי לשון הסעיף</w:t>
      </w:r>
      <w:r>
        <w:rPr>
          <w:rtl w:val="true"/>
        </w:rPr>
        <w:t xml:space="preserve">, </w:t>
      </w:r>
      <w:r>
        <w:rPr>
          <w:rtl w:val="true"/>
        </w:rPr>
        <w:t>האכזריות המיוחדת מתייחסת לטיב המעשה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שיטת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ביצוע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35-34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שוא</w:t>
      </w:r>
      <w:r>
        <w:rPr>
          <w:rtl w:val="true"/>
        </w:rPr>
        <w:t xml:space="preserve">)).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פגיעה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  <w:r>
        <w:rPr>
          <w:rtl w:val="true"/>
        </w:rPr>
        <w:t>בדוגמא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בהכרה</w:t>
      </w:r>
      <w:r>
        <w:rPr>
          <w:rtl w:val="true"/>
        </w:rPr>
        <w:t xml:space="preserve">.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לנגד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עיניהם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לנוכחותם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מבלי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להכריע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לנוכח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מורכבותה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ומשום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שהצדדים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טענו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ביחס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אליה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מעשים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שבוצעו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כלפי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גופת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הקורבן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לאחר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הרצח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כגון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אינוס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השחתת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הגופה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Garamond" w:hAnsi="Garamond" w:cs="Garamond"/>
          <w:sz w:val="24"/>
        </w:rPr>
      </w:pPr>
      <w:r>
        <w:rPr>
          <w:rFonts w:cs="Garamond"/>
          <w:sz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 xml:space="preserve">הדוגמא הראשונה והדוגמא השנייה </w:t>
      </w:r>
      <w:r>
        <w:rPr>
          <w:rtl w:val="true"/>
        </w:rPr>
        <w:t>–</w:t>
      </w:r>
      <w:r>
        <w:rPr>
          <w:rtl w:val="true"/>
        </w:rPr>
        <w:t xml:space="preserve"> רצח שבוצע בשיטה אכזרית במיוחד</w:t>
      </w:r>
      <w:r>
        <w:rPr>
          <w:rtl w:val="true"/>
        </w:rPr>
        <w:t xml:space="preserve">, </w:t>
      </w:r>
      <w:r>
        <w:rPr>
          <w:rtl w:val="true"/>
        </w:rPr>
        <w:t xml:space="preserve">או רצח שבוצע תוך השפלה או פגיעה בכבוד של הקורבן </w:t>
      </w:r>
      <w:r>
        <w:rPr>
          <w:rtl w:val="true"/>
        </w:rPr>
        <w:t>–</w:t>
      </w:r>
      <w:r>
        <w:rPr>
          <w:rtl w:val="true"/>
        </w:rPr>
        <w:t xml:space="preserve"> נכנסות בבירור בגדרי הנסיבה של ״אכזריות מיוחדת״ או ״התעללות גופנית או נפשית בקורבן״</w:t>
      </w:r>
      <w:r>
        <w:rPr>
          <w:rtl w:val="true"/>
        </w:rPr>
        <w:t xml:space="preserve">. </w:t>
      </w:r>
      <w:r>
        <w:rPr>
          <w:rtl w:val="true"/>
        </w:rPr>
        <w:t>דומה כי גם במצב שבו הקורבן אינו מודע למעשה ההשפלה</w:t>
      </w:r>
      <w:r>
        <w:rPr>
          <w:rtl w:val="true"/>
        </w:rPr>
        <w:t xml:space="preserve">, </w:t>
      </w:r>
      <w:r>
        <w:rPr>
          <w:rtl w:val="true"/>
        </w:rPr>
        <w:t>יש בו אכזריות מיוחדת</w:t>
      </w:r>
      <w:r>
        <w:rPr>
          <w:rtl w:val="true"/>
        </w:rPr>
        <w:t xml:space="preserve">. </w:t>
      </w:r>
      <w:r>
        <w:rPr>
          <w:rtl w:val="true"/>
        </w:rPr>
        <w:t xml:space="preserve">הדוגמא השלישית והרביעית </w:t>
      </w:r>
      <w:r>
        <w:rPr>
          <w:rtl w:val="true"/>
        </w:rPr>
        <w:t>–</w:t>
      </w:r>
      <w:r>
        <w:rPr>
          <w:rtl w:val="true"/>
        </w:rPr>
        <w:t xml:space="preserve"> נוכחותם של עדים</w:t>
      </w:r>
      <w:r>
        <w:rPr>
          <w:rtl w:val="true"/>
        </w:rPr>
        <w:t xml:space="preserve">, </w:t>
      </w:r>
      <w:r>
        <w:rPr>
          <w:rtl w:val="true"/>
        </w:rPr>
        <w:t xml:space="preserve">והיחס לגופת הקורבן לאחר הרצח </w:t>
      </w:r>
      <w:r>
        <w:rPr>
          <w:rtl w:val="true"/>
        </w:rPr>
        <w:t>–</w:t>
      </w:r>
      <w:r>
        <w:rPr>
          <w:rtl w:val="true"/>
        </w:rPr>
        <w:t xml:space="preserve"> מורכבות יותר</w:t>
      </w:r>
      <w:r>
        <w:rPr>
          <w:rtl w:val="true"/>
        </w:rPr>
        <w:t xml:space="preserve">. </w:t>
      </w:r>
      <w:r>
        <w:rPr>
          <w:rtl w:val="true"/>
        </w:rPr>
        <w:t>נראה כי היחס לדוגמא השלישית תלוי בעיקר בווריאציות השונות שיכולות להיות לה</w:t>
      </w:r>
      <w:r>
        <w:rPr>
          <w:rtl w:val="true"/>
        </w:rPr>
        <w:t xml:space="preserve">. </w:t>
      </w:r>
      <w:r>
        <w:rPr>
          <w:rtl w:val="true"/>
        </w:rPr>
        <w:t>אם למשל ילדיו הקטינים של הקורבן עדים למעשה הרצח</w:t>
      </w:r>
      <w:r>
        <w:rPr>
          <w:rtl w:val="true"/>
        </w:rPr>
        <w:t xml:space="preserve">, </w:t>
      </w:r>
      <w:r>
        <w:rPr>
          <w:rtl w:val="true"/>
        </w:rPr>
        <w:t>והקורבן מודע לכך</w:t>
      </w:r>
      <w:r>
        <w:rPr>
          <w:rtl w:val="true"/>
        </w:rPr>
        <w:t xml:space="preserve">, </w:t>
      </w:r>
      <w:r>
        <w:rPr>
          <w:rtl w:val="true"/>
        </w:rPr>
        <w:t>סבורני כי לא קשה לקבוע כי מדובר ברצח באכזריות מיוחדת</w:t>
      </w:r>
      <w:r>
        <w:rPr>
          <w:rtl w:val="true"/>
        </w:rPr>
        <w:t xml:space="preserve">. </w:t>
      </w:r>
      <w:r>
        <w:rPr>
          <w:rtl w:val="true"/>
        </w:rPr>
        <w:t>באשר לדוגמא הרביעית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נדמה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הקושי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המגלה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נציין כי ככלל המיקוד הוא בקורבן אך החוק אינו דורש זאת</w:t>
      </w:r>
      <w:r>
        <w:rPr>
          <w:rtl w:val="true"/>
        </w:rPr>
        <w:t xml:space="preserve">. </w:t>
      </w:r>
      <w:r>
        <w:rPr>
          <w:rtl w:val="true"/>
        </w:rPr>
        <w:t>יכולות כאמור להיות אפשרויות שונות</w:t>
      </w:r>
      <w:r>
        <w:rPr>
          <w:rtl w:val="true"/>
        </w:rPr>
        <w:t xml:space="preserve">; </w:t>
      </w:r>
      <w:r>
        <w:rPr>
          <w:rtl w:val="true"/>
        </w:rPr>
        <w:t>רשימת הדוגמאות המוזכרות כלל אינה ממצה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השילוב של הדמיון המעוות של הרוצח ושל שיקול הדעת הרחב שמקנה לשון החוק</w:t>
      </w:r>
      <w:r>
        <w:rPr>
          <w:rtl w:val="true"/>
        </w:rPr>
        <w:t xml:space="preserve">, </w:t>
      </w:r>
      <w:r>
        <w:rPr>
          <w:rtl w:val="true"/>
        </w:rPr>
        <w:t>מעלה כי מוטב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פיתוח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להיזהר</w:t>
      </w:r>
      <w:r>
        <w:rPr>
          <w:rtl w:val="true"/>
        </w:rPr>
        <w:t xml:space="preserve"> </w:t>
      </w:r>
      <w:r>
        <w:rPr>
          <w:rtl w:val="true"/>
        </w:rPr>
        <w:t>מקביעת</w:t>
      </w:r>
      <w:r>
        <w:rPr>
          <w:rtl w:val="true"/>
        </w:rPr>
        <w:t xml:space="preserve"> כללים פרשניים באופן פסקני לכאן או לכאן</w:t>
      </w:r>
      <w:r>
        <w:rPr>
          <w:rtl w:val="true"/>
        </w:rPr>
        <w:t xml:space="preserve">. </w:t>
      </w:r>
      <w:r>
        <w:rPr>
          <w:rtl w:val="true"/>
        </w:rPr>
        <w:t xml:space="preserve">כפי שציינתי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>גידורה המדויק של עבירת ההמתה ב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>עתיד להיתוות ולהתהדק לאורך השנים</w:t>
      </w:r>
      <w:r>
        <w:rPr>
          <w:rtl w:val="true"/>
        </w:rPr>
        <w:t xml:space="preserve">, </w:t>
      </w:r>
      <w:r>
        <w:rPr>
          <w:rtl w:val="true"/>
        </w:rPr>
        <w:t xml:space="preserve">עם הצטברות פסיקות נוספות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ובחזרה למקרה דנן</w:t>
      </w:r>
      <w:r>
        <w:rPr>
          <w:rtl w:val="true"/>
        </w:rPr>
        <w:t xml:space="preserve">. </w:t>
      </w:r>
      <w:r>
        <w:rPr>
          <w:rtl w:val="true"/>
        </w:rPr>
        <w:t xml:space="preserve">הנסיבות האיומות והמבעיתות של מעשה הרצח שביצע המערער מאפשרות לקבוע ללא קושי מיוחד כי מתקיים בו היסוד של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". </w:t>
      </w:r>
      <w:r>
        <w:rPr>
          <w:rtl w:val="true"/>
        </w:rPr>
        <w:t>כך בראש ובראשונה מאחר שהמעשה נעשה בנוכחותה של א</w:t>
      </w:r>
      <w:r>
        <w:rPr>
          <w:rtl w:val="true"/>
        </w:rPr>
        <w:t xml:space="preserve">', </w:t>
      </w:r>
      <w:r>
        <w:rPr>
          <w:rtl w:val="true"/>
        </w:rPr>
        <w:t>ביתה של המנוחה</w:t>
      </w:r>
      <w:r>
        <w:rPr>
          <w:rtl w:val="true"/>
        </w:rPr>
        <w:t xml:space="preserve">, </w:t>
      </w:r>
      <w:r>
        <w:rPr>
          <w:rtl w:val="true"/>
        </w:rPr>
        <w:t>שהייתה עדת ראייה לאירוע</w:t>
      </w:r>
      <w:r>
        <w:rPr>
          <w:rtl w:val="true"/>
        </w:rPr>
        <w:t xml:space="preserve">, </w:t>
      </w:r>
      <w:r>
        <w:rPr>
          <w:rtl w:val="true"/>
        </w:rPr>
        <w:t>אשר התרחש בעודה קטינה</w:t>
      </w:r>
      <w:r>
        <w:rPr>
          <w:rtl w:val="true"/>
        </w:rPr>
        <w:t xml:space="preserve">, </w:t>
      </w:r>
      <w:r>
        <w:rPr>
          <w:rtl w:val="true"/>
        </w:rPr>
        <w:t xml:space="preserve">כאשר הייתה בת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הממצאים העובדתיים של בית משפט קמא נקבעו בעיקרם על סמך עדותה של א</w:t>
      </w:r>
      <w:r>
        <w:rPr>
          <w:rtl w:val="true"/>
        </w:rPr>
        <w:t xml:space="preserve">', </w:t>
      </w:r>
      <w:r>
        <w:rPr>
          <w:rtl w:val="true"/>
        </w:rPr>
        <w:t>אשר נמצאה כמהימנה ואומצה במלואה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הייתה עדה לכל שלבי השתלשלות האירועים</w:t>
      </w:r>
      <w:r>
        <w:rPr>
          <w:rtl w:val="true"/>
        </w:rPr>
        <w:t xml:space="preserve">: </w:t>
      </w:r>
      <w:r>
        <w:rPr>
          <w:rtl w:val="true"/>
        </w:rPr>
        <w:t xml:space="preserve">היא ראתה את המערער ואת אימה </w:t>
      </w:r>
      <w:r>
        <w:rPr>
          <w:rtl w:val="true"/>
        </w:rPr>
        <w:t>(</w:t>
      </w:r>
      <w:r>
        <w:rPr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רבים בעניין הדירה</w:t>
      </w:r>
      <w:r>
        <w:rPr>
          <w:rtl w:val="true"/>
        </w:rPr>
        <w:t xml:space="preserve">; </w:t>
      </w:r>
      <w:r>
        <w:rPr>
          <w:rtl w:val="true"/>
        </w:rPr>
        <w:t>ראתה את המערער עוקב אחרי אימה בדירה</w:t>
      </w:r>
      <w:r>
        <w:rPr>
          <w:rtl w:val="true"/>
        </w:rPr>
        <w:t xml:space="preserve">; </w:t>
      </w:r>
      <w:r>
        <w:rPr>
          <w:rtl w:val="true"/>
        </w:rPr>
        <w:t>ראתה את אימה מתקשרת למשטרה</w:t>
      </w:r>
      <w:r>
        <w:rPr>
          <w:rtl w:val="true"/>
        </w:rPr>
        <w:t xml:space="preserve">; </w:t>
      </w:r>
      <w:r>
        <w:rPr>
          <w:rtl w:val="true"/>
        </w:rPr>
        <w:t>וראתה את המערער תופס את ידה של אימה וגורר אותה בחזרה לבית אחרי שניסתה לצאת מהבית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המשיכה וראתה את המערער חונק את אימה </w:t>
      </w:r>
      <w:r>
        <w:rPr>
          <w:rtl w:val="true"/>
        </w:rPr>
        <w:t>–</w:t>
      </w:r>
      <w:r>
        <w:rPr>
          <w:rtl w:val="true"/>
        </w:rPr>
        <w:t xml:space="preserve"> תחילה במטבח ולאחר מכן בחדר המדרגות</w:t>
      </w:r>
      <w:r>
        <w:rPr>
          <w:rtl w:val="true"/>
        </w:rPr>
        <w:t xml:space="preserve">; </w:t>
      </w:r>
      <w:r>
        <w:rPr>
          <w:rtl w:val="true"/>
        </w:rPr>
        <w:t>ראתה כיצד אימה נאבקת שוב ושוב להשתחרר ממנו ללא הצלחה</w:t>
      </w:r>
      <w:r>
        <w:rPr>
          <w:rtl w:val="true"/>
        </w:rPr>
        <w:t xml:space="preserve">; </w:t>
      </w:r>
      <w:r>
        <w:rPr>
          <w:rtl w:val="true"/>
        </w:rPr>
        <w:t>ראתה כיצד המערער חותך את גרונה של אימה</w:t>
      </w:r>
      <w:r>
        <w:rPr>
          <w:rtl w:val="true"/>
        </w:rPr>
        <w:t xml:space="preserve">; </w:t>
      </w:r>
      <w:r>
        <w:rPr>
          <w:rtl w:val="true"/>
        </w:rPr>
        <w:t>ולבסוף ראתה כיצד אימה מתמוטטת על הרצפה מדממת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אף ניסתה להפסיק את המעשה הנורא של המערער </w:t>
      </w:r>
      <w:r>
        <w:rPr>
          <w:rtl w:val="true"/>
        </w:rPr>
        <w:t>–</w:t>
      </w:r>
      <w:r>
        <w:rPr>
          <w:rtl w:val="true"/>
        </w:rPr>
        <w:t xml:space="preserve"> היא צעקה עליו שישחרר את אימה וניסתה בעצמה לשחרר את לפיתתו של המערער בה</w:t>
      </w:r>
      <w:r>
        <w:rPr>
          <w:rtl w:val="true"/>
        </w:rPr>
        <w:t xml:space="preserve">, </w:t>
      </w:r>
      <w:r>
        <w:rPr>
          <w:rtl w:val="true"/>
        </w:rPr>
        <w:t>אולם ללא הועיל</w:t>
      </w:r>
      <w:r>
        <w:rPr>
          <w:rtl w:val="true"/>
        </w:rPr>
        <w:t xml:space="preserve">; </w:t>
      </w:r>
      <w:r>
        <w:rPr>
          <w:rtl w:val="true"/>
        </w:rPr>
        <w:t xml:space="preserve">המערער צעק עליה </w:t>
      </w:r>
      <w:r>
        <w:rPr>
          <w:rtl w:val="true"/>
        </w:rPr>
        <w:t>"</w:t>
      </w:r>
      <w:r>
        <w:rPr>
          <w:rtl w:val="true"/>
        </w:rPr>
        <w:t>תעופי מפה</w:t>
      </w:r>
      <w:r>
        <w:rPr>
          <w:rtl w:val="true"/>
        </w:rPr>
        <w:t xml:space="preserve">" </w:t>
      </w:r>
      <w:r>
        <w:rPr>
          <w:rtl w:val="true"/>
        </w:rPr>
        <w:t>ושלף בפניה סכין שנשא מתחת לחולצתו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 כי א׳ לא רק הייתה נוכחת בזירת האירוע אלא ראתה את מעשה הרצח במו עיניה באופן ישיר</w:t>
      </w:r>
      <w:r>
        <w:rPr>
          <w:rtl w:val="true"/>
        </w:rPr>
        <w:t xml:space="preserve">. </w:t>
      </w:r>
      <w:r>
        <w:rPr>
          <w:rtl w:val="true"/>
        </w:rPr>
        <w:t>הדבר עולה בבירור מעדותה המצמררת בבית משפט קמא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אני</w:t>
      </w:r>
      <w:r>
        <w:rPr>
          <w:rFonts w:ascii="Garamond" w:hAnsi="Garamond"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רואה</w:t>
      </w:r>
      <w:r>
        <w:rPr>
          <w:rFonts w:ascii="Garamond" w:hAnsi="Garamond"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את</w:t>
      </w:r>
      <w:r>
        <w:rPr>
          <w:rFonts w:ascii="Garamond" w:hAnsi="Garamond"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כל</w:t>
      </w:r>
      <w:r>
        <w:rPr>
          <w:rFonts w:ascii="Garamond" w:hAnsi="Garamond"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מה</w:t>
      </w:r>
      <w:r>
        <w:rPr>
          <w:rFonts w:ascii="Garamond" w:hAnsi="Garamond"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שקורה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מהדלת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שהשטיח</w:t>
      </w:r>
      <w:r>
        <w:rPr>
          <w:rtl w:val="true"/>
        </w:rPr>
        <w:t xml:space="preserve">, </w:t>
      </w:r>
      <w:r>
        <w:rPr>
          <w:rtl w:val="true"/>
        </w:rPr>
        <w:t>נשענו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הגרון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(...)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אמא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אבל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חותך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Fonts w:ascii="Garamond" w:hAnsi="Garamond" w:cs="Miriam"/>
          <w:b/>
          <w:b/>
          <w:spacing w:val="0"/>
          <w:szCs w:val="24"/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עמ׳</w:t>
      </w:r>
      <w:r>
        <w:rPr>
          <w:rFonts w:eastAsia="Arial TUR" w:cs="Arial TUR"/>
          <w:rtl w:val="true"/>
        </w:rPr>
        <w:t xml:space="preserve"> </w:t>
      </w:r>
      <w:r>
        <w:rPr/>
        <w:t>25-24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הפרוטוקול</w:t>
      </w:r>
      <w:r>
        <w:rPr>
          <w:rtl w:val="true"/>
        </w:rPr>
        <w:t xml:space="preserve">);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א׳ עומדת על כך גם בחקירתה הנגדית</w:t>
      </w:r>
      <w:r>
        <w:rPr>
          <w:rtl w:val="true"/>
        </w:rPr>
        <w:t>:</w:t>
      </w:r>
      <w:r>
        <w:rPr>
          <w:rtl w:val="true"/>
        </w:rPr>
        <w:tab/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למטבח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ראיתי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המקרה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עמ׳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בגיבוש עבירת הרצח בנסיבה המחמירה של אכזריות מיוחדת</w:t>
      </w:r>
      <w:r>
        <w:rPr>
          <w:rtl w:val="true"/>
        </w:rPr>
        <w:t xml:space="preserve">, </w:t>
      </w:r>
      <w:r>
        <w:rPr>
          <w:rtl w:val="true"/>
        </w:rPr>
        <w:t>במיוחד על</w:t>
      </w:r>
      <w:r>
        <w:rPr>
          <w:rtl w:val="true"/>
        </w:rPr>
        <w:t>-</w:t>
      </w:r>
      <w:r>
        <w:rPr>
          <w:rtl w:val="true"/>
        </w:rPr>
        <w:t>פי הדוגמא השלישית לעיל</w:t>
      </w:r>
      <w:r>
        <w:rPr>
          <w:rtl w:val="true"/>
        </w:rPr>
        <w:t xml:space="preserve">, </w:t>
      </w:r>
      <w:r>
        <w:rPr>
          <w:rtl w:val="true"/>
        </w:rPr>
        <w:t>יש משקל למה שראה הרוצח ומה שראה הקורבן מבחינת הנוכחות של הגורם הנוסף</w:t>
      </w:r>
      <w:r>
        <w:rPr>
          <w:rtl w:val="true"/>
        </w:rPr>
        <w:t xml:space="preserve">, </w:t>
      </w:r>
      <w:r>
        <w:rPr>
          <w:rtl w:val="true"/>
        </w:rPr>
        <w:t>במקרה זה הנערה הקטינה</w:t>
      </w:r>
      <w:r>
        <w:rPr>
          <w:rtl w:val="true"/>
        </w:rPr>
        <w:t xml:space="preserve">. </w:t>
      </w:r>
      <w:r>
        <w:rPr>
          <w:rtl w:val="true"/>
        </w:rPr>
        <w:t>בהיבטים אלו המקרה ברור</w:t>
      </w:r>
      <w:r>
        <w:rPr>
          <w:rtl w:val="true"/>
        </w:rPr>
        <w:t xml:space="preserve">. </w:t>
      </w:r>
      <w:r>
        <w:rPr>
          <w:rtl w:val="true"/>
        </w:rPr>
        <w:t>באשר לרוצח</w:t>
      </w:r>
      <w:r>
        <w:rPr>
          <w:rtl w:val="true"/>
        </w:rPr>
        <w:t xml:space="preserve">, </w:t>
      </w:r>
      <w:r>
        <w:rPr>
          <w:rtl w:val="true"/>
        </w:rPr>
        <w:t>עולה בבירור כי המערער היה מודע לנוכחות של א׳ באירוע</w:t>
      </w:r>
      <w:r>
        <w:rPr>
          <w:rtl w:val="true"/>
        </w:rPr>
        <w:t xml:space="preserve">; </w:t>
      </w:r>
      <w:r>
        <w:rPr>
          <w:rtl w:val="true"/>
        </w:rPr>
        <w:t>בין השניים אף הייתה אינטראקציה ישירה כאשר א׳ ניסתה לשחרר את אחיזתו של המערער במנוחה</w:t>
      </w:r>
      <w:r>
        <w:rPr>
          <w:rtl w:val="true"/>
        </w:rPr>
        <w:t xml:space="preserve">, </w:t>
      </w:r>
      <w:r>
        <w:rPr>
          <w:rtl w:val="true"/>
        </w:rPr>
        <w:t>והמערער צעק עליה ״תעופי מפה״ והראה לה את הסכין שנשא מתחת לחולצתו</w:t>
      </w:r>
      <w:r>
        <w:rPr>
          <w:rtl w:val="true"/>
        </w:rPr>
        <w:t xml:space="preserve">. </w:t>
      </w:r>
      <w:r>
        <w:rPr>
          <w:rtl w:val="true"/>
        </w:rPr>
        <w:t>יתרה מזו</w:t>
      </w:r>
      <w:r>
        <w:rPr>
          <w:rtl w:val="true"/>
        </w:rPr>
        <w:t xml:space="preserve">, </w:t>
      </w:r>
      <w:r>
        <w:rPr>
          <w:rtl w:val="true"/>
        </w:rPr>
        <w:t>מתיאור המצב העובדתי</w:t>
      </w:r>
      <w:r>
        <w:rPr>
          <w:rtl w:val="true"/>
        </w:rPr>
        <w:t xml:space="preserve">, </w:t>
      </w:r>
      <w:r>
        <w:rPr>
          <w:rtl w:val="true"/>
        </w:rPr>
        <w:t>שבו המערער תופס את המנוחה ומחזיק בה לכל אורך האירוע</w:t>
      </w:r>
      <w:r>
        <w:rPr>
          <w:rtl w:val="true"/>
        </w:rPr>
        <w:t xml:space="preserve">, </w:t>
      </w:r>
      <w:r>
        <w:rPr>
          <w:rtl w:val="true"/>
        </w:rPr>
        <w:t>עולה כי המערער לא רק היה מודע לכך שא׳ רואה את מעשה הרצח אלא גם לכך שהמנוחה</w:t>
      </w:r>
      <w:r>
        <w:rPr>
          <w:rtl w:val="true"/>
        </w:rPr>
        <w:t xml:space="preserve">, </w:t>
      </w:r>
      <w:r>
        <w:rPr>
          <w:rtl w:val="true"/>
        </w:rPr>
        <w:t>כמוהו</w:t>
      </w:r>
      <w:r>
        <w:rPr>
          <w:rtl w:val="true"/>
        </w:rPr>
        <w:t xml:space="preserve">, </w:t>
      </w:r>
      <w:r>
        <w:rPr>
          <w:rtl w:val="true"/>
        </w:rPr>
        <w:t>רואה שא׳ עדה למעשה הרצח</w:t>
      </w:r>
      <w:r>
        <w:rPr>
          <w:rtl w:val="true"/>
        </w:rPr>
        <w:t xml:space="preserve">. </w:t>
      </w:r>
      <w:r>
        <w:rPr>
          <w:rtl w:val="true"/>
        </w:rPr>
        <w:t>יובהר כי המודעות של הרוצח חשובה לצורך גיבוש היסוד הנפשי לעבירת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שהיא עבירה שונה מעבירת הרצח ״הבסיסית״</w:t>
      </w:r>
      <w:r>
        <w:rPr>
          <w:rtl w:val="true"/>
        </w:rPr>
        <w:t xml:space="preserve">; </w:t>
      </w:r>
      <w:r>
        <w:rPr>
          <w:rtl w:val="true"/>
        </w:rPr>
        <w:t>הרוצח צריך להיות מודע לעובדות אשר מגבשות את האכזריות המיוחדת</w:t>
      </w:r>
      <w:r>
        <w:rPr>
          <w:rtl w:val="true"/>
        </w:rPr>
        <w:t xml:space="preserve">. </w:t>
      </w:r>
      <w:r>
        <w:rPr>
          <w:rtl w:val="true"/>
        </w:rPr>
        <w:t>נשוב למודעות המנוחה</w:t>
      </w:r>
      <w:r>
        <w:rPr>
          <w:rtl w:val="true"/>
        </w:rPr>
        <w:t xml:space="preserve">. </w:t>
      </w:r>
      <w:r>
        <w:rPr>
          <w:rtl w:val="true"/>
        </w:rPr>
        <w:t>מהעובדות המתארות את השתלשלות האירועים כפי שנקבעו בפסק הדין קמא</w:t>
      </w:r>
      <w:r>
        <w:rPr>
          <w:rtl w:val="true"/>
        </w:rPr>
        <w:t xml:space="preserve">, </w:t>
      </w:r>
      <w:r>
        <w:rPr>
          <w:rtl w:val="true"/>
        </w:rPr>
        <w:t>תוך אימוץ עדותה של א</w:t>
      </w:r>
      <w:r>
        <w:rPr>
          <w:rtl w:val="true"/>
        </w:rPr>
        <w:t xml:space="preserve">'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עולה בבירור כי גם המנוחה הייתה מודעת לנוכחות של א</w:t>
      </w:r>
      <w:r>
        <w:rPr>
          <w:rtl w:val="true"/>
        </w:rPr>
        <w:t xml:space="preserve">'.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אם לא היה לה קשר עין רצוף איתה</w:t>
      </w:r>
      <w:r>
        <w:rPr>
          <w:rtl w:val="true"/>
        </w:rPr>
        <w:t xml:space="preserve">, </w:t>
      </w:r>
      <w:r>
        <w:rPr>
          <w:rtl w:val="true"/>
        </w:rPr>
        <w:t>וגם אם המודעות הייתה במהלך מעשה הרצח בשלביו השונים ולא ברגע מותה ממש</w:t>
      </w:r>
      <w:r>
        <w:rPr>
          <w:rtl w:val="true"/>
        </w:rPr>
        <w:t xml:space="preserve">. </w:t>
      </w:r>
      <w:r>
        <w:rPr>
          <w:rtl w:val="true"/>
        </w:rPr>
        <w:t>יוער בהקשר זה כי לא מצאתי טיעון מבוסס ביחס לאי</w:t>
      </w:r>
      <w:r>
        <w:rPr>
          <w:rtl w:val="true"/>
        </w:rPr>
        <w:t>-</w:t>
      </w:r>
      <w:r>
        <w:rPr>
          <w:rtl w:val="true"/>
        </w:rPr>
        <w:t>הכרה או אי</w:t>
      </w:r>
      <w:r>
        <w:rPr>
          <w:rtl w:val="true"/>
        </w:rPr>
        <w:t>-</w:t>
      </w:r>
      <w:r>
        <w:rPr>
          <w:rtl w:val="true"/>
        </w:rPr>
        <w:t>מודעות מצד המנוחה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אין צורך להכריע בשאלה האם די בכך שמעשה הרצח נעשה ביודעין לנגד עיניה של א׳</w:t>
      </w:r>
      <w:r>
        <w:rPr>
          <w:rtl w:val="true"/>
        </w:rPr>
        <w:t xml:space="preserve">, </w:t>
      </w:r>
      <w:r>
        <w:rPr>
          <w:rtl w:val="true"/>
        </w:rPr>
        <w:t>ביתה של המנוחה</w:t>
      </w:r>
      <w:r>
        <w:rPr>
          <w:rtl w:val="true"/>
        </w:rPr>
        <w:t xml:space="preserve">, </w:t>
      </w:r>
      <w:r>
        <w:rPr>
          <w:rtl w:val="true"/>
        </w:rPr>
        <w:t>כדי לגבש את היסוד של ״אכזריות מיוחדת״</w:t>
      </w:r>
      <w:r>
        <w:rPr>
          <w:rtl w:val="true"/>
        </w:rPr>
        <w:t xml:space="preserve">, </w:t>
      </w:r>
      <w:r>
        <w:rPr>
          <w:rtl w:val="true"/>
        </w:rPr>
        <w:t>אף ללא התבססות על מודעותה של המנוחה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נחזור לנסיבות המקרה ונרחיב ביחס למשמעותן המשפטית</w:t>
      </w:r>
      <w:r>
        <w:rPr>
          <w:rtl w:val="true"/>
        </w:rPr>
        <w:t xml:space="preserve">. </w:t>
      </w:r>
      <w:r>
        <w:rPr>
          <w:rtl w:val="true"/>
        </w:rPr>
        <w:t>דומה כי אין צורך להכביר מילים על מידת האכזריות הגלומה במעשה זה</w:t>
      </w:r>
      <w:r>
        <w:rPr>
          <w:rtl w:val="true"/>
        </w:rPr>
        <w:t xml:space="preserve">, </w:t>
      </w:r>
      <w:r>
        <w:rPr>
          <w:rtl w:val="true"/>
        </w:rPr>
        <w:t>החורגת מעצם האכזריות הטמונה בעצם מעשה ההמתה</w:t>
      </w:r>
      <w:r>
        <w:rPr>
          <w:rtl w:val="true"/>
        </w:rPr>
        <w:t xml:space="preserve">. </w:t>
      </w:r>
      <w:r>
        <w:rPr>
          <w:rtl w:val="true"/>
        </w:rPr>
        <w:t>נדגיש שוב כי לאורך האירוע המנוחה ידעה כי ביתה הקטינה צופה בה</w:t>
      </w:r>
      <w:r>
        <w:rPr>
          <w:rtl w:val="true"/>
        </w:rPr>
        <w:t xml:space="preserve">, </w:t>
      </w:r>
      <w:r>
        <w:rPr>
          <w:rtl w:val="true"/>
        </w:rPr>
        <w:t>בעודה נאבקת על חייה</w:t>
      </w:r>
      <w:r>
        <w:rPr>
          <w:rtl w:val="true"/>
        </w:rPr>
        <w:t xml:space="preserve">, </w:t>
      </w:r>
      <w:r>
        <w:rPr>
          <w:rtl w:val="true"/>
        </w:rPr>
        <w:t>ובלא שהיא יכולה לעשות דבר על מנת למנוע את המעשה הנורא</w:t>
      </w:r>
      <w:r>
        <w:rPr>
          <w:rtl w:val="true"/>
        </w:rPr>
        <w:t xml:space="preserve">. </w:t>
      </w:r>
      <w:r>
        <w:rPr>
          <w:rtl w:val="true"/>
        </w:rPr>
        <w:t>עדותה של א</w:t>
      </w:r>
      <w:r>
        <w:rPr>
          <w:rtl w:val="true"/>
        </w:rPr>
        <w:t xml:space="preserve">' </w:t>
      </w:r>
      <w:r>
        <w:rPr>
          <w:rtl w:val="true"/>
        </w:rPr>
        <w:t>לאירוע עולה אפוא באופן מובהק כדי פגיעה נוספת במנוחה</w:t>
      </w:r>
      <w:r>
        <w:rPr>
          <w:rtl w:val="true"/>
        </w:rPr>
        <w:t xml:space="preserve">, </w:t>
      </w:r>
      <w:r>
        <w:rPr>
          <w:rtl w:val="true"/>
        </w:rPr>
        <w:t>וכדי גרימת סבל מיוחד למנוחה</w:t>
      </w:r>
      <w:r>
        <w:rPr>
          <w:rtl w:val="true"/>
        </w:rPr>
        <w:t xml:space="preserve">, </w:t>
      </w:r>
      <w:r>
        <w:rPr>
          <w:rtl w:val="true"/>
        </w:rPr>
        <w:t>מעבר לזה הכרוך בעצם מעשה הרצח</w:t>
      </w:r>
      <w:r>
        <w:rPr>
          <w:rtl w:val="true"/>
        </w:rPr>
        <w:t xml:space="preserve">. </w:t>
      </w:r>
      <w:r>
        <w:rPr>
          <w:rtl w:val="true"/>
        </w:rPr>
        <w:t>בהקשר זה יודגש כי יש משקל לכך שמדובר בנערה קטינה</w:t>
      </w:r>
      <w:r>
        <w:rPr>
          <w:rtl w:val="true"/>
        </w:rPr>
        <w:t xml:space="preserve">, </w:t>
      </w:r>
      <w:r>
        <w:rPr>
          <w:rtl w:val="true"/>
        </w:rPr>
        <w:t xml:space="preserve">הגם שבת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ובביתה של המנוחה</w:t>
      </w:r>
      <w:r>
        <w:rPr>
          <w:rtl w:val="true"/>
        </w:rPr>
        <w:t xml:space="preserve">. </w:t>
      </w:r>
      <w:r>
        <w:rPr>
          <w:rtl w:val="true"/>
        </w:rPr>
        <w:t>עוד תצוין בהקשר זה ההשפעה של האירוע המצמרר על א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כפי שפורט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מתסקיר נפגעי העבירה עולה כי מבין מעגל הנפגעים שסביב המנוחה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היא הנפגעת העיקרית מאירוע הרצח</w:t>
      </w:r>
      <w:r>
        <w:rPr>
          <w:rtl w:val="true"/>
        </w:rPr>
        <w:t xml:space="preserve">; </w:t>
      </w:r>
      <w:r>
        <w:rPr>
          <w:rtl w:val="true"/>
        </w:rPr>
        <w:t>צוין כי היה לה קשר קרוב עם אימה</w:t>
      </w:r>
      <w:r>
        <w:rPr>
          <w:rtl w:val="true"/>
        </w:rPr>
        <w:t xml:space="preserve">, </w:t>
      </w:r>
      <w:r>
        <w:rPr>
          <w:rtl w:val="true"/>
        </w:rPr>
        <w:t>כי לאחר האירוע הופיעו אצלה תסמינים האופייניים לאנשים שחוו טראומה</w:t>
      </w:r>
      <w:r>
        <w:rPr>
          <w:rtl w:val="true"/>
        </w:rPr>
        <w:t xml:space="preserve">, </w:t>
      </w:r>
      <w:r>
        <w:rPr>
          <w:rtl w:val="true"/>
        </w:rPr>
        <w:t>וכי היא תזדקק לשנים רבות של ריפוי</w:t>
      </w:r>
      <w:r>
        <w:rPr>
          <w:rtl w:val="true"/>
        </w:rPr>
        <w:t xml:space="preserve">, </w:t>
      </w:r>
      <w:r>
        <w:rPr>
          <w:rtl w:val="true"/>
        </w:rPr>
        <w:t>שיקום ואיחוי הנזק הרגשי שנגרם לה</w:t>
      </w:r>
      <w:r>
        <w:rPr>
          <w:rtl w:val="true"/>
        </w:rPr>
        <w:t xml:space="preserve">. </w:t>
      </w:r>
      <w:r>
        <w:rPr>
          <w:rtl w:val="true"/>
        </w:rPr>
        <w:t>גם בכך יש כדי להעצים את האכזריות המיוחדת הגלומה בביצוע הרצח לנגד עיניה של א</w:t>
      </w:r>
      <w:r>
        <w:rPr>
          <w:rtl w:val="true"/>
        </w:rPr>
        <w:t xml:space="preserve">';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אם אנו בוחנים אכזריות זו מנקודת מבטה של המנוחה</w:t>
      </w:r>
      <w:r>
        <w:rPr>
          <w:rtl w:val="true"/>
        </w:rPr>
        <w:t xml:space="preserve">, </w:t>
      </w:r>
      <w:r>
        <w:rPr>
          <w:rtl w:val="true"/>
        </w:rPr>
        <w:t>שבוודאי חוותה ברגעיה האחרונים סבל בל</w:t>
      </w:r>
      <w:r>
        <w:rPr>
          <w:rtl w:val="true"/>
        </w:rPr>
        <w:t>-</w:t>
      </w:r>
      <w:r>
        <w:rPr>
          <w:rtl w:val="true"/>
        </w:rPr>
        <w:t>יתואר מעצם המחשבה על הסבל שנגרם לביתה</w:t>
      </w:r>
      <w:r>
        <w:rPr>
          <w:rtl w:val="true"/>
        </w:rPr>
        <w:t xml:space="preserve">, </w:t>
      </w:r>
      <w:r>
        <w:rPr>
          <w:rtl w:val="true"/>
        </w:rPr>
        <w:t>ועתיד ללוות אותה לשארית חייה</w:t>
      </w:r>
      <w:r>
        <w:rPr>
          <w:rtl w:val="true"/>
        </w:rPr>
        <w:t xml:space="preserve">.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מעדותה של א</w:t>
      </w:r>
      <w:r>
        <w:rPr>
          <w:rtl w:val="true"/>
        </w:rPr>
        <w:t xml:space="preserve">' </w:t>
      </w:r>
      <w:r>
        <w:rPr>
          <w:rtl w:val="true"/>
        </w:rPr>
        <w:t>בבית המשפט המחוזי עולה כי גם אחיותיה הקטנות</w:t>
      </w:r>
      <w:r>
        <w:rPr>
          <w:rtl w:val="true"/>
        </w:rPr>
        <w:t xml:space="preserve">, </w:t>
      </w:r>
      <w:r>
        <w:rPr>
          <w:rtl w:val="true"/>
        </w:rPr>
        <w:t>בנותיהן של המערער והמנוחה</w:t>
      </w:r>
      <w:r>
        <w:rPr>
          <w:rtl w:val="true"/>
        </w:rPr>
        <w:t xml:space="preserve">, </w:t>
      </w:r>
      <w:r>
        <w:rPr>
          <w:rtl w:val="true"/>
        </w:rPr>
        <w:t xml:space="preserve">שהיו בנות כשנה וכשנתיים באותה עת </w:t>
      </w:r>
      <w:r>
        <w:rPr>
          <w:rtl w:val="true"/>
        </w:rPr>
        <w:t>–</w:t>
      </w:r>
      <w:r>
        <w:rPr>
          <w:rtl w:val="true"/>
        </w:rPr>
        <w:t xml:space="preserve"> נכחו באירוע</w:t>
      </w:r>
      <w:r>
        <w:rPr>
          <w:rtl w:val="true"/>
        </w:rPr>
        <w:t xml:space="preserve">. </w:t>
      </w:r>
      <w:r>
        <w:rPr>
          <w:rtl w:val="true"/>
        </w:rPr>
        <w:t xml:space="preserve">א׳ מציינת בעדותה כי אחיותיה נכחו בבית ביום הרצח </w:t>
      </w:r>
      <w:r>
        <w:rPr>
          <w:rtl w:val="true"/>
        </w:rPr>
        <w:t>(</w:t>
      </w:r>
      <w:r>
        <w:rPr>
          <w:rtl w:val="true"/>
        </w:rPr>
        <w:t xml:space="preserve">עמ׳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 xml:space="preserve">וכן מתארת את האופן הנורא שבו הפעוטות מצאו את אימן לאחר שנדקרה למוות </w:t>
      </w:r>
      <w:r>
        <w:rPr>
          <w:rtl w:val="true"/>
        </w:rPr>
        <w:t>(</w:t>
      </w:r>
      <w:r>
        <w:rPr>
          <w:rtl w:val="true"/>
        </w:rPr>
        <w:t xml:space="preserve">עמ׳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עולה בוודאות מלאה כי הרצח בוצע לנגד עיניהן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הערכאה הדיונית לא נדרשה לקבוע ממצא פוזיטיבי בשאלה זו</w:t>
      </w:r>
      <w:r>
        <w:rPr>
          <w:rtl w:val="true"/>
        </w:rPr>
        <w:t xml:space="preserve">. </w:t>
      </w:r>
      <w:r>
        <w:rPr>
          <w:rtl w:val="true"/>
        </w:rPr>
        <w:t>נוכחותן של שתי הילדות הנוספות כמובן מעצימה את האכזריות שבמעשה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אולם גם בהתעלם ממנו מעשהו מקיים יסוד של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שמראה המשיבה</w:t>
      </w:r>
      <w:r>
        <w:rPr>
          <w:rtl w:val="true"/>
        </w:rPr>
        <w:t xml:space="preserve">, </w:t>
      </w:r>
      <w:r>
        <w:rPr>
          <w:rtl w:val="true"/>
        </w:rPr>
        <w:t>התרחיש של גבר הרוצח את אשתו לנגד עיני ילדיהם הוזכר בדיוני ועדת החוקה על אודות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בתור אחד התרחישים המקיימים את הנסיבה המחמירה הנדונה בענייננו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פרוטוקול ישיבה מס</w:t>
      </w:r>
      <w:r>
        <w:rPr>
          <w:rtl w:val="true"/>
        </w:rPr>
        <w:t xml:space="preserve">' </w:t>
      </w:r>
      <w:r>
        <w:rPr/>
        <w:t>505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, </w:t>
      </w:r>
      <w:r>
        <w:rPr/>
        <w:t>33-32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קו פרשני זה אף אומץ לאחרונה גם במספר פסקי דין של בתי המשפט המחוזיים אשר דנו במקרים של רצח נשים בידי בעליהן</w:t>
      </w:r>
      <w:r>
        <w:rPr>
          <w:rtl w:val="true"/>
        </w:rPr>
        <w:t xml:space="preserve">, </w:t>
      </w:r>
      <w:r>
        <w:rPr>
          <w:rtl w:val="true"/>
        </w:rPr>
        <w:t>וקבעו כי עצם ביצוע המעשה לנגד עיניהם של ילדיהן הקטינים של הקורבנות</w:t>
      </w:r>
      <w:r>
        <w:rPr>
          <w:rtl w:val="true"/>
        </w:rPr>
        <w:t xml:space="preserve">, </w:t>
      </w:r>
      <w:r>
        <w:rPr>
          <w:rtl w:val="true"/>
        </w:rPr>
        <w:t xml:space="preserve">מהווה היבט של אכזריות מיוחדת לפי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ביחס להיבט זה בלבד ומבלי להתייחס לכל עניין מעבר לכך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חי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8"/>
            <w:u w:val="single"/>
          </w:rPr>
          <w:t>5551-06-16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טחימר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184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3.2.2020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26738-11-19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6.10.2021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41291-04-19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13.10.2021</w:t>
      </w:r>
      <w:r>
        <w:rPr>
          <w:rtl w:val="true"/>
        </w:rPr>
        <w:t xml:space="preserve">)). </w:t>
      </w:r>
      <w:r>
        <w:rPr>
          <w:rtl w:val="true"/>
        </w:rPr>
        <w:t>פרשנות זו עולה בקנה אחד עם פסיקתו של בית משפט זה לפני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שנאלצה לא פעם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לעמוד על האכזריות והחומרה המיוחדת שבביצוע רצח לנגד עיני ילדיהם הקטינים של הנאשם והמנוחה</w:t>
      </w:r>
      <w:r>
        <w:rPr>
          <w:rtl w:val="true"/>
        </w:rPr>
        <w:t xml:space="preserve">, </w:t>
      </w:r>
      <w:r>
        <w:rPr>
          <w:rtl w:val="true"/>
        </w:rPr>
        <w:t xml:space="preserve">ועל הענישה המחמירה שזו מחייבת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2910/09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קאסיה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21.11.2011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להשלמת התמונה יוער כי לא מן הנמנע כי אופן ההמתה של המנוחה </w:t>
      </w:r>
      <w:r>
        <w:rPr>
          <w:rtl w:val="true"/>
        </w:rPr>
        <w:t>–</w:t>
      </w:r>
      <w:r>
        <w:rPr>
          <w:rtl w:val="true"/>
        </w:rPr>
        <w:t xml:space="preserve"> בדירתה שלה</w:t>
      </w:r>
      <w:r>
        <w:rPr>
          <w:rtl w:val="true"/>
        </w:rPr>
        <w:t xml:space="preserve">, </w:t>
      </w:r>
      <w:r>
        <w:rPr>
          <w:rtl w:val="true"/>
        </w:rPr>
        <w:t>במאבק</w:t>
      </w:r>
      <w:r>
        <w:rPr>
          <w:rtl w:val="true"/>
        </w:rPr>
        <w:t xml:space="preserve">, </w:t>
      </w:r>
      <w:r>
        <w:rPr>
          <w:rtl w:val="true"/>
        </w:rPr>
        <w:t xml:space="preserve">בשלבים שונים ובדקירות סכין מרובות שהסתיימו בשיסוף גרונה </w:t>
      </w:r>
      <w:r>
        <w:rPr>
          <w:rtl w:val="true"/>
        </w:rPr>
        <w:t>–</w:t>
      </w:r>
      <w:r>
        <w:rPr>
          <w:rtl w:val="true"/>
        </w:rPr>
        <w:t xml:space="preserve"> מגבש כשלעצמו את היסוד של אכזריות מיוחדת או התעללות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כזכור שיטת הרצח היא אחת מהאפשרויות לגיבוש האכזריות מיוחדת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משיסוד האכזריות המיוחדת מתקיים באופן מובהק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היות שביתה של המנוחה הייתה עדה למעשה </w:t>
      </w:r>
      <w:r>
        <w:rPr>
          <w:rtl w:val="true"/>
        </w:rPr>
        <w:t>–</w:t>
      </w:r>
      <w:r>
        <w:rPr>
          <w:rtl w:val="true"/>
        </w:rPr>
        <w:t xml:space="preserve"> איננו נדרשים להכריע בשאלה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הרצח שביצע המערער נעשה</w:t>
      </w:r>
      <w:r>
        <w:rPr>
          <w:rtl w:val="true"/>
        </w:rPr>
        <w:t xml:space="preserve">, </w:t>
      </w:r>
      <w:r>
        <w:rPr>
          <w:rtl w:val="true"/>
        </w:rPr>
        <w:t xml:space="preserve">כפי לשון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באכזריות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יוצא כי הרפורמה בעבירות ההמתה אינה מיטיבה עם המערער מבחינת הענישה על מעשה הרצח שביצע ואין בה כדי לשנות את הכרעת דינו וגזר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די בכך כדי להוביל לדחיית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משהגענו למסקנה זו על בסיס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אין כל צורך להידרש לטענות הצדדים באשר לנסיבה הקבועה 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 xml:space="preserve">הליך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את המשך הפיתוח הפרשני של סעיף זה</w:t>
      </w:r>
      <w:r>
        <w:rPr>
          <w:rtl w:val="true"/>
        </w:rPr>
        <w:t xml:space="preserve">, </w:t>
      </w:r>
      <w:r>
        <w:rPr>
          <w:rtl w:val="true"/>
        </w:rPr>
        <w:t xml:space="preserve">שהחל להירקם בפסיקת בית משפט זה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20-16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 xml:space="preserve">)), </w:t>
      </w:r>
      <w:r>
        <w:rPr>
          <w:rtl w:val="true"/>
        </w:rPr>
        <w:t xml:space="preserve">נותיר למקרים עתידיים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סיום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שהגעתי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מגבש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 יהיה נכון שלא להתייחס להקשר הכללי שבו נטוע מעשהו של המערער כלפי המנוחה</w:t>
      </w:r>
      <w:r>
        <w:rPr>
          <w:rtl w:val="true"/>
        </w:rPr>
        <w:t xml:space="preserve">. </w:t>
      </w:r>
      <w:r>
        <w:rPr>
          <w:rtl w:val="true"/>
        </w:rPr>
        <w:t>הכוונה לתופעה החברתית המדאיגה של רצח נשים בידי בני זוגן</w:t>
      </w:r>
      <w:r>
        <w:rPr>
          <w:rtl w:val="true"/>
        </w:rPr>
        <w:t xml:space="preserve">. </w:t>
      </w:r>
      <w:r>
        <w:rPr>
          <w:rtl w:val="true"/>
        </w:rPr>
        <w:t>הסתכלות על פסקי הדין המאוזכרים בפסק דין זה</w:t>
      </w:r>
      <w:r>
        <w:rPr>
          <w:rtl w:val="true"/>
        </w:rPr>
        <w:t xml:space="preserve">, </w:t>
      </w:r>
      <w:r>
        <w:rPr>
          <w:rtl w:val="true"/>
        </w:rPr>
        <w:t xml:space="preserve">שכמעט כולם נסובים על מקרי רצח </w:t>
      </w:r>
      <w:r>
        <w:rPr>
          <w:rtl w:val="true"/>
        </w:rPr>
        <w:t>(</w:t>
      </w:r>
      <w:r>
        <w:rPr>
          <w:rtl w:val="true"/>
        </w:rPr>
        <w:t>או ניסיונות רצח</w:t>
      </w:r>
      <w:r>
        <w:rPr>
          <w:rtl w:val="true"/>
        </w:rPr>
        <w:t xml:space="preserve">) </w:t>
      </w:r>
      <w:r>
        <w:rPr>
          <w:rtl w:val="true"/>
        </w:rPr>
        <w:t xml:space="preserve">של נשים בידי בני זוגן </w:t>
      </w:r>
      <w:r>
        <w:rPr>
          <w:rtl w:val="true"/>
        </w:rPr>
        <w:t>–</w:t>
      </w:r>
      <w:r>
        <w:rPr>
          <w:rtl w:val="true"/>
        </w:rPr>
        <w:t xml:space="preserve"> רובם ככולם בבתיהן</w:t>
      </w:r>
      <w:r>
        <w:rPr>
          <w:rtl w:val="true"/>
        </w:rPr>
        <w:t xml:space="preserve">, </w:t>
      </w:r>
      <w:r>
        <w:rPr>
          <w:rtl w:val="true"/>
        </w:rPr>
        <w:t xml:space="preserve">מקום שאמור להיות מקום מבטחן </w:t>
      </w:r>
      <w:r>
        <w:rPr>
          <w:rtl w:val="true"/>
        </w:rPr>
        <w:t>–</w:t>
      </w:r>
      <w:r>
        <w:rPr>
          <w:rtl w:val="true"/>
        </w:rPr>
        <w:t xml:space="preserve"> ממחישה כשלעצמה את היקפה וחומרתה של תופעה זו</w:t>
      </w:r>
      <w:r>
        <w:rPr>
          <w:rtl w:val="true"/>
        </w:rPr>
        <w:t xml:space="preserve">. </w:t>
      </w:r>
      <w:r>
        <w:rPr>
          <w:rtl w:val="true"/>
        </w:rPr>
        <w:t>תופעה נפסדת זו</w:t>
      </w:r>
      <w:r>
        <w:rPr>
          <w:rtl w:val="true"/>
        </w:rPr>
        <w:t xml:space="preserve">, </w:t>
      </w:r>
      <w:r>
        <w:rPr>
          <w:rtl w:val="true"/>
        </w:rPr>
        <w:t>החוצה מגזרים וקבוצות חברתיות</w:t>
      </w:r>
      <w:r>
        <w:rPr>
          <w:rtl w:val="true"/>
        </w:rPr>
        <w:t xml:space="preserve">, </w:t>
      </w:r>
      <w:r>
        <w:rPr>
          <w:rtl w:val="true"/>
        </w:rPr>
        <w:t xml:space="preserve">גבתה את חייהן של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 xml:space="preserve">קורבנות בתקופה שבין 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לשנת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נשים בשנת </w:t>
      </w:r>
      <w:r>
        <w:rPr/>
        <w:t>2020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רי אלמו קפיטל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ריכוז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נשים</w:t>
      </w:r>
      <w:r>
        <w:rPr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מרכז המחקר והמידע</w:t>
      </w:r>
      <w:r>
        <w:rPr>
          <w:rtl w:val="true"/>
        </w:rPr>
        <w:t xml:space="preserve">, </w:t>
      </w:r>
      <w:r>
        <w:rPr/>
        <w:t>2021</w:t>
      </w:r>
      <w:r>
        <w:rPr>
          <w:rtl w:val="true"/>
        </w:rPr>
        <w:t xml:space="preserve">)). </w:t>
      </w:r>
      <w:r>
        <w:rPr>
          <w:rtl w:val="true"/>
        </w:rPr>
        <w:t>מקרים אלו של רצח נשים בידי בני זוגן הם מקרי הקצה של תופעה רחבה יותר של אלימות נגד נשים</w:t>
      </w:r>
      <w:r>
        <w:rPr>
          <w:rtl w:val="true"/>
        </w:rPr>
        <w:t xml:space="preserve">, </w:t>
      </w:r>
      <w:r>
        <w:rPr>
          <w:rtl w:val="true"/>
        </w:rPr>
        <w:t xml:space="preserve">שהחמירה עוד מאז פרוץ מגפת הקורונה </w:t>
      </w:r>
      <w:r>
        <w:rPr>
          <w:rtl w:val="true"/>
        </w:rPr>
        <w:t>–</w:t>
      </w:r>
      <w:r>
        <w:rPr>
          <w:rtl w:val="true"/>
        </w:rPr>
        <w:t xml:space="preserve"> החמרה שבאה לידי ביטוי בעלייה של מאות אחוזים במספר הפניות למוקד המידע והסיוע של משרד הרווחה</w:t>
      </w:r>
      <w:r>
        <w:rPr>
          <w:rtl w:val="true"/>
        </w:rPr>
        <w:t xml:space="preserve">, </w:t>
      </w:r>
      <w:r>
        <w:rPr>
          <w:rtl w:val="true"/>
        </w:rPr>
        <w:t xml:space="preserve">ושל עשרות אחוזים במספר הפניות למרכזי טיפול ולמשטרה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בעמ׳ </w:t>
      </w:r>
      <w:r>
        <w:rPr/>
        <w:t>19-16</w:t>
      </w:r>
      <w:r>
        <w:rPr>
          <w:rtl w:val="true"/>
        </w:rPr>
        <w:t xml:space="preserve">). </w:t>
      </w:r>
      <w:r>
        <w:rPr>
          <w:rtl w:val="true"/>
        </w:rPr>
        <w:t xml:space="preserve">כפי שכתב לא מכבר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>: "</w:t>
      </w:r>
      <w:r>
        <w:rPr>
          <w:rtl w:val="true"/>
        </w:rPr>
        <w:t>השנים חולפות</w:t>
      </w:r>
      <w:r>
        <w:rPr>
          <w:rtl w:val="true"/>
        </w:rPr>
        <w:t xml:space="preserve">, </w:t>
      </w:r>
      <w:r>
        <w:rPr>
          <w:rtl w:val="true"/>
        </w:rPr>
        <w:t>נדמה לנו שאנו צועדים קדימה לעבר עולם מתקדם ושוויוני יותר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לדאבון הלב</w:t>
      </w:r>
      <w:r>
        <w:rPr>
          <w:rtl w:val="true"/>
        </w:rPr>
        <w:t xml:space="preserve">, </w:t>
      </w:r>
      <w:r>
        <w:rPr>
          <w:rtl w:val="true"/>
        </w:rPr>
        <w:t>בתחום האלימות נגד נשים מצד בני זוגן וקרוביהן עולם כעוולתו נוהג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מהדהד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ובהיקפן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היומיומית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מיוחדת״</w:t>
      </w:r>
      <w:r>
        <w:rPr>
          <w:rtl w:val="true"/>
        </w:rPr>
        <w:t xml:space="preserve">. </w:t>
      </w:r>
      <w:r>
        <w:rPr>
          <w:rtl w:val="true"/>
        </w:rPr>
        <w:t>האכזריות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ראשית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>ה</w:t>
      </w:r>
      <w:r>
        <w:rPr>
          <w:rtl w:val="true"/>
        </w:rPr>
        <w:t>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״הבסיסית״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שמחייבת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ברוב רשעותו</w:t>
      </w:r>
      <w:r>
        <w:rPr>
          <w:rtl w:val="true"/>
        </w:rPr>
        <w:t xml:space="preserve">, </w:t>
      </w:r>
      <w:r>
        <w:rPr>
          <w:rtl w:val="true"/>
        </w:rPr>
        <w:t>המערער הוציא להורג את רעייתו במעשה מזוויע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 xml:space="preserve">אנו נדרשים לקבוע האם מעשיו מגלמים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בבוקר יום </w:t>
      </w:r>
      <w:r>
        <w:rPr/>
        <w:t>25.10.2015</w:t>
      </w:r>
      <w:r>
        <w:rPr>
          <w:rtl w:val="true"/>
        </w:rPr>
        <w:t xml:space="preserve"> </w:t>
      </w:r>
      <w:r>
        <w:rPr>
          <w:rtl w:val="true"/>
        </w:rPr>
        <w:t xml:space="preserve">המערער רצח את אשתו </w:t>
      </w:r>
      <w:r>
        <w:rPr>
          <w:rtl w:val="true"/>
        </w:rPr>
        <w:t>–</w:t>
      </w:r>
      <w:r>
        <w:rPr>
          <w:rtl w:val="true"/>
        </w:rPr>
        <w:t xml:space="preserve"> אם לשלוש בנות</w:t>
      </w:r>
      <w:r>
        <w:rPr>
          <w:rtl w:val="true"/>
        </w:rPr>
        <w:t xml:space="preserve">, </w:t>
      </w:r>
      <w:r>
        <w:rPr>
          <w:rtl w:val="true"/>
        </w:rPr>
        <w:t>ששתיים מהן משותפות לה ולמערער</w:t>
      </w:r>
      <w:r>
        <w:rPr>
          <w:rtl w:val="true"/>
        </w:rPr>
        <w:t xml:space="preserve">, </w:t>
      </w:r>
      <w:r>
        <w:rPr>
          <w:rtl w:val="true"/>
        </w:rPr>
        <w:t>תוך שהוא דוקר אותה בפלג גופה העליון מספר פעמים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ולאחר ניסיונות מאבק ובריחה</w:t>
      </w:r>
      <w:r>
        <w:rPr>
          <w:rtl w:val="true"/>
        </w:rPr>
        <w:t xml:space="preserve">, </w:t>
      </w:r>
      <w:r>
        <w:rPr>
          <w:rtl w:val="true"/>
        </w:rPr>
        <w:t>משסף את גרונה בפתח הבית שבו התגוררה עימו בנתניה</w:t>
      </w:r>
      <w:r>
        <w:rPr>
          <w:rtl w:val="true"/>
        </w:rPr>
        <w:t xml:space="preserve">, </w:t>
      </w:r>
      <w:r>
        <w:rPr>
          <w:rtl w:val="true"/>
        </w:rPr>
        <w:t>לנגד עיניה של אחת מבנותיה הקטינות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הורשע לאחר שמיעת ראיות בעבירה של רצח בכוונה תחילה של רעייתו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כנוסחו אז</w:t>
      </w:r>
      <w:r>
        <w:rPr>
          <w:rtl w:val="true"/>
        </w:rPr>
        <w:t xml:space="preserve">. </w:t>
      </w:r>
      <w:r>
        <w:rPr>
          <w:rtl w:val="true"/>
        </w:rPr>
        <w:t>על המערער הושת עונש של מאסר עולם חובה</w:t>
      </w:r>
      <w:r>
        <w:rPr>
          <w:rtl w:val="true"/>
        </w:rPr>
        <w:t xml:space="preserve">, </w:t>
      </w:r>
      <w:r>
        <w:rPr>
          <w:rtl w:val="true"/>
        </w:rPr>
        <w:t>כמצוות המחוקק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סבור המערער כי יש להרשיעו בעבירת הרצח לפי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 בלבד</w:t>
      </w:r>
      <w:r>
        <w:rPr>
          <w:rtl w:val="true"/>
        </w:rPr>
        <w:t xml:space="preserve">, </w:t>
      </w:r>
      <w:r>
        <w:rPr>
          <w:rtl w:val="true"/>
        </w:rPr>
        <w:t>אשר אינה מחייבת הטלת עונש של מאסר עולם חובה</w:t>
      </w:r>
      <w:r>
        <w:rPr>
          <w:rtl w:val="true"/>
        </w:rPr>
        <w:t xml:space="preserve">, </w:t>
      </w:r>
      <w:r>
        <w:rPr>
          <w:rtl w:val="true"/>
        </w:rPr>
        <w:t>ועל כן יש להחזיר את הדיון לבית המשפט המחוזי לצורך גזירת עונשו מחדש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הנסיבה המחמירה של תכנון או שקילה שנקבעה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אינה חופפת את יסוד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שבגינו הורשע</w:t>
      </w:r>
      <w:r>
        <w:rPr>
          <w:rtl w:val="true"/>
        </w:rPr>
        <w:t xml:space="preserve">, </w:t>
      </w:r>
      <w:r>
        <w:rPr>
          <w:rtl w:val="true"/>
        </w:rPr>
        <w:t>אלא מכוונת לנגזרת מצומצמת יותר של מקרים</w:t>
      </w:r>
      <w:r>
        <w:rPr>
          <w:rtl w:val="true"/>
        </w:rPr>
        <w:t xml:space="preserve">, </w:t>
      </w:r>
      <w:r>
        <w:rPr>
          <w:rtl w:val="true"/>
        </w:rPr>
        <w:t>שעניינו אינו נמנה עליהם</w:t>
      </w:r>
      <w:r>
        <w:rPr>
          <w:rtl w:val="true"/>
        </w:rPr>
        <w:t xml:space="preserve">, </w:t>
      </w:r>
      <w:r>
        <w:rPr>
          <w:rtl w:val="true"/>
        </w:rPr>
        <w:t>מאחר שכוונתו התגבשה בספונטניות ובחמת זעם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מהמטבח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בהמתתה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הסכימה עם עמדתו העקרונית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נועד להבחין בין מקרי רצח שביסודם עמד תכנון או הליך ממשי של שקילה</w:t>
      </w:r>
      <w:r>
        <w:rPr>
          <w:rtl w:val="true"/>
        </w:rPr>
        <w:t xml:space="preserve">, </w:t>
      </w:r>
      <w:r>
        <w:rPr>
          <w:rtl w:val="true"/>
        </w:rPr>
        <w:t>לבין מקרים שבהם הרצון להמית נוצר בלהט הרגע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המשיבה סברה כי עניינו של המערער בא בגדרי קבוצת המקרים הראשונה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מצבור הנתונים מלמד כי המערער קיים הליך ממשי של שקילה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tl w:val="true"/>
        </w:rPr>
        <w:t xml:space="preserve">: </w:t>
      </w:r>
      <w:r>
        <w:rPr>
          <w:rtl w:val="true"/>
        </w:rPr>
        <w:t>איום מצד המערער כלפי המנוחה יומיים לפני הרצח</w:t>
      </w:r>
      <w:r>
        <w:rPr>
          <w:rtl w:val="true"/>
        </w:rPr>
        <w:t xml:space="preserve">; </w:t>
      </w:r>
      <w:r>
        <w:rPr>
          <w:rtl w:val="true"/>
        </w:rPr>
        <w:t>הצטיידות מראש בסכין הקצרה</w:t>
      </w:r>
      <w:r>
        <w:rPr>
          <w:rtl w:val="true"/>
        </w:rPr>
        <w:t xml:space="preserve">; </w:t>
      </w:r>
      <w:r>
        <w:rPr>
          <w:rtl w:val="true"/>
        </w:rPr>
        <w:t>מעקב אחרי המנוחה בדירה בבוקר הרצח</w:t>
      </w:r>
      <w:r>
        <w:rPr>
          <w:rtl w:val="true"/>
        </w:rPr>
        <w:t xml:space="preserve">; </w:t>
      </w:r>
      <w:r>
        <w:rPr>
          <w:rtl w:val="true"/>
        </w:rPr>
        <w:t>מעשה המתה מתמשך הכולל ריבוי זירות והחלפת סכין קצרה בארוכה</w:t>
      </w:r>
      <w:r>
        <w:rPr>
          <w:rtl w:val="true"/>
        </w:rPr>
        <w:t xml:space="preserve">; </w:t>
      </w:r>
      <w:r>
        <w:rPr>
          <w:rtl w:val="true"/>
        </w:rPr>
        <w:t xml:space="preserve">נחישות המערער לבצע את המעשה חרף התנגדות פעילה של המנוחה וקיומן של </w:t>
      </w:r>
      <w:r>
        <w:rPr>
          <w:rtl w:val="true"/>
        </w:rPr>
        <w:t>"</w:t>
      </w:r>
      <w:r>
        <w:rPr>
          <w:rtl w:val="true"/>
        </w:rPr>
        <w:t>תחנות יציאה</w:t>
      </w:r>
      <w:r>
        <w:rPr>
          <w:rtl w:val="true"/>
        </w:rPr>
        <w:t xml:space="preserve">"; </w:t>
      </w:r>
      <w:r>
        <w:rPr>
          <w:rtl w:val="true"/>
        </w:rPr>
        <w:t>ודרך ההמתה</w:t>
      </w:r>
      <w:r>
        <w:rPr>
          <w:rtl w:val="true"/>
        </w:rPr>
        <w:t xml:space="preserve">, </w:t>
      </w:r>
      <w:r>
        <w:rPr>
          <w:rtl w:val="true"/>
        </w:rPr>
        <w:t>על ידי שיסוף עוצמתי של הגרון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טענה המשיבה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במקרה מובהק של המתה בנסיבה מחמירה של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", </w:t>
      </w:r>
      <w:r>
        <w:rPr>
          <w:rtl w:val="true"/>
        </w:rPr>
        <w:t xml:space="preserve">לפי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הטעם לכך נעוץ ברצף המעשים עד להמתת המנוחה</w:t>
      </w:r>
      <w:r>
        <w:rPr>
          <w:rtl w:val="true"/>
        </w:rPr>
        <w:t xml:space="preserve">, </w:t>
      </w:r>
      <w:r>
        <w:rPr>
          <w:rtl w:val="true"/>
        </w:rPr>
        <w:t>בהתמשכותם</w:t>
      </w:r>
      <w:r>
        <w:rPr>
          <w:rtl w:val="true"/>
        </w:rPr>
        <w:t xml:space="preserve">, </w:t>
      </w:r>
      <w:r>
        <w:rPr>
          <w:rtl w:val="true"/>
        </w:rPr>
        <w:t>ובייחוד בכך שבוצעו לעיני בתה הקטינה של המנוחה</w:t>
      </w:r>
      <w:r>
        <w:rPr>
          <w:rtl w:val="true"/>
        </w:rPr>
        <w:t xml:space="preserve">, </w:t>
      </w:r>
      <w:r>
        <w:rPr>
          <w:rtl w:val="true"/>
        </w:rPr>
        <w:t>וייתכן שאף לעיני בנותיה הפעוטות</w:t>
      </w:r>
      <w:r>
        <w:rPr>
          <w:rtl w:val="true"/>
        </w:rPr>
        <w:t xml:space="preserve">. </w:t>
      </w:r>
      <w:r>
        <w:rPr>
          <w:rtl w:val="true"/>
        </w:rPr>
        <w:t>המשיבה גרסה כי המערער כפה על המנוחה סבל נוסף בכך שנדרשה לראות את בתה צופה בה ברגעיה האחרונים</w:t>
      </w:r>
      <w:r>
        <w:rPr>
          <w:rtl w:val="true"/>
        </w:rPr>
        <w:t xml:space="preserve">, </w:t>
      </w:r>
      <w:r>
        <w:rPr>
          <w:rtl w:val="true"/>
        </w:rPr>
        <w:t xml:space="preserve">בעת שהמערער אוחז בה כשגבה כלפיו ופניה כלפי חוץ </w:t>
      </w:r>
      <w:r>
        <w:rPr>
          <w:rtl w:val="true"/>
        </w:rPr>
        <w:t>(</w:t>
      </w:r>
      <w:r>
        <w:rPr>
          <w:rtl w:val="true"/>
        </w:rPr>
        <w:t>כלפי בתה</w:t>
      </w:r>
      <w:r>
        <w:rPr>
          <w:rtl w:val="true"/>
        </w:rPr>
        <w:t xml:space="preserve">) </w:t>
      </w:r>
      <w:r>
        <w:rPr>
          <w:rtl w:val="true"/>
        </w:rPr>
        <w:t>והוא חונק ודוקר אותה</w:t>
      </w:r>
      <w:r>
        <w:rPr>
          <w:rtl w:val="true"/>
        </w:rPr>
        <w:t xml:space="preserve">, </w:t>
      </w:r>
      <w:r>
        <w:rPr>
          <w:rtl w:val="true"/>
        </w:rPr>
        <w:t>עד למותה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אף אני סבור כי המקרה שלפנינו אכן בא בגדרי הנסיבה המחמירה של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 xml:space="preserve">הקבוע </w:t>
      </w:r>
      <w:hyperlink r:id="rId7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ולו מטעם זה בלבד</w:t>
      </w:r>
      <w:r>
        <w:rPr>
          <w:rtl w:val="true"/>
        </w:rPr>
        <w:t xml:space="preserve">, </w:t>
      </w:r>
      <w:r>
        <w:rPr>
          <w:rtl w:val="true"/>
        </w:rPr>
        <w:t>דינו של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נסיבת האכזריות המיוחדת נועדה בין היתר לבטא את הסלידה החברתית המוגברת כלפי רצח שנעשה באכזריות רבה או תוך התעללות</w:t>
      </w:r>
      <w:r>
        <w:rPr>
          <w:rtl w:val="true"/>
        </w:rPr>
        <w:t xml:space="preserve">. </w:t>
      </w:r>
      <w:r>
        <w:rPr>
          <w:rtl w:val="true"/>
        </w:rPr>
        <w:t xml:space="preserve">כעולה מדברי ההסבר להצעת החוק של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הביטוי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 xml:space="preserve">מגלם דרישה כי האכזריות תחרוג מזו הגלומה ממילא בעצם מעשה ההמתה </w:t>
      </w:r>
      <w:r>
        <w:rPr>
          <w:rtl w:val="true"/>
        </w:rPr>
        <w:t>(</w:t>
      </w:r>
      <w:r>
        <w:rPr>
          <w:rFonts w:ascii="Arial TUR" w:hAnsi="Arial TUR" w:cs="Arial TUR"/>
          <w:sz w:val="22"/>
          <w:sz w:val="22"/>
          <w:rtl w:val="true"/>
        </w:rPr>
        <w:t xml:space="preserve">דברי הסבר להצעת </w:t>
      </w:r>
      <w:hyperlink r:id="rId79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ascii="Arial TUR" w:hAnsi="Arial TUR" w:cs="Arial TUR"/>
          <w:sz w:val="22"/>
          <w:sz w:val="22"/>
          <w:rtl w:val="true"/>
        </w:rPr>
        <w:t>תיקון מס</w:t>
      </w:r>
      <w:r>
        <w:rPr>
          <w:rFonts w:cs="Arial TUR" w:ascii="Arial TUR" w:hAnsi="Arial TUR"/>
          <w:sz w:val="22"/>
          <w:rtl w:val="true"/>
        </w:rPr>
        <w:t xml:space="preserve">' </w:t>
      </w:r>
      <w:r>
        <w:rPr>
          <w:rFonts w:cs="Arial TUR" w:ascii="Arial TUR" w:hAnsi="Arial TUR"/>
          <w:sz w:val="22"/>
        </w:rPr>
        <w:t>124</w:t>
      </w:r>
      <w:r>
        <w:rPr>
          <w:rFonts w:cs="Arial TUR" w:ascii="Arial TUR" w:hAnsi="Arial TUR"/>
          <w:sz w:val="22"/>
          <w:rtl w:val="true"/>
        </w:rPr>
        <w:t xml:space="preserve">), </w:t>
      </w:r>
      <w:r>
        <w:rPr>
          <w:rFonts w:ascii="Arial TUR" w:hAnsi="Arial TUR" w:cs="Arial TUR"/>
          <w:sz w:val="22"/>
          <w:sz w:val="22"/>
          <w:rtl w:val="true"/>
        </w:rPr>
        <w:t>התשע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Arial TUR" w:hAnsi="Arial TUR" w:cs="Arial TUR"/>
          <w:sz w:val="22"/>
          <w:sz w:val="22"/>
          <w:rtl w:val="true"/>
        </w:rPr>
        <w:t>ו</w:t>
      </w:r>
      <w:r>
        <w:rPr>
          <w:rFonts w:cs="Arial TUR" w:ascii="Arial TUR" w:hAnsi="Arial TUR"/>
          <w:sz w:val="22"/>
          <w:rtl w:val="true"/>
        </w:rPr>
        <w:t>-</w:t>
      </w:r>
      <w:r>
        <w:rPr>
          <w:rFonts w:cs="Arial TUR" w:ascii="Arial TUR" w:hAnsi="Arial TUR"/>
          <w:sz w:val="22"/>
        </w:rPr>
        <w:t>2015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ה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Arial TUR" w:hAnsi="Arial TUR" w:cs="Arial TUR"/>
          <w:sz w:val="22"/>
          <w:sz w:val="22"/>
          <w:rtl w:val="true"/>
        </w:rPr>
        <w:t xml:space="preserve">ח </w:t>
      </w:r>
      <w:r>
        <w:rPr>
          <w:rFonts w:cs="Arial TUR" w:ascii="Arial TUR" w:hAnsi="Arial TUR"/>
          <w:sz w:val="22"/>
        </w:rPr>
        <w:t>972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עמ</w:t>
      </w:r>
      <w:r>
        <w:rPr>
          <w:rFonts w:cs="Arial TUR" w:ascii="Arial TUR" w:hAnsi="Arial TUR"/>
          <w:sz w:val="22"/>
          <w:rtl w:val="true"/>
        </w:rPr>
        <w:t xml:space="preserve">' </w:t>
      </w:r>
      <w:r>
        <w:rPr>
          <w:rFonts w:cs="Arial TUR" w:ascii="Arial TUR" w:hAnsi="Arial TUR"/>
          <w:sz w:val="22"/>
        </w:rPr>
        <w:t>172</w:t>
      </w:r>
      <w:r>
        <w:rPr>
          <w:rFonts w:cs="Arial TUR" w:ascii="Arial TUR" w:hAnsi="Arial TUR"/>
          <w:sz w:val="22"/>
          <w:rtl w:val="true"/>
        </w:rPr>
        <w:t xml:space="preserve">; </w:t>
      </w:r>
      <w:r>
        <w:rPr>
          <w:rFonts w:ascii="Arial TUR" w:hAnsi="Arial TUR" w:cs="Arial TUR"/>
          <w:sz w:val="22"/>
          <w:sz w:val="22"/>
          <w:rtl w:val="true"/>
        </w:rPr>
        <w:t>ראו גם</w:t>
      </w:r>
      <w:r>
        <w:rPr>
          <w:rFonts w:cs="Arial TUR" w:ascii="Arial TUR" w:hAnsi="Arial TUR"/>
          <w:sz w:val="22"/>
          <w:rtl w:val="true"/>
        </w:rPr>
        <w:t xml:space="preserve">: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פסקאות </w:t>
      </w:r>
      <w:r>
        <w:rPr/>
        <w:t>15-13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tl w:val="true"/>
        </w:rPr>
        <w:t xml:space="preserve">)). </w:t>
      </w:r>
      <w:r>
        <w:rPr>
          <w:rFonts w:cs="Arial TUR" w:ascii="Arial TUR" w:hAnsi="Arial TUR"/>
          <w:sz w:val="22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 הכירה בכך שביטוי זה מעניק שיקול דעת רחב לבתי המשפט</w:t>
      </w:r>
      <w:r>
        <w:rPr>
          <w:rtl w:val="true"/>
        </w:rPr>
        <w:t xml:space="preserve">, </w:t>
      </w:r>
      <w:r>
        <w:rPr>
          <w:rtl w:val="true"/>
        </w:rPr>
        <w:t xml:space="preserve">אשר טרם קבעו אמות מידה ברורות להחלתו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שוא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נסיבה זו שמה זרקור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 xml:space="preserve">ומשכך יש לבחון את מעשה הרצח על פי החוויה שעבר ועוצמת הפגיעה בו ובכבודו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נכון למועד כתיבת שורות אלה</w:t>
      </w:r>
      <w:r>
        <w:rPr>
          <w:rtl w:val="true"/>
        </w:rPr>
        <w:t xml:space="preserve">, </w:t>
      </w:r>
      <w:r>
        <w:rPr>
          <w:rtl w:val="true"/>
        </w:rPr>
        <w:t>במקרים בהם הרשיע בית משפט זה ברצח בנסיבות של אכזריות מיוחדת או של התעללות</w:t>
      </w:r>
      <w:r>
        <w:rPr>
          <w:rtl w:val="true"/>
        </w:rPr>
        <w:t xml:space="preserve">, </w:t>
      </w:r>
      <w:r>
        <w:rPr>
          <w:rtl w:val="true"/>
        </w:rPr>
        <w:t xml:space="preserve">הודגש בעיקר הסבל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tl w:val="true"/>
        </w:rPr>
        <w:t xml:space="preserve"> שנגרם לקורבן</w:t>
      </w:r>
      <w:r>
        <w:rPr>
          <w:rtl w:val="true"/>
        </w:rPr>
        <w:t xml:space="preserve">, </w:t>
      </w:r>
      <w:r>
        <w:rPr>
          <w:rtl w:val="true"/>
        </w:rPr>
        <w:t>ובכלל כך אופן המתה ממושך</w:t>
      </w:r>
      <w:r>
        <w:rPr>
          <w:rtl w:val="true"/>
        </w:rPr>
        <w:t xml:space="preserve">, </w:t>
      </w:r>
      <w:r>
        <w:rPr>
          <w:rtl w:val="true"/>
        </w:rPr>
        <w:t>באמצעות כלי רצח שונים</w:t>
      </w:r>
      <w:r>
        <w:rPr>
          <w:rtl w:val="true"/>
        </w:rPr>
        <w:t xml:space="preserve">, </w:t>
      </w:r>
      <w:r>
        <w:rPr>
          <w:rtl w:val="true"/>
        </w:rPr>
        <w:t>ועל פני זירות שונות</w:t>
      </w:r>
      <w:r>
        <w:rPr>
          <w:rtl w:val="true"/>
        </w:rPr>
        <w:t xml:space="preserve">. </w:t>
      </w:r>
      <w:r>
        <w:rPr>
          <w:rtl w:val="true"/>
        </w:rPr>
        <w:t xml:space="preserve">באותם המקרים ניתן משקל גם לעובדת היותה של הקורבן אשתו של הרוצח ואם ילדיו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38-37</w:t>
      </w:r>
      <w:r>
        <w:rPr>
          <w:rtl w:val="true"/>
        </w:rPr>
        <w:t xml:space="preserve">; </w:t>
      </w:r>
      <w:r>
        <w:rPr>
          <w:rtl w:val="true"/>
        </w:rPr>
        <w:t xml:space="preserve">פסק דינו של חברי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כמה ממאפיינים אלה באים לידי ביטוי גם במקרה דנן </w:t>
      </w:r>
      <w:r>
        <w:rPr>
          <w:rtl w:val="true"/>
        </w:rPr>
        <w:t>–</w:t>
      </w:r>
      <w:r>
        <w:rPr>
          <w:rtl w:val="true"/>
        </w:rPr>
        <w:t xml:space="preserve"> כך</w:t>
      </w:r>
      <w:r>
        <w:rPr>
          <w:rtl w:val="true"/>
        </w:rPr>
        <w:t xml:space="preserve">, </w:t>
      </w:r>
      <w:r>
        <w:rPr>
          <w:rtl w:val="true"/>
        </w:rPr>
        <w:t>ניתן לראות את השתלשלות הדברים בענייננו כאירוע מתמשך</w:t>
      </w:r>
      <w:r>
        <w:rPr>
          <w:rtl w:val="true"/>
        </w:rPr>
        <w:t xml:space="preserve">, </w:t>
      </w:r>
      <w:r>
        <w:rPr>
          <w:rtl w:val="true"/>
        </w:rPr>
        <w:t>שכן 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עקב תחילה אחר המנוחה בדירה</w:t>
      </w:r>
      <w:r>
        <w:rPr>
          <w:rtl w:val="true"/>
        </w:rPr>
        <w:t xml:space="preserve">; </w:t>
      </w:r>
      <w:r>
        <w:rPr>
          <w:rtl w:val="true"/>
        </w:rPr>
        <w:t>אחר כך גרר אותה למטבח והחל לדקור אותה שם</w:t>
      </w:r>
      <w:r>
        <w:rPr>
          <w:rtl w:val="true"/>
        </w:rPr>
        <w:t xml:space="preserve">, </w:t>
      </w:r>
      <w:r>
        <w:rPr>
          <w:rtl w:val="true"/>
        </w:rPr>
        <w:t>ולבסוף יצא עמה מהדירה ורצח אותה מחוץ לדירה</w:t>
      </w:r>
      <w:r>
        <w:rPr>
          <w:rtl w:val="true"/>
        </w:rPr>
        <w:t xml:space="preserve">, </w:t>
      </w:r>
      <w:r>
        <w:rPr>
          <w:rtl w:val="true"/>
        </w:rPr>
        <w:t>בחדר המדרגות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>: "[</w:t>
      </w:r>
      <w:r>
        <w:rPr>
          <w:rtl w:val="true"/>
        </w:rPr>
        <w:t>ש</w:t>
      </w:r>
      <w:r>
        <w:rPr>
          <w:rtl w:val="true"/>
        </w:rPr>
        <w:t>]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הגרון</w:t>
      </w:r>
      <w:r>
        <w:rPr>
          <w:rtl w:val="true"/>
        </w:rPr>
        <w:t xml:space="preserve">",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', "</w:t>
      </w:r>
      <w:r>
        <w:rPr>
          <w:rtl w:val="true"/>
        </w:rPr>
        <w:t>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מדממת</w:t>
      </w:r>
      <w:r>
        <w:rPr>
          <w:rtl w:val="true"/>
        </w:rPr>
        <w:t xml:space="preserve">...".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כתוצאה ממעשיו נגרמו למנוחה פציעות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קטיעת כלי הדם הראשיים וקטיעת קנה הנשימה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בנסיבות המקרה כמתואר לפנינו</w:t>
      </w:r>
      <w:r>
        <w:rPr>
          <w:rtl w:val="true"/>
        </w:rPr>
        <w:t xml:space="preserve">, </w:t>
      </w:r>
      <w:r>
        <w:rPr>
          <w:rtl w:val="true"/>
        </w:rPr>
        <w:t>ההמתה על ידי שיסוף עוצמתי של הגרון בסכין</w:t>
      </w:r>
      <w:r>
        <w:rPr>
          <w:rtl w:val="true"/>
        </w:rPr>
        <w:t xml:space="preserve">, </w:t>
      </w:r>
      <w:r>
        <w:rPr>
          <w:rtl w:val="true"/>
        </w:rPr>
        <w:t>מלמדת בפני עצמה על כך שמדובר ברצח שבוצע באכזריות מיוחדת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ההיבט הפיזי בענייננו אין בו כדי לשקף את כלל הסבל המיוחד שנגרם למנוחה</w:t>
      </w:r>
      <w:r>
        <w:rPr>
          <w:rtl w:val="true"/>
        </w:rPr>
        <w:t xml:space="preserve">, </w:t>
      </w:r>
      <w:r>
        <w:rPr>
          <w:rtl w:val="true"/>
        </w:rPr>
        <w:t xml:space="preserve">שכן למאפיינים שנמנו לעיל מצטרף גם סבל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tl w:val="true"/>
        </w:rPr>
        <w:t xml:space="preserve"> מיוחד שנגרם 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 רק לשער את קשת התחושות והרגשות החולפת בראשה של אם שבתה צופה ברגעיה האחרונים ובקטילתה</w:t>
      </w:r>
      <w:r>
        <w:rPr>
          <w:rtl w:val="true"/>
        </w:rPr>
        <w:t xml:space="preserve">. </w:t>
      </w:r>
      <w:r>
        <w:rPr>
          <w:rtl w:val="true"/>
        </w:rPr>
        <w:t>החל בחרדה לביטחונה</w:t>
      </w:r>
      <w:r>
        <w:rPr>
          <w:rtl w:val="true"/>
        </w:rPr>
        <w:t xml:space="preserve">,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לגורלה ולעתידה של הבת</w:t>
      </w:r>
      <w:r>
        <w:rPr>
          <w:rtl w:val="true"/>
        </w:rPr>
        <w:t xml:space="preserve">, </w:t>
      </w:r>
      <w:r>
        <w:rPr>
          <w:rtl w:val="true"/>
        </w:rPr>
        <w:t>דרך חוסר אונים והשפלה</w:t>
      </w:r>
      <w:r>
        <w:rPr>
          <w:rtl w:val="true"/>
        </w:rPr>
        <w:t xml:space="preserve">, </w:t>
      </w:r>
      <w:r>
        <w:rPr>
          <w:rtl w:val="true"/>
        </w:rPr>
        <w:t>ועד למצוקה בל תתואר נוכח חוסר היכולת לגונן עליה מפני המראות המצלקים את נפשה המתרחשים לנגד עיניה</w:t>
      </w:r>
      <w:r>
        <w:rPr>
          <w:rtl w:val="true"/>
        </w:rPr>
        <w:t xml:space="preserve">, </w:t>
      </w:r>
      <w:r>
        <w:rPr>
          <w:rtl w:val="true"/>
        </w:rPr>
        <w:t>ומפני השלכותיהם ותוצאותיהם שילוו את הבת לשארית חייה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להורג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,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האכזריים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כמשמעו</w:t>
      </w:r>
      <w:r>
        <w:rPr>
          <w:rFonts w:eastAsia="Arial TUR" w:cs="Arial TUR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עמדה זו</w:t>
      </w:r>
      <w:r>
        <w:rPr>
          <w:rtl w:val="true"/>
        </w:rPr>
        <w:t xml:space="preserve">, </w:t>
      </w:r>
      <w:r>
        <w:rPr>
          <w:rtl w:val="true"/>
        </w:rPr>
        <w:t>המעניקה משקל לסבל הנפשי הנגרם לקורבן</w:t>
      </w:r>
      <w:r>
        <w:rPr>
          <w:rtl w:val="true"/>
        </w:rPr>
        <w:t xml:space="preserve">, </w:t>
      </w:r>
      <w:r>
        <w:rPr>
          <w:rtl w:val="true"/>
        </w:rPr>
        <w:t>נתמכת בדיוני ועדת חוקה</w:t>
      </w:r>
      <w:r>
        <w:rPr>
          <w:rtl w:val="true"/>
        </w:rPr>
        <w:t xml:space="preserve">, </w:t>
      </w:r>
      <w:r>
        <w:rPr>
          <w:rtl w:val="true"/>
        </w:rPr>
        <w:t xml:space="preserve">חוק ומשפט של הכנסת אודות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במהלכם הזכירו נציגות משרד המשפטים כמה אפשרויות של מקרים העשויים להיכנס בגדרי הנסיבה המחמירה של אכזריות מיוחדת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המתה בייסורים רבים</w:t>
      </w:r>
      <w:r>
        <w:rPr>
          <w:rtl w:val="true"/>
        </w:rPr>
        <w:t xml:space="preserve">, </w:t>
      </w:r>
      <w:r>
        <w:rPr>
          <w:rtl w:val="true"/>
        </w:rPr>
        <w:t>עינויים</w:t>
      </w:r>
      <w:r>
        <w:rPr>
          <w:rtl w:val="true"/>
        </w:rPr>
        <w:t xml:space="preserve">, </w:t>
      </w:r>
      <w:r>
        <w:rPr>
          <w:rtl w:val="true"/>
        </w:rPr>
        <w:t xml:space="preserve">או התעללויות נפשיות כגון </w:t>
      </w:r>
      <w:r>
        <w:rPr>
          <w:rtl w:val="true"/>
        </w:rPr>
        <w:t>"</w:t>
      </w:r>
      <w:r>
        <w:rPr>
          <w:rtl w:val="true"/>
        </w:rPr>
        <w:t>ביצוע מעשה בפני ילדיו של הקורבן</w:t>
      </w:r>
      <w:r>
        <w:rPr>
          <w:rtl w:val="true"/>
        </w:rPr>
        <w:t>" (</w:t>
      </w:r>
      <w:r>
        <w:rPr>
          <w:rtl w:val="true"/>
        </w:rPr>
        <w:t>פרוטוקול ישיבה מס</w:t>
      </w:r>
      <w:r>
        <w:rPr>
          <w:rtl w:val="true"/>
        </w:rPr>
        <w:t xml:space="preserve">' </w:t>
      </w:r>
      <w:r>
        <w:rPr/>
        <w:t>505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גם בספרות המשפטית הובעה תמיכה בעמדה לפיה בבחינת נסיבה זו יש להתמקד </w:t>
      </w:r>
      <w:r>
        <w:rPr>
          <w:rFonts w:ascii="Century" w:hAnsi="Century" w:cs="Century"/>
          <w:rtl w:val="true"/>
        </w:rPr>
        <w:t xml:space="preserve">בסבל מיוחד שנגרם לקורבן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בניגוד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להתמקדות ביסוד הנפשי של העושה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וכי סבל זה יכול שיהיה סבל נפשי </w:t>
      </w:r>
      <w:r>
        <w:rPr>
          <w:rtl w:val="true"/>
        </w:rPr>
        <w:t>(</w:t>
      </w:r>
      <w:r>
        <w:rPr>
          <w:rtl w:val="true"/>
        </w:rPr>
        <w:t>מרדכי קרמניצר</w:t>
      </w:r>
      <w:r>
        <w:rPr>
          <w:rtl w:val="true"/>
        </w:rPr>
        <w:t xml:space="preserve"> ו</w:t>
      </w:r>
      <w:r>
        <w:rPr>
          <w:rtl w:val="true"/>
        </w:rPr>
        <w:t xml:space="preserve">חאלד </w:t>
      </w:r>
      <w:hyperlink r:id="rId83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לאור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עקרונות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היסוד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ומחקר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היסטורי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והשוואת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sz w:val="22"/>
        </w:rPr>
        <w:t>320-319</w:t>
      </w:r>
      <w:r>
        <w:rPr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מסקנתי בדבר התקיימות הנסיבה המחמירה של אכזריות מיוחדת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מתייתר אפוא הצורך להכריע בשאלה אם התקיימה הנסיבה המחמירה של תכנון או שקילה של ממש על פי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נוכח הנימוקים שלעיל</w:t>
      </w:r>
      <w:r>
        <w:rPr>
          <w:rtl w:val="true"/>
        </w:rPr>
        <w:t xml:space="preserve">, </w:t>
      </w:r>
      <w:r>
        <w:rPr>
          <w:rtl w:val="true"/>
        </w:rPr>
        <w:t xml:space="preserve">אני מצטרף לדעתו של חברי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כי מעשיו של המערער מקיימים את הנסיבה המחמירה של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", </w:t>
      </w:r>
      <w:r>
        <w:rPr>
          <w:rtl w:val="true"/>
        </w:rPr>
        <w:t xml:space="preserve">לפי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 כן יש לדחות את הערעור</w:t>
      </w:r>
      <w:r>
        <w:rPr>
          <w:rtl w:val="true"/>
        </w:rPr>
        <w:t xml:space="preserve">, </w:t>
      </w:r>
      <w:r>
        <w:rPr>
          <w:rtl w:val="true"/>
        </w:rPr>
        <w:t>ולהותיר על כנם את הרשעת המערער והעונש שהושת 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2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26.1.2022</w:t>
      </w:r>
      <w:r>
        <w:rPr>
          <w:rtl w:val="true"/>
        </w:rPr>
        <w:t xml:space="preserve">). </w:t>
      </w:r>
      <w:bookmarkEnd w:id="2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19031680</w:t>
      </w:r>
      <w:r>
        <w:rPr>
          <w:sz w:val="16"/>
          <w:rtl w:val="true"/>
        </w:rPr>
        <w:t>_</w:t>
      </w:r>
      <w:r>
        <w:rPr>
          <w:sz w:val="16"/>
        </w:rPr>
        <w:t>Z17.docx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6">
        <w:r>
          <w:rPr>
            <w:rStyle w:val="Hyperlink"/>
            <w:sz w:val="16"/>
          </w:rPr>
          <w:t>https://supreme.court.gov.il</w:t>
        </w:r>
      </w:hyperlink>
      <w:r>
        <w:rPr>
          <w:rStyle w:val="Hyperlink"/>
          <w:sz w:val="16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54678313-3168/19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88"/>
      <w:footerReference w:type="default" r:id="rId8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3168/19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אדלאו איילין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38503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" TargetMode="External"/><Relationship Id="rId7" Type="http://schemas.openxmlformats.org/officeDocument/2006/relationships/hyperlink" Target="http://www.nevo.co.il/law/70301/300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01a" TargetMode="External"/><Relationship Id="rId11" Type="http://schemas.openxmlformats.org/officeDocument/2006/relationships/hyperlink" Target="http://www.nevo.co.il/law/70301/301a.a" TargetMode="External"/><Relationship Id="rId12" Type="http://schemas.openxmlformats.org/officeDocument/2006/relationships/hyperlink" Target="http://www.nevo.co.il/law/70301/301a.a.1" TargetMode="External"/><Relationship Id="rId13" Type="http://schemas.openxmlformats.org/officeDocument/2006/relationships/hyperlink" Target="http://www.nevo.co.il/law/70301/301a.a.10" TargetMode="External"/><Relationship Id="rId14" Type="http://schemas.openxmlformats.org/officeDocument/2006/relationships/hyperlink" Target="http://www.nevo.co.il/law/70301/301a.a.3" TargetMode="External"/><Relationship Id="rId15" Type="http://schemas.openxmlformats.org/officeDocument/2006/relationships/hyperlink" Target="http://www.nevo.co.il/law/70301/301a.a.7" TargetMode="External"/><Relationship Id="rId16" Type="http://schemas.openxmlformats.org/officeDocument/2006/relationships/hyperlink" Target="http://www.nevo.co.il/law/70301/301a.a.8" TargetMode="External"/><Relationship Id="rId17" Type="http://schemas.openxmlformats.org/officeDocument/2006/relationships/hyperlink" Target="http://www.nevo.co.il/law/70301/301a.b" TargetMode="External"/><Relationship Id="rId18" Type="http://schemas.openxmlformats.org/officeDocument/2006/relationships/hyperlink" Target="http://www.nevo.co.il/case/20738503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5" TargetMode="External"/><Relationship Id="rId22" Type="http://schemas.openxmlformats.org/officeDocument/2006/relationships/hyperlink" Target="http://www.nevo.co.il/law/70301/301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01a.a.1" TargetMode="External"/><Relationship Id="rId25" Type="http://schemas.openxmlformats.org/officeDocument/2006/relationships/hyperlink" Target="http://www.nevo.co.il/law/70301/301a.a.7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1a.a" TargetMode="External"/><Relationship Id="rId30" Type="http://schemas.openxmlformats.org/officeDocument/2006/relationships/hyperlink" Target="http://www.nevo.co.il/law/70301/300.a" TargetMode="External"/><Relationship Id="rId31" Type="http://schemas.openxmlformats.org/officeDocument/2006/relationships/hyperlink" Target="http://www.nevo.co.il/law/70301/301a.a.1" TargetMode="External"/><Relationship Id="rId32" Type="http://schemas.openxmlformats.org/officeDocument/2006/relationships/hyperlink" Target="http://www.nevo.co.il/law/70301/301a.b" TargetMode="External"/><Relationship Id="rId33" Type="http://schemas.openxmlformats.org/officeDocument/2006/relationships/hyperlink" Target="http://www.nevo.co.il/law/70301/300.a" TargetMode="External"/><Relationship Id="rId34" Type="http://schemas.openxmlformats.org/officeDocument/2006/relationships/hyperlink" Target="http://www.nevo.co.il/law/70301/301a.a.1" TargetMode="External"/><Relationship Id="rId35" Type="http://schemas.openxmlformats.org/officeDocument/2006/relationships/hyperlink" Target="http://www.nevo.co.il/law/70301/301a.a.1" TargetMode="External"/><Relationship Id="rId36" Type="http://schemas.openxmlformats.org/officeDocument/2006/relationships/hyperlink" Target="http://www.nevo.co.il/law/70301/301a.a.7" TargetMode="External"/><Relationship Id="rId37" Type="http://schemas.openxmlformats.org/officeDocument/2006/relationships/hyperlink" Target="http://www.nevo.co.il/law/70301/301a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1a" TargetMode="External"/><Relationship Id="rId40" Type="http://schemas.openxmlformats.org/officeDocument/2006/relationships/hyperlink" Target="http://www.nevo.co.il/law/70301/301a.a" TargetMode="External"/><Relationship Id="rId41" Type="http://schemas.openxmlformats.org/officeDocument/2006/relationships/hyperlink" Target="http://www.nevo.co.il/law/70301/301a.a.7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/301a.a" TargetMode="External"/><Relationship Id="rId44" Type="http://schemas.openxmlformats.org/officeDocument/2006/relationships/hyperlink" Target="http://www.nevo.co.il/law/70301/301a.a.3" TargetMode="External"/><Relationship Id="rId45" Type="http://schemas.openxmlformats.org/officeDocument/2006/relationships/hyperlink" Target="http://www.nevo.co.il/law/70301/301a.a.8" TargetMode="External"/><Relationship Id="rId46" Type="http://schemas.openxmlformats.org/officeDocument/2006/relationships/hyperlink" Target="http://www.nevo.co.il/law/70301/301a.a.10" TargetMode="External"/><Relationship Id="rId47" Type="http://schemas.openxmlformats.org/officeDocument/2006/relationships/hyperlink" Target="http://www.nevo.co.il/law/70301/301a.a.1" TargetMode="External"/><Relationship Id="rId48" Type="http://schemas.openxmlformats.org/officeDocument/2006/relationships/hyperlink" Target="http://www.nevo.co.il/law/70301/301a.a.7" TargetMode="External"/><Relationship Id="rId49" Type="http://schemas.openxmlformats.org/officeDocument/2006/relationships/hyperlink" Target="http://www.nevo.co.il/law/70301/301a.a.7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safrut/bookgroup/2063" TargetMode="External"/><Relationship Id="rId52" Type="http://schemas.openxmlformats.org/officeDocument/2006/relationships/hyperlink" Target="http://www.nevo.co.il/case/26280666" TargetMode="External"/><Relationship Id="rId53" Type="http://schemas.openxmlformats.org/officeDocument/2006/relationships/hyperlink" Target="http://www.nevo.co.il/law/70301/301a.a.7" TargetMode="External"/><Relationship Id="rId54" Type="http://schemas.openxmlformats.org/officeDocument/2006/relationships/hyperlink" Target="http://www.nevo.co.il/case/25441697" TargetMode="External"/><Relationship Id="rId55" Type="http://schemas.openxmlformats.org/officeDocument/2006/relationships/hyperlink" Target="http://www.nevo.co.il/law/70301/301a.a.7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1610441" TargetMode="External"/><Relationship Id="rId58" Type="http://schemas.openxmlformats.org/officeDocument/2006/relationships/hyperlink" Target="http://www.nevo.co.il/case/26178482" TargetMode="External"/><Relationship Id="rId59" Type="http://schemas.openxmlformats.org/officeDocument/2006/relationships/hyperlink" Target="http://www.nevo.co.il/case/25633957" TargetMode="External"/><Relationship Id="rId60" Type="http://schemas.openxmlformats.org/officeDocument/2006/relationships/hyperlink" Target="http://www.nevo.co.il/case/5736122" TargetMode="External"/><Relationship Id="rId61" Type="http://schemas.openxmlformats.org/officeDocument/2006/relationships/hyperlink" Target="http://www.nevo.co.il/case/13070531" TargetMode="External"/><Relationship Id="rId62" Type="http://schemas.openxmlformats.org/officeDocument/2006/relationships/hyperlink" Target="http://www.nevo.co.il/case/22505617" TargetMode="External"/><Relationship Id="rId63" Type="http://schemas.openxmlformats.org/officeDocument/2006/relationships/hyperlink" Target="http://www.nevo.co.il/law/70301/301a.a.7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01a.a.7" TargetMode="External"/><Relationship Id="rId66" Type="http://schemas.openxmlformats.org/officeDocument/2006/relationships/hyperlink" Target="http://www.nevo.co.il/law/70301/301a.a.1" TargetMode="External"/><Relationship Id="rId67" Type="http://schemas.openxmlformats.org/officeDocument/2006/relationships/hyperlink" Target="http://www.nevo.co.il/case/23354214" TargetMode="External"/><Relationship Id="rId68" Type="http://schemas.openxmlformats.org/officeDocument/2006/relationships/hyperlink" Target="http://www.nevo.co.il/case/26205760" TargetMode="External"/><Relationship Id="rId69" Type="http://schemas.openxmlformats.org/officeDocument/2006/relationships/hyperlink" Target="http://www.nevo.co.il/case/22516536" TargetMode="External"/><Relationship Id="rId70" Type="http://schemas.openxmlformats.org/officeDocument/2006/relationships/hyperlink" Target="http://www.nevo.co.il/law/70301/300.a" TargetMode="External"/><Relationship Id="rId71" Type="http://schemas.openxmlformats.org/officeDocument/2006/relationships/hyperlink" Target="http://www.nevo.co.il/law/70301/301a" TargetMode="External"/><Relationship Id="rId72" Type="http://schemas.openxmlformats.org/officeDocument/2006/relationships/hyperlink" Target="http://www.nevo.co.il/law/70301/300.a.2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01a.a.1" TargetMode="External"/><Relationship Id="rId75" Type="http://schemas.openxmlformats.org/officeDocument/2006/relationships/hyperlink" Target="http://www.nevo.co.il/law/70301/300" TargetMode="External"/><Relationship Id="rId76" Type="http://schemas.openxmlformats.org/officeDocument/2006/relationships/hyperlink" Target="http://www.nevo.co.il/law/70301/301a.a.7" TargetMode="External"/><Relationship Id="rId77" Type="http://schemas.openxmlformats.org/officeDocument/2006/relationships/hyperlink" Target="http://www.nevo.co.il/law/70301/301a.a.7" TargetMode="External"/><Relationship Id="rId78" Type="http://schemas.openxmlformats.org/officeDocument/2006/relationships/hyperlink" Target="http://www.nevo.co.il/law/70301/301a.a.7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26280666" TargetMode="External"/><Relationship Id="rId81" Type="http://schemas.openxmlformats.org/officeDocument/2006/relationships/hyperlink" Target="http://www.nevo.co.il/case/25441697" TargetMode="External"/><Relationship Id="rId82" Type="http://schemas.openxmlformats.org/officeDocument/2006/relationships/hyperlink" Target="http://www.nevo.co.il/law/70301/301a.a.7" TargetMode="External"/><Relationship Id="rId83" Type="http://schemas.openxmlformats.org/officeDocument/2006/relationships/hyperlink" Target="http://www.nevo.co.il/safrut/bookgroup/2063" TargetMode="External"/><Relationship Id="rId84" Type="http://schemas.openxmlformats.org/officeDocument/2006/relationships/hyperlink" Target="http://www.nevo.co.il/law/70301/301a.a.1" TargetMode="External"/><Relationship Id="rId85" Type="http://schemas.openxmlformats.org/officeDocument/2006/relationships/hyperlink" Target="http://www.nevo.co.il/law/70301/301a.a.7" TargetMode="External"/><Relationship Id="rId86" Type="http://schemas.openxmlformats.org/officeDocument/2006/relationships/hyperlink" Target="https://supreme.court.gov.il/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2022-02-27T14:26:00Z</dcterms:created>
  <dc:creator>h4</dc:creator>
  <dc:description/>
  <cp:keywords/>
  <dc:language>en-IL</dc:language>
  <cp:lastModifiedBy>hofit</cp:lastModifiedBy>
  <cp:lastPrinted>2022-01-26T09:00:00Z</cp:lastPrinted>
  <dcterms:modified xsi:type="dcterms:W3CDTF">2022-02-27T14:26:00Z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אדלאו איילין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2063:2</vt:lpwstr>
  </property>
  <property fmtid="{D5CDD505-2E9C-101B-9397-08002B2CF9AE}" pid="9" name="CASESLISTTMP1">
    <vt:lpwstr>20738503:2;26280666:2;25441697:2;21610441;26178482;25633957;5736122;13070531;22505617;23354214;26205760;22516536</vt:lpwstr>
  </property>
  <property fmtid="{D5CDD505-2E9C-101B-9397-08002B2CF9AE}" pid="10" name="CITY">
    <vt:lpwstr/>
  </property>
  <property fmtid="{D5CDD505-2E9C-101B-9397-08002B2CF9AE}" pid="11" name="DATE">
    <vt:lpwstr>20220126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פוגלמן;י' אלרון;נ' הנדל</vt:lpwstr>
  </property>
  <property fmtid="{D5CDD505-2E9C-101B-9397-08002B2CF9AE}" pid="15" name="LAWLISTTMP1">
    <vt:lpwstr>70301/300.a.2:3;005;301a:3;301a.a.1:9;301a.a.7:14;301a.a:3;300.a:3;301a.b:2;301a.a.3;301a.a.8;301a.a.10;300</vt:lpwstr>
  </property>
  <property fmtid="{D5CDD505-2E9C-101B-9397-08002B2CF9AE}" pid="16" name="LAWYER">
    <vt:lpwstr>אפרת גולדשטיין (רוזן);טל ענר;עופר אשכנזי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עבירות</vt:lpwstr>
  </property>
  <property fmtid="{D5CDD505-2E9C-101B-9397-08002B2CF9AE}" pid="42" name="NOSE24">
    <vt:lpwstr>תחולה בזמן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12455;12455;1443;1452;1446</vt:lpwstr>
  </property>
  <property fmtid="{D5CDD505-2E9C-101B-9397-08002B2CF9AE}" pid="49" name="NOSE31">
    <vt:lpwstr>אכזריות מיוחדת או תוך התעללות גופנית או נפשית בקורבן ‏</vt:lpwstr>
  </property>
  <property fmtid="{D5CDD505-2E9C-101B-9397-08002B2CF9AE}" pid="50" name="NOSE310">
    <vt:lpwstr/>
  </property>
  <property fmtid="{D5CDD505-2E9C-101B-9397-08002B2CF9AE}" pid="51" name="NOSE32">
    <vt:lpwstr>תיקון 137</vt:lpwstr>
  </property>
  <property fmtid="{D5CDD505-2E9C-101B-9397-08002B2CF9AE}" pid="52" name="NOSE33">
    <vt:lpwstr>רצח</vt:lpwstr>
  </property>
  <property fmtid="{D5CDD505-2E9C-101B-9397-08002B2CF9AE}" pid="53" name="NOSE34">
    <vt:lpwstr>שינוי חיקוק לאחר ביצוע העבירה</vt:lpwstr>
  </property>
  <property fmtid="{D5CDD505-2E9C-101B-9397-08002B2CF9AE}" pid="54" name="NOSE35">
    <vt:lpwstr>מדיניות ענישה: אלימות במשפחה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19079;18905;8927;11406;15628</vt:lpwstr>
  </property>
  <property fmtid="{D5CDD505-2E9C-101B-9397-08002B2CF9AE}" pid="60" name="PADIDATE">
    <vt:lpwstr>20220127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3168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410120220126</vt:lpwstr>
  </property>
  <property fmtid="{D5CDD505-2E9C-101B-9397-08002B2CF9AE}" pid="70" name="TYPE_N_DATE">
    <vt:lpwstr>41020220126</vt:lpwstr>
  </property>
  <property fmtid="{D5CDD505-2E9C-101B-9397-08002B2CF9AE}" pid="71" name="VOLUME">
    <vt:lpwstr/>
  </property>
  <property fmtid="{D5CDD505-2E9C-101B-9397-08002B2CF9AE}" pid="72" name="WORDNUMPAGES">
    <vt:lpwstr>19</vt:lpwstr>
  </property>
</Properties>
</file>