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3187/21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סנאד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אלקאדי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אלמנת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עטף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חדרה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24.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35903-08-19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זלוצ</w:t>
            </w:r>
            <w:r>
              <w:rPr>
                <w:sz w:val="24"/>
                <w:szCs w:val="24"/>
                <w:rtl w:val="true"/>
              </w:rPr>
              <w:t>'</w:t>
            </w:r>
            <w:r>
              <w:rPr>
                <w:sz w:val="24"/>
                <w:sz w:val="24"/>
                <w:szCs w:val="24"/>
                <w:rtl w:val="true"/>
              </w:rPr>
              <w:t>ובר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כהן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טולילה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[</w:t>
            </w:r>
            <w:r>
              <w:rPr>
                <w:sz w:val="24"/>
                <w:sz w:val="24"/>
                <w:szCs w:val="24"/>
                <w:rtl w:val="true"/>
              </w:rPr>
              <w:t>פורסם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בנבו</w:t>
            </w:r>
            <w:r>
              <w:rPr>
                <w:sz w:val="24"/>
                <w:szCs w:val="24"/>
                <w:rtl w:val="true"/>
              </w:rPr>
              <w:t>]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04.07.2022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רפי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ליטן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חנאווי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כראם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סלימאן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אלזיאדנה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מרדכי קרמניצר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חאלד גנאים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הרפורמה בעבירות ההמתה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</w:rPr>
          <w:t>2019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)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לאור עקרונות היסוד של המשפט ומחקר היסטורי והשוואתי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2020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inks_End"/>
      <w:bookmarkStart w:id="7" w:name="Links_End"/>
      <w:bookmarkEnd w:id="7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8" w:name="LawTable"/>
      <w:bookmarkStart w:id="9" w:name="LawTable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137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298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334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335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]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67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0" w:name="ABSTRACT_START"/>
      <w:bookmarkEnd w:id="10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טענת המערער בדבר החמרת עונשו בעקבות הרפורמה בעבירות ההמתה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ונקבע כי עניינו מגשים את תכלית רפורמה זו לפיה העבירה המתאימה למעשיו היא עבירת הרצח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הבסיסית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 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אין מקום להתערב בעונש מאסר בפועל בן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שנה שנגזר על המערער בגין הרשעתו בעבירה הנ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 ועבירות של פציעה בנסיבות מחמירות ונהיגה בזמן פסילה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למעט תיקון בעונש פסילת רישיון הנהיגה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לא ביתר רכיבי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ההולמים את חומרת מעשי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ומתחשבים היטב במכלול נסיבות ביצוע העבירה ונסיבותיו האישיות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עבירת הרצח – תיקון </w:t>
      </w:r>
      <w:r>
        <w:rPr>
          <w:rFonts w:cs="Times New Roman" w:ascii="Times New Roman" w:hAnsi="Times New Roman"/>
          <w:spacing w:val="0"/>
          <w:szCs w:val="26"/>
        </w:rPr>
        <w:t>137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ענישה – תיקון </w:t>
      </w:r>
      <w:r>
        <w:rPr>
          <w:rFonts w:cs="Times New Roman" w:ascii="Times New Roman" w:hAnsi="Times New Roman"/>
          <w:spacing w:val="0"/>
          <w:szCs w:val="26"/>
        </w:rPr>
        <w:t>137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ענישה – תיקון </w:t>
      </w:r>
      <w:r>
        <w:rPr>
          <w:rFonts w:cs="Times New Roman" w:ascii="Times New Roman" w:hAnsi="Times New Roman"/>
          <w:spacing w:val="0"/>
          <w:szCs w:val="26"/>
        </w:rPr>
        <w:t>113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מתחם הענישה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עקרון ההלימה‏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בחומרת העונש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גזר דינו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בגדרו נגזרו על המערער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 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וזאת בגין הרשעתו בעבירת הרצח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הבסיסית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ועבירות של פציעה בנסיבות מחמירות ונהיגה בזמן פסילה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נסוב על 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שהוכה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בחר להשתתף בקטטה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והחריף את מעשיו עת נכנס לרכב מונע ונהג לתוך ההמון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פוצע את דודתו ופוגע בגיסו לעתיד באופן שהביא למותו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השופטים שטיין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כבוב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הלכה היא כי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לא יתערב בעונש שהשיתה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במקרים שבהם ניכרת חריגה קיצונית ממדיניות הענישה הנוהגת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כאשר נפלה על פני הדברים טעות מהותית ובולטת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נדרשות נסיבות מיוחדות להתערבות 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 בהם הוא לא חורג מהרף העליון לגביו הסכימו הצדדים בהסדר 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במוקד טענות המערער ניצבת הרפורמה בעבירות ההמתה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שנכנסה לתוקף כשבועיים קודם ביצוע מעשי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ברפורמה המחוקק יצר מדרג עבירות המתה חדש שנועד לשקף נאמנה את חומרת המעשים ואת מידת אשמתו של מבצעם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לבטא הלימה בין המעשים לעונש בצד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תחת עבירת הרצח בכוונה תחילה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עתה שתי עבירות חדשות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האחת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הרצח הבסיסית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שהיסוד הנפשי הדרוש בה ביחס לתוצאה הקטלנית הוא אדישות או כוונה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Cs w:val="26"/>
          <w:rtl w:val="true"/>
        </w:rPr>
        <w:t>והשנייה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הרצח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המונה </w:t>
      </w:r>
      <w:r>
        <w:rPr>
          <w:rFonts w:cs="Times New Roman" w:ascii="Times New Roman" w:hAnsi="Times New Roman"/>
          <w:spacing w:val="0"/>
          <w:szCs w:val="26"/>
        </w:rPr>
        <w:t>11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נסיבות מחמירות אשר הבא בגדרן עונשו ייגזר למאסר עולם חובה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אף עבירת ההריגה טרם הרפורמה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פוצלה באופן שהמתה באדישות כלולה מעתה בעבירת הרצח הבסיסית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והמתה בקלות דעת עומדת בפני עצמה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כעבירה קלה יותר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ג לחוק</w:t>
      </w:r>
      <w:r>
        <w:rPr>
          <w:rFonts w:cs="Times New Roman" w:ascii="Times New Roman" w:hAnsi="Times New Roman"/>
          <w:spacing w:val="0"/>
          <w:szCs w:val="26"/>
          <w:rtl w:val="true"/>
        </w:rPr>
        <w:t>).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טענת המערער כי השינוי בענישה בעקבות הרפורמה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שהביא את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להשית עליו עונש חמור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המרבי הקבוע בצד עבירה מהווה מסגרת עבור גזירת עונשו של 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ששיקול דעתו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במלאכת גזירת העונש נע בגבולות העונש שהתווה המחוקק בכל עבירה לגופה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משעה שבמצוות המחוקק תוקן ושונה החוק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אלו הן אמות המידה לאורם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יפעל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הדברים נכונים אף אם לאחר שינוי חקיקה ובפרט שינוי בענישה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עלול להתגלע פער בין עונשים הנגזרים בשל מעשים דומים שהתרחשו האחד קודם הרפורמה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והאחר לאחריה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פעל כשורה בגזירת עונשו של המערער בהתאם לסיווג מעשיו תחת עבירת הרצח הבסיסית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הרפורמה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שנגזר על המערער הולם את מעשיו באופן המיטבי והראוי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רק שאין לקבל את טענת המערער בדבר החמרת עונשו בעקבות הרפורמה בעבירות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שעניינו מגשים את תכלית רפורמה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 העבירה המתאימה למעשיו היא עבירת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בניגוד לטענת המערער שמבקשת לסווג את מעשהו כמעשה הריגה במובנו של סעיף </w:t>
      </w:r>
      <w:r>
        <w:rPr>
          <w:rFonts w:cs="Times New Roman" w:ascii="Times New Roman" w:hAnsi="Times New Roman"/>
          <w:spacing w:val="0"/>
          <w:szCs w:val="26"/>
        </w:rPr>
        <w:t>298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שלפני הרפורמה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סביר יותר להניח כי מעשה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אילו נדון לפי הדין הקודם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היה גורר אחריו הרשעה ברצח בכוונה תחילה לפי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בנוסחו לפני הרפורמה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רחב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ומעמעם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ואשמתו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במלאכת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הבסיסית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פוחת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לצמיתות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הארוך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שחרורו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מהכלא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258,000</w:t>
      </w:r>
      <w:r>
        <w:rPr>
          <w:rFonts w:cs="FrankRuehl"/>
          <w:sz w:val="24"/>
          <w:szCs w:val="26"/>
          <w:rtl w:val="true"/>
        </w:rPr>
        <w:t xml:space="preserve"> ₪ </w:t>
      </w:r>
      <w:r>
        <w:rPr>
          <w:rFonts w:cs="FrankRuehl"/>
          <w:sz w:val="24"/>
          <w:sz w:val="24"/>
          <w:szCs w:val="26"/>
          <w:rtl w:val="true"/>
        </w:rPr>
        <w:t>לאלמנת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30,000</w:t>
      </w:r>
      <w:r>
        <w:rPr>
          <w:rFonts w:cs="FrankRuehl"/>
          <w:sz w:val="24"/>
          <w:szCs w:val="26"/>
          <w:rtl w:val="true"/>
        </w:rPr>
        <w:t xml:space="preserve"> ₪ </w:t>
      </w:r>
      <w:r>
        <w:rPr>
          <w:rFonts w:cs="FrankRuehl"/>
          <w:sz w:val="24"/>
          <w:sz w:val="24"/>
          <w:szCs w:val="26"/>
          <w:rtl w:val="true"/>
        </w:rPr>
        <w:t>לדודתו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מוצדקים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ונחוצים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הפיזיות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והנפשיות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FrankRuehl"/>
          <w:sz w:val="24"/>
          <w:szCs w:val="26"/>
          <w:rtl w:val="true"/>
        </w:rPr>
        <w:t>.</w:t>
      </w:r>
      <w:bookmarkStart w:id="11" w:name="ABSTRACT_END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2" w:name="LawTable_End"/>
      <w:bookmarkStart w:id="13" w:name="LawTable_End"/>
      <w:bookmarkEnd w:id="13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4" w:name="PsakDin"/>
            <w:bookmarkStart w:id="15" w:name="BeginProtocol"/>
            <w:bookmarkStart w:id="16" w:name="secretary"/>
            <w:bookmarkEnd w:id="14"/>
            <w:bookmarkEnd w:id="15"/>
            <w:bookmarkEnd w:id="16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7" w:name="Writer_Name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8" w:name="Start_Write"/>
      <w:bookmarkStart w:id="19" w:name="Start_Write"/>
      <w:bookmarkEnd w:id="19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לפנינו ערעור על גזר דינו של בית המשפט המחוזי בבאר שבע </w:t>
      </w:r>
      <w:r>
        <w:rPr>
          <w:rtl w:val="true"/>
        </w:rPr>
        <w:t>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זלוצ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טולילה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17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35903-08-19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24.3.2021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 xml:space="preserve">בגדרו נגזרו על המערער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בפועל לצד ענישה נלווית</w:t>
      </w:r>
      <w:r>
        <w:rPr>
          <w:rtl w:val="true"/>
        </w:rPr>
        <w:t xml:space="preserve">, </w:t>
      </w:r>
      <w:r>
        <w:rPr>
          <w:rtl w:val="true"/>
        </w:rPr>
        <w:t xml:space="preserve">וזאת בגין הרשעתו בעבירת הרצח </w:t>
      </w:r>
      <w:r>
        <w:rPr>
          <w:rtl w:val="true"/>
        </w:rPr>
        <w:t>"</w:t>
      </w:r>
      <w:r>
        <w:rPr>
          <w:rtl w:val="true"/>
        </w:rPr>
        <w:t>הבסיסית</w:t>
      </w:r>
      <w:r>
        <w:rPr>
          <w:rtl w:val="true"/>
        </w:rPr>
        <w:t xml:space="preserve">", </w:t>
      </w:r>
      <w:r>
        <w:rPr>
          <w:rtl w:val="true"/>
        </w:rPr>
        <w:t>ועבירות של פציעה בנסיבות מחמירות ונהיגה בזמן פסילה</w:t>
      </w:r>
      <w:r>
        <w:rPr>
          <w:rtl w:val="true"/>
        </w:rPr>
        <w:t xml:space="preserve">. </w:t>
      </w:r>
      <w:r>
        <w:rPr>
          <w:rtl w:val="true"/>
        </w:rPr>
        <w:t>הערעור נסוב על חומרת העונש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27.7.2019</w:t>
      </w:r>
      <w:r>
        <w:rPr>
          <w:rtl w:val="true"/>
        </w:rPr>
        <w:t xml:space="preserve"> </w:t>
      </w:r>
      <w:r>
        <w:rPr>
          <w:rtl w:val="true"/>
        </w:rPr>
        <w:t>בשעות הערב</w:t>
      </w:r>
      <w:r>
        <w:rPr>
          <w:rtl w:val="true"/>
        </w:rPr>
        <w:t xml:space="preserve">, </w:t>
      </w:r>
      <w:r>
        <w:rPr>
          <w:rtl w:val="true"/>
        </w:rPr>
        <w:t xml:space="preserve">התפתחה קטטה בעיר רהט בין משפחת אלנססרה למשפחת אלקאדי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הקטטה</w:t>
      </w:r>
      <w:r>
        <w:rPr>
          <w:rtl w:val="true"/>
        </w:rPr>
        <w:t xml:space="preserve">), </w:t>
      </w:r>
      <w:r>
        <w:rPr>
          <w:rtl w:val="true"/>
        </w:rPr>
        <w:t>במהלכה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נמנה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בני</w:t>
      </w:r>
      <w:r>
        <w:rPr>
          <w:rtl w:val="true"/>
        </w:rPr>
        <w:t xml:space="preserve"> </w:t>
      </w:r>
      <w:r>
        <w:rPr>
          <w:rtl w:val="true"/>
        </w:rPr>
        <w:t>משפחת</w:t>
      </w:r>
      <w:r>
        <w:rPr>
          <w:rtl w:val="true"/>
        </w:rPr>
        <w:t xml:space="preserve"> </w:t>
      </w:r>
      <w:r>
        <w:rPr>
          <w:rtl w:val="true"/>
        </w:rPr>
        <w:t>אלקאדי</w:t>
      </w:r>
      <w:r>
        <w:rPr>
          <w:rtl w:val="true"/>
        </w:rPr>
        <w:t xml:space="preserve">, </w:t>
      </w:r>
      <w:r>
        <w:rPr>
          <w:rtl w:val="true"/>
        </w:rPr>
        <w:t xml:space="preserve">הוכה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בגבו</w:t>
      </w:r>
      <w:r>
        <w:rPr>
          <w:rtl w:val="true"/>
        </w:rPr>
        <w:t xml:space="preserve"> </w:t>
      </w:r>
      <w:r>
        <w:rPr>
          <w:rtl w:val="true"/>
        </w:rPr>
        <w:t>ובצווארו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 היה פסול מלהחזיק ברישיון נהיגה</w:t>
      </w:r>
      <w:r>
        <w:rPr>
          <w:rtl w:val="true"/>
        </w:rPr>
        <w:t xml:space="preserve">, </w:t>
      </w:r>
      <w:r>
        <w:rPr>
          <w:rtl w:val="true"/>
        </w:rPr>
        <w:t>נכנס לרכב מונע שעמד בצד הכביש</w:t>
      </w:r>
      <w:r>
        <w:rPr>
          <w:rtl w:val="true"/>
        </w:rPr>
        <w:t xml:space="preserve">, </w:t>
      </w:r>
      <w:r>
        <w:rPr>
          <w:rtl w:val="true"/>
        </w:rPr>
        <w:t>והחל לנסוע ישירות לעבר הצומת בה התרחשה הקטטה</w:t>
      </w:r>
      <w:r>
        <w:rPr>
          <w:rtl w:val="true"/>
        </w:rPr>
        <w:t xml:space="preserve">, </w:t>
      </w:r>
      <w:r>
        <w:rPr>
          <w:rtl w:val="true"/>
        </w:rPr>
        <w:t>ואשר בה התקהלו עשרות אנשים באותה העת</w:t>
      </w:r>
      <w:r>
        <w:rPr>
          <w:rtl w:val="true"/>
        </w:rPr>
        <w:t xml:space="preserve">. </w:t>
      </w:r>
      <w:r>
        <w:rPr>
          <w:rtl w:val="true"/>
        </w:rPr>
        <w:t xml:space="preserve">המערער נסע בכיוון בו עמדו חדרה אבו בלאל </w:t>
      </w:r>
      <w:r>
        <w:rPr>
          <w:rtl w:val="true"/>
        </w:rPr>
        <w:t>–</w:t>
      </w:r>
      <w:r>
        <w:rPr>
          <w:rtl w:val="true"/>
        </w:rPr>
        <w:t xml:space="preserve"> דודתו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חדרה</w:t>
      </w:r>
      <w:r>
        <w:rPr>
          <w:rtl w:val="true"/>
        </w:rPr>
        <w:t xml:space="preserve">), </w:t>
      </w:r>
      <w:r>
        <w:rPr>
          <w:rtl w:val="true"/>
        </w:rPr>
        <w:t xml:space="preserve">ועאטף אבו בלאל </w:t>
      </w:r>
      <w:r>
        <w:rPr>
          <w:rtl w:val="true"/>
        </w:rPr>
        <w:t>–</w:t>
      </w:r>
      <w:r>
        <w:rPr>
          <w:rtl w:val="true"/>
        </w:rPr>
        <w:t xml:space="preserve"> גיסו לעתיד של המערער המשתייך למשפחת אלנססרה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tl w:val="true"/>
        </w:rPr>
        <w:t>) "</w:t>
      </w:r>
      <w:r>
        <w:rPr>
          <w:rtl w:val="true"/>
        </w:rPr>
        <w:t>תוך שצפה אפשרות שיגרום למותו של אדם</w:t>
      </w:r>
      <w:r>
        <w:rPr>
          <w:rtl w:val="true"/>
        </w:rPr>
        <w:t xml:space="preserve">" </w:t>
      </w:r>
      <w:r>
        <w:rPr>
          <w:rtl w:val="true"/>
        </w:rPr>
        <w:t>כלשון כתב האישום המתוקן</w:t>
      </w:r>
      <w:r>
        <w:rPr>
          <w:rtl w:val="true"/>
        </w:rPr>
        <w:t xml:space="preserve">. </w:t>
      </w:r>
      <w:r>
        <w:rPr>
          <w:rtl w:val="true"/>
        </w:rPr>
        <w:t>המערער פגע עם רכבו בחדרה</w:t>
      </w:r>
      <w:r>
        <w:rPr>
          <w:rtl w:val="true"/>
        </w:rPr>
        <w:t xml:space="preserve">, </w:t>
      </w:r>
      <w:r>
        <w:rPr>
          <w:rtl w:val="true"/>
        </w:rPr>
        <w:t>והמשיך בנסיעה מהירה לכיוון המנוח עד אשר פגע בו עם הרכב</w:t>
      </w:r>
      <w:r>
        <w:rPr>
          <w:rtl w:val="true"/>
        </w:rPr>
        <w:t xml:space="preserve">. </w:t>
      </w:r>
      <w:r>
        <w:rPr>
          <w:rtl w:val="true"/>
        </w:rPr>
        <w:t>המערער לא חדל מנסיעתו</w:t>
      </w:r>
      <w:r>
        <w:rPr>
          <w:rtl w:val="true"/>
        </w:rPr>
        <w:t xml:space="preserve">, </w:t>
      </w:r>
      <w:r>
        <w:rPr>
          <w:rtl w:val="true"/>
        </w:rPr>
        <w:t>אלא ביצע פרסה בסמוך</w:t>
      </w:r>
      <w:r>
        <w:rPr>
          <w:rtl w:val="true"/>
        </w:rPr>
        <w:t xml:space="preserve">, </w:t>
      </w:r>
      <w:r>
        <w:rPr>
          <w:rtl w:val="true"/>
        </w:rPr>
        <w:t>חזר לאזור הקטטה ונעצר רק לאחר שהתנגש ברכב שחנה בצד הכביש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, </w:t>
      </w:r>
      <w:r>
        <w:rPr>
          <w:rtl w:val="true"/>
        </w:rPr>
        <w:t>וחדרה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ובגפיה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1"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67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>].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במסגרת הסדר טיעון המערער הורשע על פי הודאתו בביצוע עבירת הרצח </w:t>
      </w:r>
      <w:r>
        <w:rPr>
          <w:rtl w:val="true"/>
        </w:rPr>
        <w:t>"</w:t>
      </w:r>
      <w:r>
        <w:rPr>
          <w:rtl w:val="true"/>
        </w:rPr>
        <w:t>הבסיסית</w:t>
      </w:r>
      <w:r>
        <w:rPr>
          <w:rtl w:val="true"/>
        </w:rPr>
        <w:t xml:space="preserve">", </w:t>
      </w:r>
      <w:r>
        <w:rPr>
          <w:rtl w:val="true"/>
        </w:rPr>
        <w:t>עבירת פציעה בנסיבות מחמירות ועבירת נהיגה בפסילה</w:t>
      </w:r>
      <w:r>
        <w:rPr>
          <w:rtl w:val="true"/>
        </w:rPr>
        <w:t xml:space="preserve">, </w:t>
      </w:r>
      <w:r>
        <w:rPr>
          <w:rtl w:val="true"/>
        </w:rPr>
        <w:t>כפי שיוחסו לו בכתב האישום המתוקן</w:t>
      </w:r>
      <w:r>
        <w:rPr>
          <w:rtl w:val="true"/>
        </w:rPr>
        <w:t xml:space="preserve">. </w:t>
      </w:r>
      <w:r>
        <w:rPr>
          <w:rtl w:val="true"/>
        </w:rPr>
        <w:t>לעניין העונש סוכם כי המערער לא יהא מוגבל בטיעוניו לעונש</w:t>
      </w:r>
      <w:r>
        <w:rPr>
          <w:rtl w:val="true"/>
        </w:rPr>
        <w:t xml:space="preserve">, </w:t>
      </w:r>
      <w:r>
        <w:rPr>
          <w:rtl w:val="true"/>
        </w:rPr>
        <w:t xml:space="preserve">בעוד המשיבה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המדינה</w:t>
      </w:r>
      <w:r>
        <w:rPr>
          <w:rtl w:val="true"/>
        </w:rPr>
        <w:t xml:space="preserve">) </w:t>
      </w:r>
      <w:r>
        <w:rPr>
          <w:rtl w:val="true"/>
        </w:rPr>
        <w:t xml:space="preserve">תעתור לעונש של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סקר בגזר דינו את הרפורמה בעבירות ההמתה </w:t>
      </w:r>
      <w:r>
        <w:rPr>
          <w:rtl w:val="true"/>
        </w:rPr>
        <w:t>(</w:t>
      </w:r>
      <w:r>
        <w:rPr>
          <w:rtl w:val="true"/>
        </w:rPr>
        <w:t xml:space="preserve">תיקון </w:t>
      </w:r>
      <w:hyperlink r:id="rId24">
        <w:r>
          <w:rPr>
            <w:rStyle w:val="Hyperlink"/>
            <w:rtl w:val="true"/>
          </w:rPr>
          <w:t>מס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137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tl w:val="true"/>
        </w:rPr>
        <w:t xml:space="preserve">), </w:t>
      </w:r>
      <w:r>
        <w:rPr>
          <w:rtl w:val="true"/>
        </w:rPr>
        <w:t xml:space="preserve">והדגיש כי מאחר שהמערער ביצע את מעשיו ביסוד נפשי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כוונה</w:t>
      </w:r>
      <w:r>
        <w:rPr>
          <w:rtl w:val="true"/>
        </w:rPr>
        <w:t xml:space="preserve">, </w:t>
      </w:r>
      <w:r>
        <w:rPr>
          <w:rtl w:val="true"/>
        </w:rPr>
        <w:t>אין זה מדויק להשוות</w:t>
      </w:r>
      <w:r>
        <w:rPr>
          <w:rtl w:val="true"/>
        </w:rPr>
        <w:t xml:space="preserve">, </w:t>
      </w:r>
      <w:r>
        <w:rPr>
          <w:rtl w:val="true"/>
        </w:rPr>
        <w:t>כטענת המערער</w:t>
      </w:r>
      <w:r>
        <w:rPr>
          <w:rtl w:val="true"/>
        </w:rPr>
        <w:t xml:space="preserve">, </w:t>
      </w:r>
      <w:r>
        <w:rPr>
          <w:rtl w:val="true"/>
        </w:rPr>
        <w:t>את עונשו לעניינם של אחרים שביצעו עבירות דומות ועונשם נגזר תחת עבירת ההריגה טרם הרפורמה</w:t>
      </w:r>
      <w:r>
        <w:rPr>
          <w:rtl w:val="true"/>
        </w:rPr>
        <w:t xml:space="preserve">. </w:t>
      </w:r>
      <w:r>
        <w:rPr>
          <w:rtl w:val="true"/>
        </w:rPr>
        <w:t>אף צוין</w:t>
      </w:r>
      <w:r>
        <w:rPr>
          <w:rtl w:val="true"/>
        </w:rPr>
        <w:t xml:space="preserve">, </w:t>
      </w:r>
      <w:r>
        <w:rPr>
          <w:rtl w:val="true"/>
        </w:rPr>
        <w:t>כי ממילא מדובר בתיקון חקיקה</w:t>
      </w:r>
      <w:r>
        <w:rPr>
          <w:rtl w:val="true"/>
        </w:rPr>
        <w:t xml:space="preserve">, </w:t>
      </w:r>
      <w:r>
        <w:rPr>
          <w:rtl w:val="true"/>
        </w:rPr>
        <w:t xml:space="preserve">ולכן הכלל בדבר </w:t>
      </w:r>
      <w:r>
        <w:rPr>
          <w:rtl w:val="true"/>
        </w:rPr>
        <w:t>"</w:t>
      </w:r>
      <w:r>
        <w:rPr>
          <w:rtl w:val="true"/>
        </w:rPr>
        <w:t>החמרה</w:t>
      </w:r>
      <w:r>
        <w:rPr>
          <w:rtl w:val="true"/>
        </w:rPr>
        <w:t xml:space="preserve"> </w:t>
      </w:r>
      <w:r>
        <w:rPr>
          <w:rtl w:val="true"/>
        </w:rPr>
        <w:t>הדרגתית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אינו רלוונטי בענייננו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בית המשפט פירט בהרחבה את נסיבות ביצוע העבירות</w:t>
      </w:r>
      <w:r>
        <w:rPr>
          <w:rtl w:val="true"/>
        </w:rPr>
        <w:t xml:space="preserve">, </w:t>
      </w:r>
      <w:r>
        <w:rPr>
          <w:rtl w:val="true"/>
        </w:rPr>
        <w:t>בהן לאחר שהמערער הוכה</w:t>
      </w:r>
      <w:r>
        <w:rPr>
          <w:rtl w:val="true"/>
        </w:rPr>
        <w:t xml:space="preserve">, </w:t>
      </w:r>
      <w:r>
        <w:rPr>
          <w:rtl w:val="true"/>
        </w:rPr>
        <w:t>הוא בחר להסלים את אירוע הקטטה והשתמש ברכב ככלי נשק</w:t>
      </w:r>
      <w:r>
        <w:rPr>
          <w:rtl w:val="true"/>
        </w:rPr>
        <w:t xml:space="preserve">; </w:t>
      </w:r>
      <w:r>
        <w:rPr>
          <w:rtl w:val="true"/>
        </w:rPr>
        <w:t>נכנס לרכב והאיץ את נסיעתו לעבר מקום הקטטה</w:t>
      </w:r>
      <w:r>
        <w:rPr>
          <w:rtl w:val="true"/>
        </w:rPr>
        <w:t xml:space="preserve">; </w:t>
      </w:r>
      <w:r>
        <w:rPr>
          <w:rtl w:val="true"/>
        </w:rPr>
        <w:t>צפה את האפשרות שבאופן נהיגתו יגרום למותו של אדם</w:t>
      </w:r>
      <w:r>
        <w:rPr>
          <w:rtl w:val="true"/>
        </w:rPr>
        <w:t xml:space="preserve">; </w:t>
      </w:r>
      <w:r>
        <w:rPr>
          <w:rtl w:val="true"/>
        </w:rPr>
        <w:t xml:space="preserve">המשיך בנסיעתו במהירות לעבר המנוח עד שפגע בו </w:t>
      </w:r>
      <w:r>
        <w:rPr>
          <w:rtl w:val="true"/>
        </w:rPr>
        <w:t>–</w:t>
      </w:r>
      <w:r>
        <w:rPr>
          <w:rtl w:val="true"/>
        </w:rPr>
        <w:t xml:space="preserve"> על אף שהמנוח</w:t>
      </w:r>
      <w:r>
        <w:rPr>
          <w:rtl w:val="true"/>
        </w:rPr>
        <w:t xml:space="preserve">, </w:t>
      </w:r>
      <w:r>
        <w:rPr>
          <w:rtl w:val="true"/>
        </w:rPr>
        <w:t>טרם הפגיעה בו</w:t>
      </w:r>
      <w:r>
        <w:rPr>
          <w:rtl w:val="true"/>
        </w:rPr>
        <w:t xml:space="preserve">, </w:t>
      </w:r>
      <w:r>
        <w:rPr>
          <w:rtl w:val="true"/>
        </w:rPr>
        <w:t>סימן למערער בידיו שיעצור</w:t>
      </w:r>
      <w:r>
        <w:rPr>
          <w:rtl w:val="true"/>
        </w:rPr>
        <w:t xml:space="preserve">; </w:t>
      </w:r>
      <w:r>
        <w:rPr>
          <w:rtl w:val="true"/>
        </w:rPr>
        <w:t>ובמקום להגיש עזרה למנוח לאחר הפגיעה</w:t>
      </w:r>
      <w:r>
        <w:rPr>
          <w:rtl w:val="true"/>
        </w:rPr>
        <w:t xml:space="preserve">, </w:t>
      </w:r>
      <w:r>
        <w:rPr>
          <w:rtl w:val="true"/>
        </w:rPr>
        <w:t>המשיך בנסיעתו וחזר לאזור הקטטה</w:t>
      </w:r>
      <w:r>
        <w:rPr>
          <w:rtl w:val="true"/>
        </w:rPr>
        <w:t xml:space="preserve">. </w:t>
      </w:r>
      <w:r>
        <w:rPr>
          <w:rtl w:val="true"/>
        </w:rPr>
        <w:t>בשקלול האמור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קבע כי מתחם העונש ההולם בעניינו נע בין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בגזירת עונשו של המערער בגדרי המתחם</w:t>
      </w:r>
      <w:r>
        <w:rPr>
          <w:rtl w:val="true"/>
        </w:rPr>
        <w:t xml:space="preserve">, </w:t>
      </w:r>
      <w:r>
        <w:rPr>
          <w:rtl w:val="true"/>
        </w:rPr>
        <w:t>בית המשפט המחוזי כיבד את הסדר הטיעון בין הצדדים</w:t>
      </w:r>
      <w:r>
        <w:rPr>
          <w:rtl w:val="true"/>
        </w:rPr>
        <w:t xml:space="preserve">, </w:t>
      </w:r>
      <w:r>
        <w:rPr>
          <w:rtl w:val="true"/>
        </w:rPr>
        <w:t xml:space="preserve">במסגרתו המדינה עתרה לעונש בן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והמערער ביקש בשלב הטיעונים לעונש כי עונשו יעמוד על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הודגש שיקול הרתעת הרבים נוכח </w:t>
      </w:r>
      <w:r>
        <w:rPr>
          <w:rtl w:val="true"/>
        </w:rPr>
        <w:t>"</w:t>
      </w:r>
      <w:r>
        <w:rPr>
          <w:rtl w:val="true"/>
        </w:rPr>
        <w:t>תופעה מדאיגה של פתרון סכסוכים תוך נקיטת אלימות מסוכנת וקיצונית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;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ובכללן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ושאיפותיו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וחדרה</w:t>
      </w:r>
      <w:r>
        <w:rPr>
          <w:rtl w:val="true"/>
        </w:rPr>
        <w:t xml:space="preserve">, </w:t>
      </w:r>
      <w:r>
        <w:rPr>
          <w:rtl w:val="true"/>
        </w:rPr>
        <w:t>דודתו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בשקלול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;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פשע</w:t>
      </w:r>
      <w:r>
        <w:rPr>
          <w:rtl w:val="true"/>
        </w:rPr>
        <w:t xml:space="preserve">",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לצמיתות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;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;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בית המשפט המחוזי החמיר בגזירת עונשו יתר על המידה</w:t>
      </w:r>
      <w:r>
        <w:rPr>
          <w:rtl w:val="true"/>
        </w:rPr>
        <w:t xml:space="preserve">, </w:t>
      </w:r>
      <w:r>
        <w:rPr>
          <w:rtl w:val="true"/>
        </w:rPr>
        <w:t>מאחר שלא התחשב בכך שטרם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 xml:space="preserve">לשיטתו היה מורשע בגין מעשיו בעבירת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והיה נגזר עליו עונש נמוך משמעותית מזה שנגזר עליו כעת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 xml:space="preserve">כי מדיניות הענישה שעליה הסתמך בית המשפט המחוזי </w:t>
      </w:r>
      <w:r>
        <w:rPr>
          <w:rtl w:val="true"/>
        </w:rPr>
        <w:t>"</w:t>
      </w:r>
      <w:r>
        <w:rPr>
          <w:rtl w:val="true"/>
        </w:rPr>
        <w:t>אינה רלוונטית</w:t>
      </w:r>
      <w:r>
        <w:rPr>
          <w:rtl w:val="true"/>
        </w:rPr>
        <w:t xml:space="preserve">" </w:t>
      </w:r>
      <w:r>
        <w:rPr>
          <w:rtl w:val="true"/>
        </w:rPr>
        <w:t>מאחר שזו עוסקת במקרים חמורים אשר יישום הרפורמה בהם הביא להקלה בעונשם של הנאשמים</w:t>
      </w:r>
      <w:r>
        <w:rPr>
          <w:rtl w:val="true"/>
        </w:rPr>
        <w:t xml:space="preserve">. </w:t>
      </w:r>
      <w:r>
        <w:rPr>
          <w:rtl w:val="true"/>
        </w:rPr>
        <w:t>אל מול זאת</w:t>
      </w:r>
      <w:r>
        <w:rPr>
          <w:rtl w:val="true"/>
        </w:rPr>
        <w:t xml:space="preserve">, </w:t>
      </w:r>
      <w:r>
        <w:rPr>
          <w:rtl w:val="true"/>
        </w:rPr>
        <w:t>נטען כי בעניינו של המערער</w:t>
      </w:r>
      <w:r>
        <w:rPr>
          <w:rtl w:val="true"/>
        </w:rPr>
        <w:t xml:space="preserve">, </w:t>
      </w:r>
      <w:r>
        <w:rPr>
          <w:rtl w:val="true"/>
        </w:rPr>
        <w:t>אופן יישומה של הרפורמה הוביל להחמרה בעונשו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ובכללן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לצמיתות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ולאלמנת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לעתיד</w:t>
      </w:r>
      <w:r>
        <w:rPr>
          <w:rtl w:val="true"/>
        </w:rPr>
        <w:t xml:space="preserve">" </w:t>
      </w:r>
      <w:r>
        <w:rPr>
          <w:rtl w:val="true"/>
        </w:rPr>
        <w:t>כלשונו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בדיון בפנינו</w:t>
      </w:r>
      <w:r>
        <w:rPr>
          <w:rtl w:val="true"/>
        </w:rPr>
        <w:t xml:space="preserve">, </w:t>
      </w:r>
      <w:r>
        <w:rPr>
          <w:rtl w:val="true"/>
        </w:rPr>
        <w:t>בא כוח המערער שב על טענותיו כפי שבאו לידי ביטוי בנימוקי הערעור שהוגשו בכתב</w:t>
      </w:r>
      <w:r>
        <w:rPr>
          <w:rtl w:val="true"/>
        </w:rPr>
        <w:t xml:space="preserve">, </w:t>
      </w:r>
      <w:r>
        <w:rPr>
          <w:rtl w:val="true"/>
        </w:rPr>
        <w:t xml:space="preserve">ולדבריו העונש אשר נגזר על המערער אינו </w:t>
      </w:r>
      <w:r>
        <w:rPr>
          <w:rtl w:val="true"/>
        </w:rPr>
        <w:t>"</w:t>
      </w:r>
      <w:r>
        <w:rPr>
          <w:rtl w:val="true"/>
        </w:rPr>
        <w:t>עומד בפרופורציה</w:t>
      </w:r>
      <w:r>
        <w:rPr>
          <w:rtl w:val="true"/>
        </w:rPr>
        <w:t xml:space="preserve">" </w:t>
      </w:r>
      <w:r>
        <w:rPr>
          <w:rtl w:val="true"/>
        </w:rPr>
        <w:t xml:space="preserve">לעונשים אשר נגזרו במקרים חמורים יותר </w:t>
      </w:r>
      <w:r>
        <w:rPr>
          <w:rtl w:val="true"/>
        </w:rPr>
        <w:t>עובר</w:t>
      </w:r>
      <w:r>
        <w:rPr>
          <w:rtl w:val="true"/>
        </w:rPr>
        <w:t xml:space="preserve"> </w:t>
      </w:r>
      <w:r>
        <w:rPr>
          <w:rtl w:val="true"/>
        </w:rPr>
        <w:t>לרפורמה</w:t>
      </w:r>
      <w:r>
        <w:rPr>
          <w:rtl w:val="true"/>
        </w:rPr>
        <w:t xml:space="preserve">. </w:t>
      </w:r>
      <w:r>
        <w:rPr>
          <w:rtl w:val="true"/>
        </w:rPr>
        <w:t>הוסיף וטען כי מאחר שבעניין המערער בית המשפט המחוזי נזקק לראשונה לתיקון שערכה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 xml:space="preserve">ראוי היה כי </w:t>
      </w:r>
      <w:r>
        <w:rPr>
          <w:rtl w:val="true"/>
        </w:rPr>
        <w:t>"</w:t>
      </w:r>
      <w:r>
        <w:rPr>
          <w:rtl w:val="true"/>
        </w:rPr>
        <w:t>הדבר ייעשה באופן שאינו צורם</w:t>
      </w:r>
      <w:r>
        <w:rPr>
          <w:rtl w:val="true"/>
        </w:rPr>
        <w:t xml:space="preserve">" </w:t>
      </w:r>
      <w:r>
        <w:rPr>
          <w:rtl w:val="true"/>
        </w:rPr>
        <w:t>כלשונו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המדינה דחתה מכל וכל את טענות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והבהירה כי </w:t>
      </w:r>
      <w:r>
        <w:rPr>
          <w:rtl w:val="true"/>
        </w:rPr>
        <w:t>"</w:t>
      </w:r>
      <w:r>
        <w:rPr>
          <w:rtl w:val="true"/>
        </w:rPr>
        <w:t>המחוקק אמר את דברו</w:t>
      </w:r>
      <w:r>
        <w:rPr>
          <w:rtl w:val="true"/>
        </w:rPr>
        <w:t xml:space="preserve">" </w:t>
      </w:r>
      <w:r>
        <w:rPr>
          <w:rtl w:val="true"/>
        </w:rPr>
        <w:t>ברפורמה</w:t>
      </w:r>
      <w:r>
        <w:rPr>
          <w:rtl w:val="true"/>
        </w:rPr>
        <w:t xml:space="preserve">, </w:t>
      </w:r>
      <w:r>
        <w:rPr>
          <w:rtl w:val="true"/>
        </w:rPr>
        <w:t xml:space="preserve">כך שיש לבחון את מעשי המערער ולגזור את עונשו בהתאם לעבירה בה הורשע </w:t>
      </w:r>
      <w:r>
        <w:rPr>
          <w:rtl w:val="true"/>
        </w:rPr>
        <w:t>–</w:t>
      </w:r>
      <w:r>
        <w:rPr>
          <w:rtl w:val="true"/>
        </w:rPr>
        <w:t xml:space="preserve"> עבירת הרצח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בית המשפט המחוזי התחשב בנסיבותיו האישיות של המערער בגזירת עונשו</w:t>
      </w:r>
      <w:r>
        <w:rPr>
          <w:rtl w:val="true"/>
        </w:rPr>
        <w:t xml:space="preserve">, </w:t>
      </w:r>
      <w:r>
        <w:rPr>
          <w:rtl w:val="true"/>
        </w:rPr>
        <w:t xml:space="preserve">ונוכח מעשיו החמורים אשר הביאו למותו של המנוח ולפציעתה של חדרה </w:t>
      </w:r>
      <w:r>
        <w:rPr>
          <w:rtl w:val="true"/>
        </w:rPr>
        <w:t>–</w:t>
      </w:r>
      <w:r>
        <w:rPr>
          <w:rtl w:val="true"/>
        </w:rPr>
        <w:t xml:space="preserve"> אין מקום להקל בעונש אשר נגזר עליו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לצמיתות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נחיצותם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והפיזיים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העגום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הפעוט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לקראת הדיון בפנינו הוגש תסקיר שירות מבחן עדכני בעניינו של המערער</w:t>
      </w:r>
      <w:r>
        <w:rPr>
          <w:rtl w:val="true"/>
        </w:rPr>
        <w:t xml:space="preserve">, </w:t>
      </w:r>
      <w:r>
        <w:rPr>
          <w:rtl w:val="true"/>
        </w:rPr>
        <w:t>ממנו עולה כי הוא משולב בפרויקט טיפול לצעירים המיועד לאסירים צעירים השפוטים למאסר ארוך</w:t>
      </w:r>
      <w:r>
        <w:rPr>
          <w:rtl w:val="true"/>
        </w:rPr>
        <w:t xml:space="preserve">, </w:t>
      </w:r>
      <w:r>
        <w:rPr>
          <w:rtl w:val="true"/>
        </w:rPr>
        <w:t>ומהווה הכנה לטיפול ייעודי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הלכה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יתערב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שהושת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 </w:t>
      </w:r>
      <w:r>
        <w:rPr>
          <w:rtl w:val="true"/>
        </w:rPr>
        <w:t>קיצונית</w:t>
      </w:r>
      <w:r>
        <w:rPr>
          <w:rtl w:val="true"/>
        </w:rPr>
        <w:t xml:space="preserve"> </w:t>
      </w:r>
      <w:r>
        <w:rPr>
          <w:rtl w:val="true"/>
        </w:rPr>
        <w:t>ממדיניות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ובולטת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2260/22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18.7.2022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]).</w:t>
      </w:r>
      <w:r>
        <w:rPr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 xml:space="preserve">נדרשות נסיבות מיוחדות וחריגות להתערבות </w:t>
      </w:r>
      <w:r>
        <w:rPr>
          <w:rtl w:val="true"/>
        </w:rPr>
        <w:t>בעונש שנגזר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מקרים בהם העונש אינו חורג מהרף העליון לגביו הסכימו הצדדים </w:t>
      </w:r>
      <w:r>
        <w:rPr>
          <w:rtl w:val="true"/>
        </w:rPr>
        <w:t>ב</w:t>
      </w:r>
      <w:r>
        <w:rPr>
          <w:rtl w:val="true"/>
        </w:rPr>
        <w:t>הסדר טיעון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5932/21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קורובקוב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13.</w:t>
      </w:r>
      <w:r>
        <w:rPr/>
        <w:t>7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>זו גם נקודת המוצא לדיון בערעור שלפנינו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במוקד טענות המערער</w:t>
      </w:r>
      <w:r>
        <w:rPr>
          <w:rtl w:val="true"/>
        </w:rPr>
        <w:t xml:space="preserve">, </w:t>
      </w:r>
      <w:r>
        <w:rPr>
          <w:rtl w:val="true"/>
        </w:rPr>
        <w:t>ניצבת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 xml:space="preserve">אשר נכנסה לתוקף ביום </w:t>
      </w:r>
      <w:r>
        <w:rPr/>
        <w:t>10.7.2019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כשבועיים קודם ביצוע המעשים מושא כתב האישום המתוקן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2011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6338/20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7.7.2022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לעולם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גדריהן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9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1042/04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ביטון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סא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646</w:t>
      </w:r>
      <w:r>
        <w:rPr>
          <w:rtl w:val="true"/>
        </w:rPr>
        <w:t xml:space="preserve"> (</w:t>
      </w:r>
      <w:r>
        <w:rPr/>
        <w:t>2006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4711/03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15.</w:t>
      </w:r>
      <w:r>
        <w:rPr/>
        <w:t>1</w:t>
      </w:r>
      <w:r>
        <w:rPr/>
        <w:t>.2009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לביקורת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קבועה</w:t>
      </w:r>
      <w:r>
        <w:rPr>
          <w:rFonts w:eastAsia="Arial TUR;Arial" w:cs="Arial TUR;Arial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, </w:t>
      </w:r>
      <w:r>
        <w:rPr>
          <w:rtl w:val="true"/>
        </w:rPr>
        <w:t>התפרסה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לתפיסתם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המבקרים</w:t>
      </w:r>
      <w:r>
        <w:rPr>
          <w:rtl w:val="true"/>
        </w:rPr>
        <w:t xml:space="preserve">, </w:t>
      </w:r>
      <w:r>
        <w:rPr>
          <w:rtl w:val="true"/>
        </w:rPr>
        <w:t>תיוגו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ולהענישו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;Arial" w:cs="Arial TUR;Arial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 (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972</w:t>
      </w:r>
      <w:r>
        <w:rPr>
          <w:rtl w:val="true"/>
        </w:rPr>
        <w:t xml:space="preserve">, </w:t>
      </w:r>
      <w:r>
        <w:rPr/>
        <w:t>166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>מרדכי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קרמניצר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וחאלד</w:t>
      </w:r>
      <w:r>
        <w:rPr>
          <w:rFonts w:eastAsia="Arial TUR;Arial" w:cs="Arial TUR;Arial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גנאים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הרפורמה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בעבירות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ההמתה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2019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עקרונות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ומחקר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היסטורי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והשוואתי</w:t>
      </w:r>
      <w:r>
        <w:rPr>
          <w:rtl w:val="true"/>
        </w:rPr>
        <w:t xml:space="preserve">, </w:t>
      </w:r>
      <w:r>
        <w:rPr/>
        <w:t>213-211</w:t>
      </w:r>
      <w:r>
        <w:rPr>
          <w:rtl w:val="true"/>
        </w:rPr>
        <w:t xml:space="preserve"> (</w:t>
      </w:r>
      <w:r>
        <w:rPr/>
        <w:t>2020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קרמניצר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וגנאים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מנויה</w:t>
      </w:r>
      <w:r>
        <w:rPr>
          <w:rFonts w:eastAsia="Arial TUR;Arial" w:cs="Arial TUR;Arial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המבקרים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166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פוריאדין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19.</w:t>
      </w:r>
      <w:r>
        <w:rPr/>
        <w:t>1</w:t>
      </w:r>
      <w:r>
        <w:rPr/>
        <w:t>.2006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;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7942/04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שיטרית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רובינשטיין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28.11.2007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חדשות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והשנייה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המונה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, </w:t>
      </w:r>
      <w:r>
        <w:rPr>
          <w:rtl w:val="true"/>
        </w:rPr>
        <w:t>פוצלה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והמתה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כעבירה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 (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רושרוש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19.</w:t>
      </w:r>
      <w:r>
        <w:rPr/>
        <w:t>7</w:t>
      </w:r>
      <w:r>
        <w:rPr/>
        <w:t>.2020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המערער מלין על השינוי בענישה בעקבות הרפורמה</w:t>
      </w:r>
      <w:r>
        <w:rPr>
          <w:rtl w:val="true"/>
        </w:rPr>
        <w:t xml:space="preserve">, </w:t>
      </w:r>
      <w:r>
        <w:rPr>
          <w:rtl w:val="true"/>
        </w:rPr>
        <w:t>אשר הביא</w:t>
      </w:r>
      <w:r>
        <w:rPr>
          <w:rtl w:val="true"/>
        </w:rPr>
        <w:t xml:space="preserve">, </w:t>
      </w:r>
      <w:r>
        <w:rPr>
          <w:rtl w:val="true"/>
        </w:rPr>
        <w:t>לעמדתו</w:t>
      </w:r>
      <w:r>
        <w:rPr>
          <w:rtl w:val="true"/>
        </w:rPr>
        <w:t xml:space="preserve">, </w:t>
      </w:r>
      <w:r>
        <w:rPr>
          <w:rtl w:val="true"/>
        </w:rPr>
        <w:t>את בית המשפט המחוזי להשית עליו עונש חמור</w:t>
      </w:r>
      <w:r>
        <w:rPr>
          <w:rtl w:val="true"/>
        </w:rPr>
        <w:t xml:space="preserve">. </w:t>
      </w:r>
      <w:r>
        <w:rPr>
          <w:rtl w:val="true"/>
        </w:rPr>
        <w:t>איני מוצא מקום לקבל טענותיו אלה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העונש המרבי הקבוע בצדה של עבירה מהווה מסגרת עבור גזירת עונשו של נאשם</w:t>
      </w:r>
      <w:r>
        <w:rPr>
          <w:rtl w:val="true"/>
        </w:rPr>
        <w:t xml:space="preserve">, </w:t>
      </w:r>
      <w:r>
        <w:rPr>
          <w:rtl w:val="true"/>
        </w:rPr>
        <w:t>באופן ששיקול דעתו של בית המשפט במלאכת גזירת העונש נע בגבולות העונש שהתווה המחוקק בכל עבירה לגופה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משעה שבמצוות המחוקק תוקן ושונה החוק </w:t>
      </w:r>
      <w:r>
        <w:rPr>
          <w:rtl w:val="true"/>
        </w:rPr>
        <w:t>–</w:t>
      </w:r>
      <w:r>
        <w:rPr>
          <w:rtl w:val="true"/>
        </w:rPr>
        <w:t xml:space="preserve"> אלו הן אמות המידה לאורם בית המשפט יפעל </w:t>
      </w:r>
      <w:r>
        <w:rPr>
          <w:rtl w:val="true"/>
        </w:rPr>
        <w:t>(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1466/20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22.</w:t>
      </w:r>
      <w:r>
        <w:rPr/>
        <w:t>7</w:t>
      </w:r>
      <w:r>
        <w:rPr/>
        <w:t>.2020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נכונים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מטבע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 </w:t>
      </w:r>
      <w:r>
        <w:rPr>
          <w:rtl w:val="true"/>
        </w:rPr>
        <w:t>חקיקה</w:t>
      </w:r>
      <w:r>
        <w:rPr>
          <w:rtl w:val="true"/>
        </w:rPr>
        <w:t xml:space="preserve"> </w:t>
      </w:r>
      <w:r>
        <w:rPr>
          <w:rtl w:val="true"/>
        </w:rPr>
        <w:t>ובפרט</w:t>
      </w:r>
      <w:r>
        <w:rPr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tl w:val="true"/>
        </w:rPr>
        <w:t xml:space="preserve"> </w:t>
      </w:r>
      <w:r>
        <w:rPr>
          <w:rtl w:val="true"/>
        </w:rPr>
        <w:t>להתגלע</w:t>
      </w:r>
      <w:r>
        <w:rPr>
          <w:rtl w:val="true"/>
        </w:rPr>
        <w:t xml:space="preserve"> </w:t>
      </w:r>
      <w:r>
        <w:rPr>
          <w:rtl w:val="true"/>
        </w:rPr>
        <w:t>פער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 </w:t>
      </w:r>
      <w:r>
        <w:rPr>
          <w:rtl w:val="true"/>
        </w:rPr>
        <w:t>הנגזרים</w:t>
      </w:r>
      <w:r>
        <w:rPr>
          <w:rtl w:val="true"/>
        </w:rPr>
        <w:t xml:space="preserve"> </w:t>
      </w:r>
      <w:r>
        <w:rPr>
          <w:rtl w:val="true"/>
        </w:rPr>
        <w:t xml:space="preserve">בשל </w:t>
      </w:r>
      <w:r>
        <w:rPr>
          <w:rtl w:val="true"/>
        </w:rPr>
        <w:t>מעשים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התרחשו</w:t>
      </w:r>
      <w:r>
        <w:rPr>
          <w:rtl w:val="true"/>
        </w:rPr>
        <w:t xml:space="preserve"> </w:t>
      </w:r>
      <w:r>
        <w:rPr>
          <w:rtl w:val="true"/>
        </w:rPr>
        <w:t>האחד</w:t>
      </w:r>
      <w:r>
        <w:rPr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, </w:t>
      </w:r>
      <w:r>
        <w:rPr>
          <w:rtl w:val="true"/>
        </w:rPr>
        <w:t>והאחר</w:t>
      </w:r>
      <w:r>
        <w:rPr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1382/19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22.</w:t>
      </w:r>
      <w:r>
        <w:rPr/>
        <w:t>1</w:t>
      </w:r>
      <w:r>
        <w:rPr/>
        <w:t>.2020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בית המשפט המחוזי פעל כשורה בגזירת עונשו של המערער בהתאם לסיווג מעשיו תחת עבירת הרצח הבסיסית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ייתכן כי אדרבה </w:t>
      </w:r>
      <w:r>
        <w:rPr>
          <w:rtl w:val="true"/>
        </w:rPr>
        <w:t>–</w:t>
      </w:r>
      <w:r>
        <w:rPr>
          <w:rtl w:val="true"/>
        </w:rPr>
        <w:t xml:space="preserve"> מעשי המערער וסיווגם תחת עבירת הרצח ולא תחת עבירה ההריגה</w:t>
      </w:r>
      <w:r>
        <w:rPr>
          <w:rtl w:val="true"/>
        </w:rPr>
        <w:t xml:space="preserve">, </w:t>
      </w:r>
      <w:r>
        <w:rPr>
          <w:rtl w:val="true"/>
        </w:rPr>
        <w:t>מלמדים כי הרפורמה משיגה את מטרתה</w:t>
      </w:r>
      <w:r>
        <w:rPr>
          <w:rtl w:val="true"/>
        </w:rPr>
        <w:t xml:space="preserve">, </w:t>
      </w:r>
      <w:r>
        <w:rPr>
          <w:rtl w:val="true"/>
        </w:rPr>
        <w:t>משעלה בידה להתאים בין מידת אשמתו של המערער וחומרת המעשים שביצע לבין העבירה בה הורשע והעונש אשר נגזר עליו בגינה</w:t>
      </w:r>
      <w:r>
        <w:rPr>
          <w:rtl w:val="true"/>
        </w:rPr>
        <w:t xml:space="preserve">. </w:t>
      </w:r>
      <w:r>
        <w:rPr>
          <w:rtl w:val="true"/>
        </w:rPr>
        <w:t>רוצה לומר</w:t>
      </w:r>
      <w:r>
        <w:rPr>
          <w:rtl w:val="true"/>
        </w:rPr>
        <w:t xml:space="preserve">,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שנגזר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המיטבי</w:t>
      </w:r>
      <w:r>
        <w:rPr>
          <w:rtl w:val="true"/>
        </w:rPr>
        <w:t xml:space="preserve"> </w:t>
      </w:r>
      <w:r>
        <w:rPr>
          <w:rtl w:val="true"/>
        </w:rPr>
        <w:t>והראוי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ברפורמה בעבירות ההמתה המחוקק פיצל את עבירת ההריגה</w:t>
      </w:r>
      <w:r>
        <w:rPr>
          <w:rtl w:val="true"/>
        </w:rPr>
        <w:t xml:space="preserve">, </w:t>
      </w:r>
      <w:r>
        <w:rPr>
          <w:rtl w:val="true"/>
        </w:rPr>
        <w:t>לאחר שגרס כי עבירה זו רחבה מדי</w:t>
      </w:r>
      <w:r>
        <w:rPr>
          <w:rtl w:val="true"/>
        </w:rPr>
        <w:t xml:space="preserve">, </w:t>
      </w:r>
      <w:r>
        <w:rPr>
          <w:rtl w:val="true"/>
        </w:rPr>
        <w:t>באופן שהתפרסה על מגוון מקרי המתה אשר בחלקם מעוררים תחושה מידית ש</w:t>
      </w:r>
      <w:r>
        <w:rPr>
          <w:rtl w:val="true"/>
        </w:rPr>
        <w:t>"</w:t>
      </w:r>
      <w:r>
        <w:rPr>
          <w:rtl w:val="true"/>
        </w:rPr>
        <w:t>האכסניה</w:t>
      </w:r>
      <w:r>
        <w:rPr>
          <w:rtl w:val="true"/>
        </w:rPr>
        <w:t xml:space="preserve">" </w:t>
      </w:r>
      <w:r>
        <w:rPr>
          <w:rtl w:val="true"/>
        </w:rPr>
        <w:t xml:space="preserve">המתאימה עבורם היא דווקא עבירת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דומה</w:t>
      </w:r>
      <w:r>
        <w:rPr>
          <w:rtl w:val="true"/>
        </w:rPr>
        <w:t xml:space="preserve"> כי על מקרים אלו נמנים גם מעשי המערער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מסכת האירועים המתוארת בכתב האישום המתוקן</w:t>
      </w:r>
      <w:r>
        <w:rPr>
          <w:rtl w:val="true"/>
        </w:rPr>
        <w:t xml:space="preserve">, </w:t>
      </w:r>
      <w:r>
        <w:rPr>
          <w:rtl w:val="true"/>
        </w:rPr>
        <w:t>אשר המערער הודה בה</w:t>
      </w:r>
      <w:r>
        <w:rPr>
          <w:rtl w:val="true"/>
        </w:rPr>
        <w:t xml:space="preserve">, </w:t>
      </w:r>
      <w:r>
        <w:rPr>
          <w:rtl w:val="true"/>
        </w:rPr>
        <w:t>מבליטה את אשמתו ואת חומרת מעשיו</w:t>
      </w:r>
      <w:r>
        <w:rPr>
          <w:rtl w:val="true"/>
        </w:rPr>
        <w:t xml:space="preserve">. </w:t>
      </w:r>
      <w:r>
        <w:rPr>
          <w:rtl w:val="true"/>
        </w:rPr>
        <w:t>המערער שש אלי קרב לקטטה שהתפתחה בעיר רהט בין בני משפחתו לבין בני משפחת אלנססרה</w:t>
      </w:r>
      <w:r>
        <w:rPr>
          <w:rtl w:val="true"/>
        </w:rPr>
        <w:t xml:space="preserve">, </w:t>
      </w:r>
      <w:r>
        <w:rPr>
          <w:rtl w:val="true"/>
        </w:rPr>
        <w:t>ובמקום להסתלק מהמקום לאחר שהוכה בראשו</w:t>
      </w:r>
      <w:r>
        <w:rPr>
          <w:rtl w:val="true"/>
        </w:rPr>
        <w:t xml:space="preserve">, </w:t>
      </w:r>
      <w:r>
        <w:rPr>
          <w:rtl w:val="true"/>
        </w:rPr>
        <w:t>נכנס לרכב מונע ונסע לכיוון הצומת אשר בה אותה העת עמדו עשרות אנשים בהם גם חדרה והמנוח</w:t>
      </w:r>
      <w:r>
        <w:rPr>
          <w:rtl w:val="true"/>
        </w:rPr>
        <w:t xml:space="preserve">. </w:t>
      </w:r>
      <w:r>
        <w:rPr>
          <w:rtl w:val="true"/>
        </w:rPr>
        <w:t>בנסיעתו פגע בחדרה</w:t>
      </w:r>
      <w:r>
        <w:rPr>
          <w:rtl w:val="true"/>
        </w:rPr>
        <w:t xml:space="preserve">, </w:t>
      </w:r>
      <w:r>
        <w:rPr>
          <w:rtl w:val="true"/>
        </w:rPr>
        <w:t>העיף אותה לצדי הכביש</w:t>
      </w:r>
      <w:r>
        <w:rPr>
          <w:rtl w:val="true"/>
        </w:rPr>
        <w:t xml:space="preserve">, </w:t>
      </w:r>
      <w:r>
        <w:rPr>
          <w:rtl w:val="true"/>
        </w:rPr>
        <w:t>והמשיך בנסיעה מהירה עד אשר פגע במנוח חרף העובדה שסימן למערער לעצור את נסיעתו</w:t>
      </w:r>
      <w:r>
        <w:rPr>
          <w:rtl w:val="true"/>
        </w:rPr>
        <w:t xml:space="preserve">. </w:t>
      </w:r>
      <w:r>
        <w:rPr>
          <w:rtl w:val="true"/>
        </w:rPr>
        <w:t>המערער לא עצר את רכבו כדי להגיש עזרה למנוח ולדודתו השרועים על הכביש</w:t>
      </w:r>
      <w:r>
        <w:rPr>
          <w:rtl w:val="true"/>
        </w:rPr>
        <w:t xml:space="preserve">, </w:t>
      </w:r>
      <w:r>
        <w:rPr>
          <w:rtl w:val="true"/>
        </w:rPr>
        <w:t>ונעצר רק לאחר שפגע ברכבים אחרים שחנו בסמוך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לא רק שאין לקבל את טענת המערער בדבר החמרת עונשו בעקבות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>אלא שעניינו מגשים את תכלית רפורמה זו</w:t>
      </w:r>
      <w:r>
        <w:rPr>
          <w:rtl w:val="true"/>
        </w:rPr>
        <w:t xml:space="preserve">, </w:t>
      </w:r>
      <w:r>
        <w:rPr>
          <w:rtl w:val="true"/>
        </w:rPr>
        <w:t xml:space="preserve">לפיה העבירה המתאימה למעשיו היא עבירת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על כל המשתמע מכך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;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4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,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וכפירושו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כאן המקום להעיר כי אני סבור שמתחם העונש ההולם אשר נקבע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הוא רחב יתר על המידה</w:t>
      </w:r>
      <w:r>
        <w:rPr>
          <w:rtl w:val="true"/>
        </w:rPr>
        <w:t xml:space="preserve">, </w:t>
      </w:r>
      <w:r>
        <w:rPr>
          <w:rtl w:val="true"/>
        </w:rPr>
        <w:t xml:space="preserve">באופן אשר אינו עולה בקנה אחד עם תכליות הרפורמה בעבירות ההמתה ותכליות הרפורמה בהבניית שיקול הדעת בענישה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 xml:space="preserve">כפי שקבעתי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קאדר</w:t>
      </w:r>
      <w:r>
        <w:rPr>
          <w:rtl w:val="true"/>
        </w:rPr>
        <w:t xml:space="preserve">, </w:t>
      </w:r>
      <w:r>
        <w:rPr>
          <w:rtl w:val="true"/>
        </w:rPr>
        <w:t>לאחר גזר הדין בעניינו של המערער שם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>"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מצומצם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יישמר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יישמרו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ויילקחו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  <w:r>
        <w:rPr>
          <w:rtl w:val="true"/>
        </w:rPr>
        <w:t xml:space="preserve">.. </w:t>
      </w:r>
    </w:p>
    <w:p>
      <w:pPr>
        <w:pStyle w:val="Ruller5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5"/>
        <w:ind w:end="1282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מצומצם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ידגיש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ויצמצם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>" (</w:t>
      </w:r>
      <w:hyperlink r:id="rId47"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color w:val="0000FF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7"/>
            <w:szCs w:val="27"/>
            <w:u w:val="single"/>
          </w:rPr>
          <w:t>1077/22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קאדר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color w:val="000000"/>
          <w:sz w:val="27"/>
          <w:sz w:val="27"/>
          <w:szCs w:val="27"/>
          <w:rtl w:val="true"/>
        </w:rPr>
        <w:t>פסקאות</w:t>
      </w:r>
      <w:r>
        <w:rPr>
          <w:rFonts w:eastAsia="Arial TUR;Arial" w:cs="Arial TUR;Arial"/>
          <w:color w:val="000000"/>
          <w:sz w:val="27"/>
          <w:sz w:val="27"/>
          <w:szCs w:val="27"/>
          <w:rtl w:val="true"/>
        </w:rPr>
        <w:t xml:space="preserve"> </w:t>
      </w:r>
      <w:r>
        <w:rPr>
          <w:color w:val="000000"/>
          <w:sz w:val="27"/>
          <w:szCs w:val="27"/>
        </w:rPr>
        <w:t>14</w:t>
      </w:r>
      <w:r>
        <w:rPr>
          <w:color w:val="000000"/>
          <w:sz w:val="27"/>
          <w:szCs w:val="27"/>
          <w:rtl w:val="true"/>
        </w:rPr>
        <w:t xml:space="preserve"> </w:t>
      </w:r>
      <w:r>
        <w:rPr>
          <w:color w:val="000000"/>
          <w:sz w:val="27"/>
          <w:sz w:val="27"/>
          <w:szCs w:val="27"/>
          <w:rtl w:val="true"/>
        </w:rPr>
        <w:t>ו</w:t>
      </w:r>
      <w:r>
        <w:rPr>
          <w:color w:val="000000"/>
          <w:sz w:val="27"/>
          <w:szCs w:val="27"/>
          <w:rtl w:val="true"/>
        </w:rPr>
        <w:t>-</w:t>
      </w:r>
      <w:r>
        <w:rPr>
          <w:color w:val="000000"/>
          <w:sz w:val="27"/>
          <w:szCs w:val="27"/>
        </w:rPr>
        <w:t>21</w:t>
      </w:r>
      <w:r>
        <w:rPr>
          <w:color w:val="000000"/>
          <w:sz w:val="27"/>
          <w:szCs w:val="27"/>
          <w:rtl w:val="true"/>
        </w:rPr>
        <w:t xml:space="preserve"> </w:t>
      </w:r>
      <w:r>
        <w:rPr>
          <w:color w:val="000000"/>
          <w:sz w:val="27"/>
          <w:szCs w:val="27"/>
          <w:rtl w:val="true"/>
        </w:rPr>
        <w:t>(</w:t>
      </w:r>
      <w:r>
        <w:rPr>
          <w:color w:val="000000"/>
          <w:sz w:val="27"/>
          <w:szCs w:val="27"/>
        </w:rPr>
        <w:t>1.6.2022</w:t>
      </w:r>
      <w:r>
        <w:rPr>
          <w:color w:val="000000"/>
          <w:sz w:val="27"/>
          <w:szCs w:val="27"/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קאדר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 xml:space="preserve">כוח המערער טען בפנינו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בהנחה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18-26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הנתונים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שמצויים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פלילי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בצבא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הנדסאי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תסקיר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עמוקה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מתחילת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הדרך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בתחתית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המתחם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שנתיים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במתחם</w:t>
      </w:r>
      <w:r>
        <w:rPr>
          <w:rtl w:val="true"/>
        </w:rPr>
        <w:t>?</w:t>
      </w:r>
      <w:r>
        <w:rPr>
          <w:rtl w:val="true"/>
        </w:rPr>
        <w:t xml:space="preserve">". </w:t>
      </w:r>
      <w:r>
        <w:rPr>
          <w:rtl w:val="true"/>
        </w:rPr>
        <w:t xml:space="preserve">דבריו ממחישים לטעמי כי קביעת מתחם עונש כה רחב של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מעמעם את ההלימה שבין חומרת מעשי המערער ואשמתו לבין העונש הנגזר עליו</w:t>
      </w:r>
      <w:r>
        <w:rPr>
          <w:rtl w:val="true"/>
        </w:rPr>
        <w:t xml:space="preserve">; </w:t>
      </w:r>
      <w:r>
        <w:rPr>
          <w:rtl w:val="true"/>
        </w:rPr>
        <w:t>ומפר את האיזון הרצוי במלאכת גזירת העונש בעבירת הרצח הבסיסית</w:t>
      </w:r>
      <w:r>
        <w:rPr>
          <w:rtl w:val="true"/>
        </w:rPr>
        <w:t xml:space="preserve">, </w:t>
      </w:r>
      <w:r>
        <w:rPr>
          <w:rtl w:val="true"/>
        </w:rPr>
        <w:t>בגדרו ידם של עיקרון ההלימה וערך חיי האדם על העליונה</w:t>
      </w:r>
      <w:r>
        <w:rPr>
          <w:rtl w:val="true"/>
        </w:rPr>
        <w:t xml:space="preserve">, </w:t>
      </w:r>
      <w:r>
        <w:rPr>
          <w:rtl w:val="true"/>
        </w:rPr>
        <w:t>ואילו משקלן של הנסיבות שאינן קשורות בביצוע העבירה פוחת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יודגש כי </w:t>
      </w:r>
      <w:r>
        <w:rPr>
          <w:rtl w:val="true"/>
        </w:rPr>
        <w:t>הגם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מצומצם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בוחנת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 </w:t>
      </w:r>
      <w:r>
        <w:rPr>
          <w:rtl w:val="true"/>
        </w:rPr>
        <w:t>הסופית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26.7.2022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]).</w:t>
      </w:r>
      <w:r>
        <w:rPr>
          <w:rtl w:val="true"/>
        </w:rPr>
        <w:t xml:space="preserve"> </w:t>
      </w:r>
      <w:r>
        <w:rPr>
          <w:rtl w:val="true"/>
        </w:rPr>
        <w:t>כך אפנה לעשות כעת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מעשי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 xml:space="preserve">מעשים אלה מגיעים לכדי זילות </w:t>
      </w:r>
      <w:r>
        <w:rPr>
          <w:rtl w:val="true"/>
        </w:rPr>
        <w:t>חיי</w:t>
      </w:r>
      <w:r>
        <w:rPr>
          <w:rtl w:val="true"/>
        </w:rPr>
        <w:t>-</w:t>
      </w:r>
      <w:r>
        <w:rPr>
          <w:rtl w:val="true"/>
        </w:rPr>
        <w:t>אדם</w:t>
      </w:r>
      <w:r>
        <w:rPr>
          <w:rtl w:val="true"/>
        </w:rPr>
        <w:t xml:space="preserve"> בדרגה קיצונית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 המערער</w:t>
      </w:r>
      <w:r>
        <w:rPr>
          <w:rtl w:val="true"/>
        </w:rPr>
        <w:t xml:space="preserve"> </w:t>
      </w:r>
      <w:r>
        <w:rPr>
          <w:rtl w:val="true"/>
        </w:rPr>
        <w:t>בחר</w:t>
      </w:r>
      <w:r>
        <w:rPr>
          <w:rtl w:val="true"/>
        </w:rPr>
        <w:t xml:space="preserve"> </w:t>
      </w:r>
      <w:r>
        <w:rPr>
          <w:rtl w:val="true"/>
        </w:rPr>
        <w:t>מיוזמתו</w:t>
      </w:r>
      <w:r>
        <w:rPr>
          <w:rtl w:val="true"/>
        </w:rPr>
        <w:t xml:space="preserve"> </w:t>
      </w:r>
      <w:r>
        <w:rPr>
          <w:rtl w:val="true"/>
        </w:rPr>
        <w:t>להשתתף</w:t>
      </w:r>
      <w:r>
        <w:rPr>
          <w:rtl w:val="true"/>
        </w:rPr>
        <w:t xml:space="preserve"> </w:t>
      </w:r>
      <w:r>
        <w:rPr>
          <w:rtl w:val="true"/>
        </w:rPr>
        <w:t>בקטטה</w:t>
      </w:r>
      <w:r>
        <w:rPr>
          <w:rtl w:val="true"/>
        </w:rPr>
        <w:t xml:space="preserve">, </w:t>
      </w:r>
      <w:r>
        <w:rPr>
          <w:rtl w:val="true"/>
        </w:rPr>
        <w:t>והחריף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נכנס</w:t>
      </w:r>
      <w:r>
        <w:rPr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 </w:t>
      </w:r>
      <w:r>
        <w:rPr>
          <w:rtl w:val="true"/>
        </w:rPr>
        <w:t>מונע</w:t>
      </w:r>
      <w:r>
        <w:rPr>
          <w:rtl w:val="true"/>
        </w:rPr>
        <w:t xml:space="preserve"> </w:t>
      </w:r>
      <w:r>
        <w:rPr>
          <w:rtl w:val="true"/>
        </w:rPr>
        <w:t>ונהג</w:t>
      </w:r>
      <w:r>
        <w:rPr>
          <w:rtl w:val="true"/>
        </w:rPr>
        <w:t xml:space="preserve"> </w:t>
      </w:r>
      <w:r>
        <w:rPr>
          <w:rtl w:val="true"/>
        </w:rPr>
        <w:t>לעבר</w:t>
      </w:r>
      <w:r>
        <w:rPr>
          <w:rtl w:val="true"/>
        </w:rPr>
        <w:t xml:space="preserve"> </w:t>
      </w:r>
      <w:r>
        <w:rPr>
          <w:rtl w:val="true"/>
        </w:rPr>
        <w:t xml:space="preserve">ולתוך </w:t>
      </w:r>
      <w:r>
        <w:rPr>
          <w:rtl w:val="true"/>
        </w:rPr>
        <w:t>ההמון</w:t>
      </w:r>
      <w:r>
        <w:rPr>
          <w:rtl w:val="true"/>
        </w:rPr>
        <w:t xml:space="preserve">, </w:t>
      </w:r>
      <w:r>
        <w:rPr>
          <w:rtl w:val="true"/>
        </w:rPr>
        <w:t>פוצע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חדרה</w:t>
      </w:r>
      <w:r>
        <w:rPr>
          <w:rtl w:val="true"/>
        </w:rPr>
        <w:t xml:space="preserve"> </w:t>
      </w:r>
      <w:r>
        <w:rPr>
          <w:rtl w:val="true"/>
        </w:rPr>
        <w:t>ופוגע</w:t>
      </w:r>
      <w:r>
        <w:rPr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הביא</w:t>
      </w:r>
      <w:r>
        <w:rPr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 לאחר הפגיעה בו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tl w:val="true"/>
        </w:rPr>
        <w:t xml:space="preserve"> </w:t>
      </w:r>
      <w:r>
        <w:rPr>
          <w:rtl w:val="true"/>
        </w:rPr>
        <w:t>מידת</w:t>
      </w:r>
      <w:r>
        <w:rPr>
          <w:rtl w:val="true"/>
        </w:rPr>
        <w:t xml:space="preserve"> </w:t>
      </w:r>
      <w:r>
        <w:rPr>
          <w:rtl w:val="true"/>
        </w:rPr>
        <w:t>אשמתו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 </w:t>
      </w:r>
      <w:r>
        <w:rPr>
          <w:rtl w:val="true"/>
        </w:rPr>
        <w:t>במידת</w:t>
      </w:r>
      <w:r>
        <w:rPr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לצמיתות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בנהיגתו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ועניין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ובמנוח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, </w:t>
      </w:r>
      <w:r>
        <w:rPr>
          <w:rtl w:val="true"/>
        </w:rPr>
        <w:t>ולראות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מוצדקים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ונחוצים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והנפשיות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חדרה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אין מקום להתערב בעונש אשר בית המשפט המחוזי גזר על המערער</w:t>
      </w:r>
      <w:r>
        <w:rPr>
          <w:rtl w:val="true"/>
        </w:rPr>
        <w:t xml:space="preserve">, </w:t>
      </w:r>
      <w:r>
        <w:rPr>
          <w:rtl w:val="true"/>
        </w:rPr>
        <w:t>למעט התיקון שעלינו לעשות בעונש פסילת רישיון הנהיגה</w:t>
      </w:r>
      <w:r>
        <w:rPr>
          <w:rtl w:val="true"/>
        </w:rPr>
        <w:t xml:space="preserve">, </w:t>
      </w:r>
      <w:r>
        <w:rPr>
          <w:rtl w:val="true"/>
        </w:rPr>
        <w:t>בהתחשב באורכה של תקופת המאסר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אנו מעמידים אפוא את תקופת הפסילה על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 ממועד שחרורו מהכלא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 ליתר רכיבי העונש שנגזר על המערער</w:t>
      </w:r>
      <w:r>
        <w:rPr>
          <w:rtl w:val="true"/>
        </w:rPr>
        <w:t xml:space="preserve">, </w:t>
      </w:r>
      <w:r>
        <w:rPr>
          <w:rtl w:val="true"/>
        </w:rPr>
        <w:t>אלו הולמים את חומרת מעשיו ומתחשבים כדבעי במכלול נסיבות ביצוע העבירה ונסיבותיו האישיות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למעט ההתערבות לעיל בתקופת פסילת הרישיון</w:t>
      </w:r>
      <w:r>
        <w:rPr>
          <w:rtl w:val="true"/>
        </w:rPr>
        <w:t xml:space="preserve">, </w:t>
      </w:r>
      <w:r>
        <w:rPr>
          <w:rtl w:val="true"/>
        </w:rPr>
        <w:t xml:space="preserve">אני סבור כי דין הערעור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וכך אציע לחבריי לעשות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כבוב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0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21.8.2022</w:t>
      </w:r>
      <w:r>
        <w:rPr>
          <w:rtl w:val="true"/>
        </w:rPr>
        <w:t xml:space="preserve">). </w:t>
      </w:r>
      <w:bookmarkEnd w:id="20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21031870</w:t>
      </w:r>
      <w:r>
        <w:rPr>
          <w:sz w:val="16"/>
          <w:rtl w:val="true"/>
        </w:rPr>
        <w:t>_</w:t>
      </w:r>
      <w:r>
        <w:rPr>
          <w:sz w:val="16"/>
        </w:rPr>
        <w:t>J02.docx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9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54678313-3187/21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1"/>
      <w:footerReference w:type="default" r:id="rId5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3187/21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סנאד אלקאדי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WW8Num12z0">
    <w:name w:val="WW8Num12z0"/>
    <w:qFormat/>
    <w:rPr>
      <w:rFonts w:ascii="Symbol" w:hAnsi="Symbol" w:eastAsia="Times New Roman" w:cs="FrankRueh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eastAsia="Times New Roman" w:cs="FrankRueh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Symbol" w:hAnsi="Symbol" w:eastAsia="Times New Roman" w:cs="FrankRueh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cs="David"/>
      <w:szCs w:val="24"/>
    </w:rPr>
  </w:style>
  <w:style w:type="character" w:styleId="CharChar3">
    <w:name w:val=" Char Char3"/>
    <w:qFormat/>
    <w:rPr>
      <w:rFonts w:cs="David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957616" TargetMode="External"/><Relationship Id="rId3" Type="http://schemas.openxmlformats.org/officeDocument/2006/relationships/hyperlink" Target="http://www.nevo.co.il/safrut/bookgroup/2063" TargetMode="External"/><Relationship Id="rId4" Type="http://schemas.openxmlformats.org/officeDocument/2006/relationships/hyperlink" Target="http://www.nevo.co.il/safrut/bookgroup/2063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37" TargetMode="External"/><Relationship Id="rId7" Type="http://schemas.openxmlformats.org/officeDocument/2006/relationships/hyperlink" Target="http://www.nevo.co.il/law/70301/298" TargetMode="External"/><Relationship Id="rId8" Type="http://schemas.openxmlformats.org/officeDocument/2006/relationships/hyperlink" Target="http://www.nevo.co.il/law/70301/300" TargetMode="External"/><Relationship Id="rId9" Type="http://schemas.openxmlformats.org/officeDocument/2006/relationships/hyperlink" Target="http://www.nevo.co.il/law/70301/300.a" TargetMode="External"/><Relationship Id="rId10" Type="http://schemas.openxmlformats.org/officeDocument/2006/relationships/hyperlink" Target="http://www.nevo.co.il/law/70301/300.a.2" TargetMode="External"/><Relationship Id="rId11" Type="http://schemas.openxmlformats.org/officeDocument/2006/relationships/hyperlink" Target="http://www.nevo.co.il/law/70301/301.a" TargetMode="External"/><Relationship Id="rId12" Type="http://schemas.openxmlformats.org/officeDocument/2006/relationships/hyperlink" Target="http://www.nevo.co.il/law/70301/301c" TargetMode="External"/><Relationship Id="rId13" Type="http://schemas.openxmlformats.org/officeDocument/2006/relationships/hyperlink" Target="http://www.nevo.co.il/law/70301/334" TargetMode="External"/><Relationship Id="rId14" Type="http://schemas.openxmlformats.org/officeDocument/2006/relationships/hyperlink" Target="http://www.nevo.co.il/law/70301/335.a.1" TargetMode="External"/><Relationship Id="rId15" Type="http://schemas.openxmlformats.org/officeDocument/2006/relationships/hyperlink" Target="http://www.nevo.co.il/law/5227" TargetMode="External"/><Relationship Id="rId16" Type="http://schemas.openxmlformats.org/officeDocument/2006/relationships/hyperlink" Target="http://www.nevo.co.il/law/5227/67" TargetMode="External"/><Relationship Id="rId17" Type="http://schemas.openxmlformats.org/officeDocument/2006/relationships/hyperlink" Target="http://www.nevo.co.il/case/25957616" TargetMode="External"/><Relationship Id="rId18" Type="http://schemas.openxmlformats.org/officeDocument/2006/relationships/hyperlink" Target="http://www.nevo.co.il/law/70301/300.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34" TargetMode="External"/><Relationship Id="rId21" Type="http://schemas.openxmlformats.org/officeDocument/2006/relationships/hyperlink" Target="http://www.nevo.co.il/law/70301/335.a.1" TargetMode="External"/><Relationship Id="rId22" Type="http://schemas.openxmlformats.org/officeDocument/2006/relationships/hyperlink" Target="http://www.nevo.co.il/law/5227/67" TargetMode="External"/><Relationship Id="rId23" Type="http://schemas.openxmlformats.org/officeDocument/2006/relationships/hyperlink" Target="http://www.nevo.co.il/law/5227" TargetMode="External"/><Relationship Id="rId24" Type="http://schemas.openxmlformats.org/officeDocument/2006/relationships/hyperlink" Target="http://www.nevo.co.il/law/70301/137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8452957" TargetMode="External"/><Relationship Id="rId27" Type="http://schemas.openxmlformats.org/officeDocument/2006/relationships/hyperlink" Target="http://www.nevo.co.il/case/27907115" TargetMode="External"/><Relationship Id="rId28" Type="http://schemas.openxmlformats.org/officeDocument/2006/relationships/hyperlink" Target="http://www.nevo.co.il/case/26995434" TargetMode="External"/><Relationship Id="rId29" Type="http://schemas.openxmlformats.org/officeDocument/2006/relationships/hyperlink" Target="http://www.nevo.co.il/case/5743107" TargetMode="External"/><Relationship Id="rId30" Type="http://schemas.openxmlformats.org/officeDocument/2006/relationships/hyperlink" Target="http://www.nevo.co.il/case/5870871" TargetMode="External"/><Relationship Id="rId31" Type="http://schemas.openxmlformats.org/officeDocument/2006/relationships/hyperlink" Target="http://www.nevo.co.il/law/70301/300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safrut/bookgroup/2063" TargetMode="External"/><Relationship Id="rId34" Type="http://schemas.openxmlformats.org/officeDocument/2006/relationships/hyperlink" Target="http://www.nevo.co.il/law/70301/298" TargetMode="External"/><Relationship Id="rId35" Type="http://schemas.openxmlformats.org/officeDocument/2006/relationships/hyperlink" Target="http://www.nevo.co.il/case/5674263" TargetMode="External"/><Relationship Id="rId36" Type="http://schemas.openxmlformats.org/officeDocument/2006/relationships/hyperlink" Target="http://www.nevo.co.il/case/5840203" TargetMode="External"/><Relationship Id="rId37" Type="http://schemas.openxmlformats.org/officeDocument/2006/relationships/hyperlink" Target="http://www.nevo.co.il/law/70301/300.a" TargetMode="External"/><Relationship Id="rId38" Type="http://schemas.openxmlformats.org/officeDocument/2006/relationships/hyperlink" Target="http://www.nevo.co.il/law/70301/301.a" TargetMode="External"/><Relationship Id="rId39" Type="http://schemas.openxmlformats.org/officeDocument/2006/relationships/hyperlink" Target="http://www.nevo.co.il/law/70301/300.a" TargetMode="External"/><Relationship Id="rId40" Type="http://schemas.openxmlformats.org/officeDocument/2006/relationships/hyperlink" Target="http://www.nevo.co.il/law/70301/301c" TargetMode="External"/><Relationship Id="rId41" Type="http://schemas.openxmlformats.org/officeDocument/2006/relationships/hyperlink" Target="http://www.nevo.co.il/case/26329687" TargetMode="External"/><Relationship Id="rId42" Type="http://schemas.openxmlformats.org/officeDocument/2006/relationships/hyperlink" Target="http://www.nevo.co.il/case/26489415" TargetMode="External"/><Relationship Id="rId43" Type="http://schemas.openxmlformats.org/officeDocument/2006/relationships/hyperlink" Target="http://www.nevo.co.il/case/25475821" TargetMode="External"/><Relationship Id="rId44" Type="http://schemas.openxmlformats.org/officeDocument/2006/relationships/hyperlink" Target="http://www.nevo.co.il/law/70301/298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300.a.2" TargetMode="External"/><Relationship Id="rId47" Type="http://schemas.openxmlformats.org/officeDocument/2006/relationships/hyperlink" Target="http://www.nevo.co.il/case/28313659" TargetMode="External"/><Relationship Id="rId48" Type="http://schemas.openxmlformats.org/officeDocument/2006/relationships/hyperlink" Target="http://www.nevo.co.il/case/27305799" TargetMode="External"/><Relationship Id="rId49" Type="http://schemas.openxmlformats.org/officeDocument/2006/relationships/hyperlink" Target="https://supreme.court.gov.il/" TargetMode="External"/><Relationship Id="rId50" Type="http://schemas.openxmlformats.org/officeDocument/2006/relationships/hyperlink" Target="http://www.nevo.co.il/advertisements/nevo-100.doc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2022-08-22T09:04:00Z</dcterms:created>
  <dc:creator>h4</dc:creator>
  <dc:description/>
  <cp:keywords/>
  <dc:language>en-IL</dc:language>
  <cp:lastModifiedBy>hofit</cp:lastModifiedBy>
  <cp:lastPrinted>2022-08-21T08:00:00Z</cp:lastPrinted>
  <dcterms:modified xsi:type="dcterms:W3CDTF">2022-08-22T09:04:00Z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סנאד אלקאדי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ישראל;אלמנת המנוח עטף אבו בלאל;חדרה אבו בלאל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2063</vt:lpwstr>
  </property>
  <property fmtid="{D5CDD505-2E9C-101B-9397-08002B2CF9AE}" pid="9" name="CASENOTES1">
    <vt:lpwstr>ProcID=278&amp;PartA=18&amp;PartC=26</vt:lpwstr>
  </property>
  <property fmtid="{D5CDD505-2E9C-101B-9397-08002B2CF9AE}" pid="10" name="CASESLISTTMP1">
    <vt:lpwstr>25957616:2;28452957;27907115;26995434;5743107;5870871;5674263;5840203;26329687;26489415;25475821;28313659;27305799</vt:lpwstr>
  </property>
  <property fmtid="{D5CDD505-2E9C-101B-9397-08002B2CF9AE}" pid="11" name="CITY">
    <vt:lpwstr/>
  </property>
  <property fmtid="{D5CDD505-2E9C-101B-9397-08002B2CF9AE}" pid="12" name="DATE">
    <vt:lpwstr>20220821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י' אלרון;א' שטיין;ח' כבוב</vt:lpwstr>
  </property>
  <property fmtid="{D5CDD505-2E9C-101B-9397-08002B2CF9AE}" pid="16" name="LAWLISTTMP1">
    <vt:lpwstr>70301/300.a:3;334;335.a.1;137;300;298:2;301.a;301c;300.a.2</vt:lpwstr>
  </property>
  <property fmtid="{D5CDD505-2E9C-101B-9397-08002B2CF9AE}" pid="17" name="LAWLISTTMP2">
    <vt:lpwstr>5227/067</vt:lpwstr>
  </property>
  <property fmtid="{D5CDD505-2E9C-101B-9397-08002B2CF9AE}" pid="18" name="LAWYER">
    <vt:lpwstr>נעימה חנאווי כראם;סלימאן אלזיאדנה;רפי ליטן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פאני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>עונשין</vt:lpwstr>
  </property>
  <property fmtid="{D5CDD505-2E9C-101B-9397-08002B2CF9AE}" pid="34" name="NOSE15">
    <vt:lpwstr>עונשין</vt:lpwstr>
  </property>
  <property fmtid="{D5CDD505-2E9C-101B-9397-08002B2CF9AE}" pid="35" name="NOSE16">
    <vt:lpwstr>עונשין</vt:lpwstr>
  </property>
  <property fmtid="{D5CDD505-2E9C-101B-9397-08002B2CF9AE}" pid="36" name="NOSE17">
    <vt:lpwstr>דיון פלילי</vt:lpwstr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77;77;77;77;77;77;18</vt:lpwstr>
  </property>
  <property fmtid="{D5CDD505-2E9C-101B-9397-08002B2CF9AE}" pid="40" name="NOSE21">
    <vt:lpwstr>עבירת הרצח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>ענישה</vt:lpwstr>
  </property>
  <property fmtid="{D5CDD505-2E9C-101B-9397-08002B2CF9AE}" pid="44" name="NOSE24">
    <vt:lpwstr>ענישה</vt:lpwstr>
  </property>
  <property fmtid="{D5CDD505-2E9C-101B-9397-08002B2CF9AE}" pid="45" name="NOSE25">
    <vt:lpwstr>ענישה</vt:lpwstr>
  </property>
  <property fmtid="{D5CDD505-2E9C-101B-9397-08002B2CF9AE}" pid="46" name="NOSE26">
    <vt:lpwstr>ענישה</vt:lpwstr>
  </property>
  <property fmtid="{D5CDD505-2E9C-101B-9397-08002B2CF9AE}" pid="47" name="NOSE27">
    <vt:lpwstr>ערעור</vt:lpwstr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12455;1446;1446;1446;1446;1446;504</vt:lpwstr>
  </property>
  <property fmtid="{D5CDD505-2E9C-101B-9397-08002B2CF9AE}" pid="51" name="NOSE31">
    <vt:lpwstr>תיקון 137</vt:lpwstr>
  </property>
  <property fmtid="{D5CDD505-2E9C-101B-9397-08002B2CF9AE}" pid="52" name="NOSE310">
    <vt:lpwstr/>
  </property>
  <property fmtid="{D5CDD505-2E9C-101B-9397-08002B2CF9AE}" pid="53" name="NOSE32">
    <vt:lpwstr>תיקון 137</vt:lpwstr>
  </property>
  <property fmtid="{D5CDD505-2E9C-101B-9397-08002B2CF9AE}" pid="54" name="NOSE33">
    <vt:lpwstr>תיקון 113</vt:lpwstr>
  </property>
  <property fmtid="{D5CDD505-2E9C-101B-9397-08002B2CF9AE}" pid="55" name="NOSE34">
    <vt:lpwstr>מתחם הענישה</vt:lpwstr>
  </property>
  <property fmtid="{D5CDD505-2E9C-101B-9397-08002B2CF9AE}" pid="56" name="NOSE35">
    <vt:lpwstr>עקרון ההלימה‏</vt:lpwstr>
  </property>
  <property fmtid="{D5CDD505-2E9C-101B-9397-08002B2CF9AE}" pid="57" name="NOSE36">
    <vt:lpwstr>מדיניות ענישה: שיקולים לחומרה</vt:lpwstr>
  </property>
  <property fmtid="{D5CDD505-2E9C-101B-9397-08002B2CF9AE}" pid="58" name="NOSE37">
    <vt:lpwstr>אי-התערבות בחומרת העונש</vt:lpwstr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18905;18866;15240;14985;14799;8995;17692</vt:lpwstr>
  </property>
  <property fmtid="{D5CDD505-2E9C-101B-9397-08002B2CF9AE}" pid="62" name="PADIDATE">
    <vt:lpwstr>20220822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3187</vt:lpwstr>
  </property>
  <property fmtid="{D5CDD505-2E9C-101B-9397-08002B2CF9AE}" pid="68" name="PROCYEAR">
    <vt:lpwstr>21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410120220821</vt:lpwstr>
  </property>
  <property fmtid="{D5CDD505-2E9C-101B-9397-08002B2CF9AE}" pid="72" name="TYPE_N_DATE">
    <vt:lpwstr>41020220821</vt:lpwstr>
  </property>
  <property fmtid="{D5CDD505-2E9C-101B-9397-08002B2CF9AE}" pid="73" name="VOLUME">
    <vt:lpwstr/>
  </property>
  <property fmtid="{D5CDD505-2E9C-101B-9397-08002B2CF9AE}" pid="74" name="WORDNUMPAGES">
    <vt:lpwstr>13</vt:lpwstr>
  </property>
</Properties>
</file>