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3216/20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יניב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בבאר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שבע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37680-07-19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20.20.2020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סגן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הנשיאה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26.11.2020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צרפתי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שבע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אבגז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379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וקניינם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הצתה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שעיקרן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משילוח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הדליקה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תתפשט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נרחב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התנגדותם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לדרישותיו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הביריונית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בדיבורים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שהעז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הצטייד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בליווי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ושילח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למספרה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וביטוח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וקניינם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ועיקר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לפנינו ערעור על גזר דינו של בית המשפט המחוזי באר שבע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סגן 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ביתן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37680-07-19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20.2.2020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בגדר</w:t>
      </w:r>
      <w:r>
        <w:rPr>
          <w:rtl w:val="true"/>
        </w:rPr>
        <w:t xml:space="preserve">ו גזר על המערער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 והפעיל עונש מאסר מותנה שהיה תלוי ועומד נגדו בתיק אחר</w:t>
      </w:r>
      <w:r>
        <w:rPr>
          <w:rtl w:val="true"/>
        </w:rPr>
        <w:t xml:space="preserve">, </w:t>
      </w:r>
      <w:r>
        <w:rPr>
          <w:rtl w:val="true"/>
        </w:rPr>
        <w:t>כך שיישא ב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בגין הרשעת המערער בשורת עבירות שעיקרן בתקיפת עובר אורח </w:t>
      </w:r>
      <w:r>
        <w:rPr>
          <w:rtl w:val="true"/>
        </w:rPr>
        <w:t xml:space="preserve">בצוותא </w:t>
      </w:r>
      <w:r>
        <w:rPr>
          <w:rtl w:val="true"/>
        </w:rPr>
        <w:t>עם אדם אחר והצתת מקום עסק על רקע סכסוכו של המערער עם בעל המקום</w:t>
      </w:r>
      <w:r>
        <w:rPr>
          <w:rtl w:val="true"/>
        </w:rPr>
        <w:t>.</w:t>
      </w:r>
    </w:p>
    <w:p>
      <w:pPr>
        <w:pStyle w:val="Ruller41"/>
        <w:keepNext w:val="true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לעניין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26.6.2019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20:00</w:t>
      </w:r>
      <w:r>
        <w:rPr>
          <w:rtl w:val="true"/>
        </w:rPr>
        <w:t xml:space="preserve">, </w:t>
      </w:r>
      <w:r>
        <w:rPr>
          <w:rtl w:val="true"/>
        </w:rPr>
        <w:t>נסע המערער עם שלושה אחרים ברכב השייך לאחיו למספרה בעיר אילת</w:t>
      </w:r>
      <w:r>
        <w:rPr>
          <w:rtl w:val="true"/>
        </w:rPr>
        <w:t xml:space="preserve">, </w:t>
      </w:r>
      <w:r>
        <w:rPr>
          <w:rtl w:val="true"/>
        </w:rPr>
        <w:t>אליה נכנס בגפו כשלרגליו כפכפים</w:t>
      </w:r>
      <w:r>
        <w:rPr>
          <w:rtl w:val="true"/>
        </w:rPr>
        <w:t xml:space="preserve">. </w:t>
      </w:r>
      <w:r>
        <w:rPr>
          <w:rtl w:val="true"/>
        </w:rPr>
        <w:t>בין המערער לבעל המספרה פרץ ויכוח</w:t>
      </w:r>
      <w:r>
        <w:rPr>
          <w:rtl w:val="true"/>
        </w:rPr>
        <w:t xml:space="preserve">, </w:t>
      </w:r>
      <w:r>
        <w:rPr>
          <w:rtl w:val="true"/>
        </w:rPr>
        <w:t>שבעקבותיו יצא המערער בזעם אל הרכב</w:t>
      </w:r>
      <w:r>
        <w:rPr>
          <w:rtl w:val="true"/>
        </w:rPr>
        <w:t xml:space="preserve">, </w:t>
      </w:r>
      <w:r>
        <w:rPr>
          <w:rtl w:val="true"/>
        </w:rPr>
        <w:t>נעל את נעליו</w:t>
      </w:r>
      <w:r>
        <w:rPr>
          <w:rtl w:val="true"/>
        </w:rPr>
        <w:t xml:space="preserve">, </w:t>
      </w:r>
      <w:r>
        <w:rPr>
          <w:rtl w:val="true"/>
        </w:rPr>
        <w:t>שב לפתח המספרה בליווי אחד מיושבי הרכב והחל לאיים על בעל המספרה ולדרוש כי ייצא ממנה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האחר שהתלווה אל המערער הסב את תשומת לבו למצלמת אבטחה שהותקנה במקום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ניגש אל שניים אשר ישבו על ספסל סמוך ודרש מאחד מהם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להורות לבעל המספרה לצאת מהמקום</w:t>
      </w:r>
      <w:r>
        <w:rPr>
          <w:rtl w:val="true"/>
        </w:rPr>
        <w:t xml:space="preserve">. </w:t>
      </w:r>
      <w:r>
        <w:rPr>
          <w:rtl w:val="true"/>
        </w:rPr>
        <w:t>משסירב לעשות כן</w:t>
      </w:r>
      <w:r>
        <w:rPr>
          <w:rtl w:val="true"/>
        </w:rPr>
        <w:t xml:space="preserve">, </w:t>
      </w:r>
      <w:r>
        <w:rPr>
          <w:rtl w:val="true"/>
        </w:rPr>
        <w:t xml:space="preserve">עזב המערער את המקום ושב כעבור דקות מספר עם אדם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פילס</w:t>
      </w:r>
      <w:r>
        <w:rPr>
          <w:rtl w:val="true"/>
        </w:rPr>
        <w:t xml:space="preserve">), </w:t>
      </w:r>
      <w:r>
        <w:rPr>
          <w:rtl w:val="true"/>
        </w:rPr>
        <w:t>כשבידו בקבוק</w:t>
      </w:r>
      <w:r>
        <w:rPr>
          <w:rtl w:val="true"/>
        </w:rPr>
        <w:t xml:space="preserve">. </w:t>
      </w:r>
      <w:r>
        <w:rPr>
          <w:rtl w:val="true"/>
        </w:rPr>
        <w:t>המערער ניגש באופן מאיים אל אחד מיושבי הספסל</w:t>
      </w:r>
      <w:r>
        <w:rPr>
          <w:rtl w:val="true"/>
        </w:rPr>
        <w:t xml:space="preserve">, </w:t>
      </w:r>
      <w:r>
        <w:rPr>
          <w:rtl w:val="true"/>
        </w:rPr>
        <w:t>ולאחר מכן הוא ופילס החלו להכות את ראשו של המתלונן באגרופים</w:t>
      </w:r>
      <w:r>
        <w:rPr>
          <w:rtl w:val="true"/>
        </w:rPr>
        <w:t xml:space="preserve">, </w:t>
      </w:r>
      <w:r>
        <w:rPr>
          <w:rtl w:val="true"/>
        </w:rPr>
        <w:t>עד לכשקם מכ</w:t>
      </w:r>
      <w:r>
        <w:rPr>
          <w:rtl w:val="true"/>
        </w:rPr>
        <w:t>י</w:t>
      </w:r>
      <w:r>
        <w:rPr>
          <w:rtl w:val="true"/>
        </w:rPr>
        <w:t>סאו והבריח אותם מהמקום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חש המתלונן בכאב בראשו ונזקק לטיפול רפואי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המספרה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וניפצה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זגוגיותיה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מעשים אלו</w:t>
      </w:r>
      <w:r>
        <w:rPr>
          <w:rtl w:val="true"/>
        </w:rPr>
        <w:t xml:space="preserve">, </w:t>
      </w:r>
      <w:r>
        <w:rPr>
          <w:rtl w:val="true"/>
        </w:rPr>
        <w:t>יוחסו למערער עבירת תקיפה סתם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3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 xml:space="preserve">; </w:t>
      </w:r>
      <w:r>
        <w:rPr>
          <w:rtl w:val="true"/>
        </w:rPr>
        <w:t>נהיגה ללא רישיון נהיגה תקף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א–</w:t>
      </w:r>
      <w:r>
        <w:rPr/>
        <w:t>1961</w:t>
      </w:r>
      <w:r>
        <w:rPr>
          <w:rtl w:val="true"/>
        </w:rPr>
        <w:t xml:space="preserve">; </w:t>
      </w:r>
      <w:r>
        <w:rPr>
          <w:rtl w:val="true"/>
        </w:rPr>
        <w:t>וכן נהיגת רכב ללא תעודת ביטוח תקפה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ל–</w:t>
      </w:r>
      <w:r>
        <w:rPr/>
        <w:t>1970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5.12.2019</w:t>
      </w:r>
      <w:r>
        <w:rPr>
          <w:rtl w:val="true"/>
        </w:rPr>
        <w:t xml:space="preserve">, </w:t>
      </w:r>
      <w:r>
        <w:rPr>
          <w:rtl w:val="true"/>
        </w:rPr>
        <w:t>הורשע המערער בעבירות שיוחסו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 אשר לא כלל הסכמה לעניין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20.2.2020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הפגיעה החמורה שגרם המערער בערכים המוגנים של שלמות הגוף</w:t>
      </w:r>
      <w:r>
        <w:rPr>
          <w:rtl w:val="true"/>
        </w:rPr>
        <w:t xml:space="preserve">, </w:t>
      </w:r>
      <w:r>
        <w:rPr>
          <w:rtl w:val="true"/>
        </w:rPr>
        <w:t>הביטחון האישי</w:t>
      </w:r>
      <w:r>
        <w:rPr>
          <w:rtl w:val="true"/>
        </w:rPr>
        <w:t xml:space="preserve">, </w:t>
      </w:r>
      <w:r>
        <w:rPr>
          <w:rtl w:val="true"/>
        </w:rPr>
        <w:t>כבוד האדם</w:t>
      </w:r>
      <w:r>
        <w:rPr>
          <w:rtl w:val="true"/>
        </w:rPr>
        <w:t xml:space="preserve">, </w:t>
      </w:r>
      <w:r>
        <w:rPr>
          <w:rtl w:val="true"/>
        </w:rPr>
        <w:t>זכות הקניין והסדר הציבורי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הננקטת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שבביצועה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ופילס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הצטיידותו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להצתה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המספרה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צוותי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עונשו של המערער בתוך מתחם זה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לחומרא את 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>הכולל שתי הרשעות קודמות בעבירות איומים</w:t>
      </w:r>
      <w:r>
        <w:rPr>
          <w:rtl w:val="true"/>
        </w:rPr>
        <w:t xml:space="preserve">, </w:t>
      </w:r>
      <w:r>
        <w:rPr>
          <w:rtl w:val="true"/>
        </w:rPr>
        <w:t>היזק לרכוש במזיד ותקיפה סתם</w:t>
      </w:r>
      <w:r>
        <w:rPr>
          <w:rtl w:val="true"/>
        </w:rPr>
        <w:t xml:space="preserve">, </w:t>
      </w:r>
      <w:r>
        <w:rPr>
          <w:rtl w:val="true"/>
        </w:rPr>
        <w:t>בגינן נגזרו עליו בין היתר עונשי מאסר בפועל</w:t>
      </w:r>
      <w:r>
        <w:rPr>
          <w:rtl w:val="true"/>
        </w:rPr>
        <w:t xml:space="preserve">. </w:t>
      </w:r>
      <w:r>
        <w:rPr>
          <w:rtl w:val="true"/>
        </w:rPr>
        <w:t>בהקשר זה הודגש כי המערער ביצע את המעשים מושא ההליך דנן כחצי שנה בלבד לאחר שחרורו ממאסר</w:t>
      </w:r>
      <w:r>
        <w:rPr>
          <w:rtl w:val="true"/>
        </w:rPr>
        <w:t xml:space="preserve">, </w:t>
      </w:r>
      <w:r>
        <w:rPr>
          <w:rtl w:val="true"/>
        </w:rPr>
        <w:t>ובעוד תלוי ועומד נגדו עונש מאסר מותנה שלא היה בו כדי להרתיעו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שקל בית המשפט המחוזי לקולא את גילו הצעיר </w:t>
      </w:r>
      <w:r>
        <w:rPr>
          <w:rFonts w:ascii="FrankRuehl" w:hAnsi="FrankRuehl" w:cs="FrankRuehl"/>
          <w:rtl w:val="true"/>
        </w:rPr>
        <w:t>–</w:t>
      </w:r>
      <w:r>
        <w:rPr>
          <w:rtl w:val="true"/>
        </w:rPr>
        <w:t xml:space="preserve"> בהיותו בן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שנים בלבד </w:t>
      </w:r>
      <w:r>
        <w:rPr>
          <w:rFonts w:ascii="FrankRuehl" w:hAnsi="FrankRuehl" w:cs="FrankRuehl"/>
          <w:rtl w:val="true"/>
        </w:rPr>
        <w:t>–</w:t>
      </w:r>
      <w:r>
        <w:rPr>
          <w:rtl w:val="true"/>
        </w:rPr>
        <w:t xml:space="preserve"> ואת העובדה כי הודה במיוחס לו ובכך חסך זמן שיפוטי ואת הצורך בהעדת עדי התביעה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לנוכח האמור לעיל גזר בית המשפט המחוזי על המערער עונשים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וכן הפעיל עונש מאסר מותנה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שהושת עליו בתיק אחר במצטבר ובחופף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tl w:val="true"/>
        </w:rPr>
        <w:t xml:space="preserve"> שיישא בסך הכל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. </w:t>
      </w:r>
      <w:r>
        <w:rPr>
          <w:rtl w:val="true"/>
        </w:rPr>
        <w:t xml:space="preserve">עוד גזר בית המשפט על המערער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עבירת אלימות מסוג פשע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פסילה מלקבל או להחזיק רישיון נהיגה למשך שנה מיום שחרורו</w:t>
      </w:r>
      <w:r>
        <w:rPr>
          <w:rtl w:val="true"/>
        </w:rPr>
        <w:t xml:space="preserve">; </w:t>
      </w:r>
      <w:r>
        <w:rPr>
          <w:rtl w:val="true"/>
        </w:rPr>
        <w:t xml:space="preserve">וכן פיצוי לבעל המספרה ולמתלונן על סך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ו</w:t>
      </w:r>
      <w:r>
        <w:rPr>
          <w:rtl w:val="true"/>
        </w:rPr>
        <w:t>-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העונש שנגזר עליו חמור יתר על המידה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מאחר שלשיטתו </w:t>
      </w:r>
      <w:r>
        <w:rPr>
          <w:rtl w:val="true"/>
        </w:rPr>
        <w:t>"</w:t>
      </w:r>
      <w:r>
        <w:rPr>
          <w:rtl w:val="true"/>
        </w:rPr>
        <w:t>לא נגרם נזק מהותי לרכוש ולא לאדם</w:t>
      </w:r>
      <w:r>
        <w:rPr>
          <w:rtl w:val="true"/>
        </w:rPr>
        <w:t xml:space="preserve">"; </w:t>
      </w:r>
      <w:r>
        <w:rPr>
          <w:rtl w:val="true"/>
        </w:rPr>
        <w:t>לא היה חשש ממשי לכך שהדליקה שהצית תתפשט</w:t>
      </w:r>
      <w:r>
        <w:rPr>
          <w:rtl w:val="true"/>
        </w:rPr>
        <w:t xml:space="preserve">; </w:t>
      </w:r>
      <w:r>
        <w:rPr>
          <w:rtl w:val="true"/>
        </w:rPr>
        <w:t>לא הוכח כי עוצמת האש שדלקה במקום גבוהה</w:t>
      </w:r>
      <w:r>
        <w:rPr>
          <w:rtl w:val="true"/>
        </w:rPr>
        <w:t xml:space="preserve">; </w:t>
      </w:r>
      <w:r>
        <w:rPr>
          <w:rtl w:val="true"/>
        </w:rPr>
        <w:t>מדובר ב</w:t>
      </w:r>
      <w:r>
        <w:rPr>
          <w:rtl w:val="true"/>
        </w:rPr>
        <w:t>"</w:t>
      </w:r>
      <w:r>
        <w:rPr>
          <w:rtl w:val="true"/>
        </w:rPr>
        <w:t>אירוע חד פעמי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; </w:t>
      </w:r>
      <w:r>
        <w:rPr>
          <w:rtl w:val="true"/>
        </w:rPr>
        <w:t>ולגישתו</w:t>
      </w:r>
      <w:r>
        <w:rPr>
          <w:rtl w:val="true"/>
        </w:rPr>
        <w:t xml:space="preserve">, </w:t>
      </w:r>
      <w:r>
        <w:rPr>
          <w:rtl w:val="true"/>
        </w:rPr>
        <w:t>עברו הפלילי אינו מכביד</w:t>
      </w:r>
      <w:r>
        <w:rPr>
          <w:rtl w:val="true"/>
        </w:rPr>
        <w:t>.</w:t>
      </w:r>
    </w:p>
    <w:p>
      <w:pPr>
        <w:pStyle w:val="Ruller4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בדיון שהתקיים לפנינו טענה באת כוח המשיבה כי</w:t>
      </w:r>
      <w:r>
        <w:rPr>
          <w:rtl w:val="true"/>
        </w:rPr>
        <w:t xml:space="preserve"> יש לדחות את הערעור ולהותיר את גזר דינו של המערער על כנו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נלווית חומרה יתירה למעשיו של המערער</w:t>
      </w:r>
      <w:r>
        <w:rPr>
          <w:rtl w:val="true"/>
        </w:rPr>
        <w:t xml:space="preserve">, </w:t>
      </w:r>
      <w:r>
        <w:rPr>
          <w:rtl w:val="true"/>
        </w:rPr>
        <w:t>אשר ביצע את עבירת ההצתה כהמשך ישיר לעבירת התקיפה שביצעה קודם לכן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בשים לב לעברו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>הכולל עבירות תקיפה ואיומים</w:t>
      </w:r>
      <w:r>
        <w:rPr>
          <w:rtl w:val="true"/>
        </w:rPr>
        <w:t xml:space="preserve">, </w:t>
      </w:r>
      <w:r>
        <w:rPr>
          <w:rtl w:val="true"/>
        </w:rPr>
        <w:t>בגינן נשא בעונש מאסר בפועל</w:t>
      </w:r>
      <w:r>
        <w:rPr>
          <w:rtl w:val="true"/>
        </w:rPr>
        <w:t xml:space="preserve">; </w:t>
      </w:r>
      <w:r>
        <w:rPr>
          <w:rtl w:val="true"/>
        </w:rPr>
        <w:t>ולכך שאת העבירות מושא ההליך דנן ביצע כחצי שנה בלבד ממועד שחרורו ממאסר</w:t>
      </w:r>
      <w:r>
        <w:rPr>
          <w:rtl w:val="true"/>
        </w:rPr>
        <w:t xml:space="preserve">, </w:t>
      </w:r>
      <w:r>
        <w:rPr>
          <w:rtl w:val="true"/>
        </w:rPr>
        <w:t>ובעוד תלוי ועומד נגדו עונש מאסר מותנה אשר לא היה בו כדי להרתיעו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>דין הערעור</w:t>
      </w:r>
      <w:r>
        <w:rPr>
          <w:rtl w:val="true"/>
        </w:rPr>
        <w:t xml:space="preserve">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הלכה היא כי אין זה מדרכה של ערכאת הערעור להתערב בחומרת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זולת בנסיבות חריגות שבהן נפלה </w:t>
      </w:r>
      <w:r>
        <w:rPr>
          <w:rtl w:val="true"/>
        </w:rPr>
        <w:t>טעות</w:t>
      </w:r>
      <w:r>
        <w:rPr>
          <w:rtl w:val="true"/>
        </w:rPr>
        <w:t xml:space="preserve">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שעה שהעונש שהוטל חורג באופן קיצוני מהענישה המקובלת במקרים דומים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7.6.2020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עניינו של המערער אינו נמנה עם מקרים 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עמד לא אחת על החומרה שיש לייחס לעבירת ההצתה</w:t>
      </w:r>
      <w:r>
        <w:rPr>
          <w:rtl w:val="true"/>
        </w:rPr>
        <w:t xml:space="preserve">. </w:t>
      </w:r>
      <w:r>
        <w:rPr>
          <w:rtl w:val="true"/>
        </w:rPr>
        <w:t xml:space="preserve">חומרה זו נובעת הן מהסיכון הנשקף </w:t>
      </w:r>
      <w:r>
        <w:rPr>
          <w:rtl w:val="true"/>
        </w:rPr>
        <w:t>לחיי אדם</w:t>
      </w:r>
      <w:r>
        <w:rPr>
          <w:rtl w:val="true"/>
        </w:rPr>
        <w:t xml:space="preserve"> ולרכוש כתוצאה משילוח האש</w:t>
      </w:r>
      <w:r>
        <w:rPr>
          <w:rtl w:val="true"/>
        </w:rPr>
        <w:t xml:space="preserve">; </w:t>
      </w:r>
      <w:r>
        <w:rPr>
          <w:rtl w:val="true"/>
        </w:rPr>
        <w:t xml:space="preserve">הן מחוסר היכולת לשלוט בתוצאותיה לנוכח האפשרות כי הדליקה </w:t>
      </w:r>
      <w:r>
        <w:rPr>
          <w:rtl w:val="true"/>
        </w:rPr>
        <w:t>תתפשט</w:t>
      </w:r>
      <w:r>
        <w:rPr>
          <w:rtl w:val="true"/>
        </w:rPr>
        <w:t xml:space="preserve"> בתוך זמן קצר על פני שטח נרחב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9965/17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29.4.2018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11.11.2018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לדרישותיו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י</w:t>
      </w:r>
      <w:r>
        <w:rPr>
          <w:rtl w:val="true"/>
        </w:rPr>
        <w:t>ריונית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בדיבורים</w:t>
      </w:r>
      <w:r>
        <w:rPr>
          <w:rtl w:val="true"/>
        </w:rPr>
        <w:t xml:space="preserve">: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;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ושילח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למספרה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המרקחת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וקניינם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".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;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אינ</w:t>
      </w:r>
      <w:r>
        <w:rPr>
          <w:rtl w:val="true"/>
        </w:rPr>
        <w:t>נ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לדחותו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30.11.2017</w:t>
      </w:r>
      <w:r>
        <w:rPr>
          <w:rtl w:val="true"/>
        </w:rPr>
        <w:t xml:space="preserve">)).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נדחה אפוא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10.12.2020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>
                <w:spacing w:val="30"/>
              </w:rPr>
            </w:pPr>
            <w:r>
              <w:rPr>
                <w:spacing w:val="30"/>
                <w:rtl w:val="true"/>
              </w:rPr>
              <w:t>שופט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>
                <w:spacing w:val="30"/>
              </w:rPr>
            </w:pPr>
            <w:r>
              <w:rPr>
                <w:spacing w:val="30"/>
                <w:rtl w:val="true"/>
              </w:rPr>
              <w:t>שופט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>
                <w:spacing w:val="30"/>
              </w:rPr>
            </w:pPr>
            <w:r>
              <w:rPr>
                <w:spacing w:val="30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20032160</w:t>
      </w:r>
      <w:r>
        <w:rPr>
          <w:sz w:val="16"/>
          <w:rtl w:val="true"/>
        </w:rPr>
        <w:t>_</w:t>
      </w:r>
      <w:r>
        <w:rPr>
          <w:sz w:val="16"/>
        </w:rPr>
        <w:t>J03.docx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54678313-3216/20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3216/20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יניב מאור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rFonts w:ascii="FrankRuehl" w:hAnsi="FrankRuehl" w:cs="FrankRueh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sz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7235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2.a" TargetMode="External"/><Relationship Id="rId6" Type="http://schemas.openxmlformats.org/officeDocument/2006/relationships/hyperlink" Target="http://www.nevo.co.il/law/70301/448.a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10.a" TargetMode="External"/><Relationship Id="rId9" Type="http://schemas.openxmlformats.org/officeDocument/2006/relationships/hyperlink" Target="http://www.nevo.co.il/law/74501" TargetMode="External"/><Relationship Id="rId10" Type="http://schemas.openxmlformats.org/officeDocument/2006/relationships/hyperlink" Target="http://www.nevo.co.il/law/74501/2.a" TargetMode="External"/><Relationship Id="rId11" Type="http://schemas.openxmlformats.org/officeDocument/2006/relationships/hyperlink" Target="http://www.nevo.co.il/law/74501/2.b" TargetMode="External"/><Relationship Id="rId12" Type="http://schemas.openxmlformats.org/officeDocument/2006/relationships/hyperlink" Target="http://www.nevo.co.il/case/25872356" TargetMode="External"/><Relationship Id="rId13" Type="http://schemas.openxmlformats.org/officeDocument/2006/relationships/hyperlink" Target="http://www.nevo.co.il/law/70301/379" TargetMode="External"/><Relationship Id="rId14" Type="http://schemas.openxmlformats.org/officeDocument/2006/relationships/hyperlink" Target="http://www.nevo.co.il/law/70301/382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48.a" TargetMode="External"/><Relationship Id="rId17" Type="http://schemas.openxmlformats.org/officeDocument/2006/relationships/hyperlink" Target="http://www.nevo.co.il/law/5227/10.a" TargetMode="External"/><Relationship Id="rId18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law/74501/2.a" TargetMode="External"/><Relationship Id="rId20" Type="http://schemas.openxmlformats.org/officeDocument/2006/relationships/hyperlink" Target="http://www.nevo.co.il/law/74501/2.b" TargetMode="External"/><Relationship Id="rId21" Type="http://schemas.openxmlformats.org/officeDocument/2006/relationships/hyperlink" Target="http://www.nevo.co.il/law/745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5305595" TargetMode="External"/><Relationship Id="rId24" Type="http://schemas.openxmlformats.org/officeDocument/2006/relationships/hyperlink" Target="http://www.nevo.co.il/case/23751289" TargetMode="External"/><Relationship Id="rId25" Type="http://schemas.openxmlformats.org/officeDocument/2006/relationships/hyperlink" Target="http://www.nevo.co.il/case/23793887" TargetMode="External"/><Relationship Id="rId26" Type="http://schemas.openxmlformats.org/officeDocument/2006/relationships/hyperlink" Target="http://www.nevo.co.il/case/23506710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2020-12-13T14:41:00Z</dcterms:created>
  <dc:creator>h4</dc:creator>
  <dc:description/>
  <cp:keywords/>
  <dc:language>en-IL</dc:language>
  <cp:lastModifiedBy>orly</cp:lastModifiedBy>
  <cp:lastPrinted>2020-12-10T09:05:00Z</cp:lastPrinted>
  <dcterms:modified xsi:type="dcterms:W3CDTF">2020-12-13T14:41:00Z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יניב מאור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25872356:2;25305595;23751289;23793887;23506710</vt:lpwstr>
  </property>
  <property fmtid="{D5CDD505-2E9C-101B-9397-08002B2CF9AE}" pid="9" name="CITY">
    <vt:lpwstr/>
  </property>
  <property fmtid="{D5CDD505-2E9C-101B-9397-08002B2CF9AE}" pid="10" name="DATE">
    <vt:lpwstr>20201210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מינץ;י' אלרון</vt:lpwstr>
  </property>
  <property fmtid="{D5CDD505-2E9C-101B-9397-08002B2CF9AE}" pid="14" name="LAWLISTTMP1">
    <vt:lpwstr>70301/379;382.a;448.a</vt:lpwstr>
  </property>
  <property fmtid="{D5CDD505-2E9C-101B-9397-08002B2CF9AE}" pid="15" name="LAWLISTTMP2">
    <vt:lpwstr>5227/010.a</vt:lpwstr>
  </property>
  <property fmtid="{D5CDD505-2E9C-101B-9397-08002B2CF9AE}" pid="16" name="LAWLISTTMP3">
    <vt:lpwstr>74501/002.a;002.b</vt:lpwstr>
  </property>
  <property fmtid="{D5CDD505-2E9C-101B-9397-08002B2CF9AE}" pid="17" name="LAWYER">
    <vt:lpwstr>בת שבע אבגז;אפרת צרפתי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18;77;77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504;1446;1446</vt:lpwstr>
  </property>
  <property fmtid="{D5CDD505-2E9C-101B-9397-08002B2CF9AE}" pid="50" name="NOSE31">
    <vt:lpwstr>התערבות במידת העונש</vt:lpwstr>
  </property>
  <property fmtid="{D5CDD505-2E9C-101B-9397-08002B2CF9AE}" pid="51" name="NOSE310">
    <vt:lpwstr/>
  </property>
  <property fmtid="{D5CDD505-2E9C-101B-9397-08002B2CF9AE}" pid="52" name="NOSE32">
    <vt:lpwstr>מדיניות ענישה: הצתה</vt:lpwstr>
  </property>
  <property fmtid="{D5CDD505-2E9C-101B-9397-08002B2CF9AE}" pid="53" name="NOSE33">
    <vt:lpwstr>מדיניות ענישה: עבירות אלימות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15230;15357;8984</vt:lpwstr>
  </property>
  <property fmtid="{D5CDD505-2E9C-101B-9397-08002B2CF9AE}" pid="61" name="PADIDATE">
    <vt:lpwstr>20201213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3216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410120201210</vt:lpwstr>
  </property>
  <property fmtid="{D5CDD505-2E9C-101B-9397-08002B2CF9AE}" pid="71" name="TYPE_N_DATE">
    <vt:lpwstr>41020201210</vt:lpwstr>
  </property>
  <property fmtid="{D5CDD505-2E9C-101B-9397-08002B2CF9AE}" pid="72" name="VOLUME">
    <vt:lpwstr/>
  </property>
  <property fmtid="{D5CDD505-2E9C-101B-9397-08002B2CF9AE}" pid="73" name="WORDNUMPAGES">
    <vt:lpwstr>8</vt:lpwstr>
  </property>
</Properties>
</file>