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3223/21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3734/21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>ת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3223/21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והמשיבה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3734/21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3223/21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והמערער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3734/21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24.3.2021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20749-11-18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סגנית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נבו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תמיר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08.12.2021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>
          <w:trHeight w:val="74" w:hRule="atLeast"/>
        </w:trPr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>ת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3223/21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והמשיבה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3734/21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זוארץ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3223/21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והמערער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3734/21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אבלין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הרץ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סיגל קוגוט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אפרת חקאק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איתמר גלבפיש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מי מפחד מהבניית שיקול הדעת השיפוטי בענישה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?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על ערכאת הערעור ותיקון </w:t>
        </w:r>
        <w:r>
          <w:rPr>
            <w:rStyle w:val="Hyperlink"/>
            <w:rFonts w:cs="FrankRuehl" w:ascii="FrankRuehl" w:hAnsi="FrankRuehl"/>
            <w:sz w:val="24"/>
            <w:u w:val="none"/>
          </w:rPr>
          <w:t>113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חברה ותרבות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 צדק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?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ההליך הפלילי בישראל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כשלים ואתגרים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אלון הראל עורך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אונ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תל אביב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2017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267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"/>
      <w:bookmarkStart w:id="9" w:name="Links_Kitvei_End"/>
      <w:bookmarkStart w:id="10" w:name="LawTable"/>
      <w:bookmarkStart w:id="11" w:name="Links_Kitvei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10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41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6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7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$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$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sz w:val="24"/>
            <w:u w:val="none"/>
          </w:rPr>
          <w:t>304$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sz w:val="24"/>
            <w:u w:val="none"/>
          </w:rPr>
          <w:t>311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sz w:val="24"/>
            <w:u w:val="none"/>
          </w:rPr>
          <w:t>355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sz w:val="24"/>
            <w:u w:val="none"/>
          </w:rPr>
          <w:t>382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 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0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4" w:name="ABSTRACT_START"/>
      <w:bookmarkEnd w:id="14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דן ב</w:t>
      </w:r>
      <w:r>
        <w:rPr>
          <w:rFonts w:ascii="Times New Roman" w:hAnsi="Times New Roman" w:cs="Times New Roman"/>
          <w:spacing w:val="0"/>
          <w:szCs w:val="26"/>
          <w:rtl w:val="true"/>
        </w:rPr>
        <w:t>סוגיית הענישה בעבירת הרצח הבסיסית בנוסח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לאחר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קובעת לעבירה זו בלבד עונש מאסר עולם כעונש מרבי ולא כעונש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מאסר עולם אינו יכול לשמש נקודת מוצא שממנה יש לסטות רק במקרים חריגים בגזירת דינו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אולם ראוי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הוא </w:t>
      </w:r>
      <w:r>
        <w:rPr>
          <w:rFonts w:ascii="Times New Roman" w:hAnsi="Times New Roman" w:cs="Times New Roman"/>
          <w:spacing w:val="0"/>
          <w:szCs w:val="26"/>
          <w:rtl w:val="true"/>
        </w:rPr>
        <w:t>יוטל על מבצע עבירת רצח במקרים מתאימים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לקבוע אמות מידה מחייבות לסיווג מקרים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המעשה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שעשה 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3734/21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מצדיקות הטלת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אולם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נסיבותיו הרפואיות שהתפתחו לאחר מתן גזר די</w:t>
      </w:r>
      <w:r>
        <w:rPr>
          <w:rFonts w:ascii="Times New Roman" w:hAnsi="Times New Roman" w:cs="Times New Roman"/>
          <w:spacing w:val="0"/>
          <w:szCs w:val="26"/>
          <w:rtl w:val="true"/>
        </w:rPr>
        <w:t>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מצדיקות להטיל עונש מקל 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בן </w:t>
      </w:r>
      <w:r>
        <w:rPr>
          <w:rFonts w:cs="Times New Roman" w:ascii="Times New Roman" w:hAnsi="Times New Roman"/>
          <w:spacing w:val="0"/>
          <w:szCs w:val="26"/>
        </w:rPr>
        <w:t>27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Cs w:val="26"/>
        </w:rPr>
        <w:t>113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רצח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מאסר עולם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לקולה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3734/21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בחמש עשרה דקירות סכין את אשתו ואם ילדיו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מעשה זה הורשע המערער בביצוע עבירה של רצח 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 נוכח ה</w:t>
      </w:r>
      <w:r>
        <w:rPr>
          <w:rFonts w:ascii="Times New Roman" w:hAnsi="Times New Roman" w:cs="Times New Roman"/>
          <w:spacing w:val="0"/>
          <w:szCs w:val="26"/>
          <w:rtl w:val="true"/>
        </w:rPr>
        <w:t>ודייתו בעובדות כתב אישום מתוקן 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הסדר הטיעון לא כלל הסכמה לעניין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3223/21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עתרה להטיל על המערער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הסנגור עתר לקבוע מתחם עונש שנע בין 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ולמקם את עונשו של המערער בחלקו התחתון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קבע כי מתחם העונש ההולם נע בין </w:t>
      </w:r>
      <w:r>
        <w:rPr>
          <w:rFonts w:cs="Times New Roman" w:ascii="Times New Roman" w:hAnsi="Times New Roman"/>
          <w:spacing w:val="0"/>
          <w:szCs w:val="26"/>
        </w:rPr>
        <w:t>27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לבין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מוקם באמצע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הפעיל עונש מאסר על תנאי בן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חודשים שהוטל על המערער בגין עבירת אלימות קודמת כלפי המנוחה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נדון לעונש של </w:t>
      </w:r>
      <w:r>
        <w:rPr>
          <w:rFonts w:cs="Times New Roman" w:ascii="Times New Roman" w:hAnsi="Times New Roman"/>
          <w:spacing w:val="0"/>
          <w:szCs w:val="26"/>
        </w:rPr>
        <w:t>29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הערעורים נסבים על שאלות תקדימיות בסוגיית עונש המאסר בפועל על רקע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המשנה לנשיאה הנדל ובהסכמת השופטים קרא ומינץ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3734/21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3223/21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המסגרת הנורמטיבית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הקבועה בחוק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בנוסחו לאחר הרפורמה בעבירות ההמתה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 ליצור מדרג מפורט יותר של עבירות 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לעומת המדרג שהיה בחוק בנוסחו הקודם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ענייננו בעבירת 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הבסיסית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השנייה בחומרתה במדרג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הקבועה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לפיו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הגורם בכוונה או באדישות למותו של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דינו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מאסר עולם כעונש מרבי ולא עונש חובה על עבירת המתה מהווה חידוש שבא לעולם במסגרת הרפורמה בעבירות 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החלטת המחוקק להטיל מאסר עולם כעונש מרבי בעבירת רצח מותירה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 דעת רחב לבי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בגזירת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 היא כיצד יש ליישם את שיקול דעת שהקנה המחוקק לבית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בהקשר זה נקבע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אף סעיף בחוק שקובע כי העונש של מאסר עולם הוא עונש המוצא בעבירת הרצח או מבקש להנחות באופן דומה את שיקול דעתו של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בהצעת החוק צוין מפורשות כי המטרה היא לאפשר לבי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גמישות בהפעלת שיקול דעתו בגזירת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סעיפי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חלים על כל עבירה שנקבע בה עונש שאינו עונש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מחויב לפעול לפי הדרך הקבועה 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הכוללת קביעת מתחם עונש הולם ומיקום העונש בתוך המתחם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מחוץ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בכפוף לשיקולי שיקום או הגנה על שלום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גם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 נסיבותיו האישיות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כל יסוד לפרשנות המחריגה את תחולתה של עבירת הרצח מתיקון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קביעת המחוקק כי העונש על עבירת הרצח הבסיסית יכול להיות מאסר עולם משמעה כי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יכול להטיל עונש של מאסר עולם על המורשעים בעבירה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וכך ראוי שיעשה במקרים המתאימים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יש </w:t>
      </w:r>
      <w:r>
        <w:rPr>
          <w:rFonts w:ascii="Times New Roman" w:hAnsi="Times New Roman" w:cs="Times New Roman"/>
          <w:spacing w:val="0"/>
          <w:szCs w:val="26"/>
          <w:rtl w:val="true"/>
        </w:rPr>
        <w:t>אפשרות להטיל מאסר עולם גם על נאשם שלא התקיימה בעניינו אחת מהנסיבות המחמירות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למקרים המתאימים בהם </w:t>
      </w:r>
      <w:r>
        <w:rPr>
          <w:rFonts w:ascii="Times New Roman" w:hAnsi="Times New Roman" w:cs="Times New Roman"/>
          <w:spacing w:val="0"/>
          <w:szCs w:val="26"/>
          <w:rtl w:val="true"/>
        </w:rPr>
        <w:t>מוצדק להטיל עונש של מאסר עולם על עבירת הרצח הבסיסית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בחר לא להציע רשימה כתובה או אמות מידה להטלת עונש של מאסר עולם מתוך החלטה להותיר שיקול דעת שיפוטי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למנות מראש את המקרים המתאימים לגזירת העונש המרבי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הנוהגת בעבירת הרצח נכון שתתפתח ממקרה למקרה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הערכאות הדיוניות תוך הצטיידות בעקרונות הענישה הכלליים שמנחים הדין והפסיקה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ומודעות למשמעות הערכית של הטלת עונש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ולאמירת המחוקק כי לא כל מקרה מתאים להטלת עונש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כמצוות המחוקק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חייב להפעיל שיקול דעת בכל מקרה ומקרה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קמא קבע כי המתחם ההולם את עונשו של המערער הוא בין </w:t>
      </w:r>
      <w:r>
        <w:rPr>
          <w:rFonts w:cs="Times New Roman" w:ascii="Times New Roman" w:hAnsi="Times New Roman"/>
          <w:spacing w:val="0"/>
          <w:sz w:val="24"/>
          <w:szCs w:val="26"/>
        </w:rPr>
        <w:t>27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למאסר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קם את עונשו במרכז המתחם והעמידו על </w:t>
      </w:r>
      <w:r>
        <w:rPr>
          <w:rFonts w:cs="Times New Roman" w:ascii="Times New Roman" w:hAnsi="Times New Roman"/>
          <w:spacing w:val="0"/>
          <w:sz w:val="24"/>
          <w:szCs w:val="26"/>
        </w:rPr>
        <w:t>28.5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הפעלת עונש מאסר על תנאי בן חצי שנה 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עצם קביעת מתחם עונש מתחייב מן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וגם המתחם שנקבע בפועל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בין </w:t>
      </w:r>
      <w:r>
        <w:rPr>
          <w:rFonts w:cs="Times New Roman" w:ascii="Times New Roman" w:hAnsi="Times New Roman"/>
          <w:spacing w:val="0"/>
          <w:sz w:val="24"/>
          <w:szCs w:val="26"/>
        </w:rPr>
        <w:t>27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למאסר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עשוי להלום את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נסיבות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רך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מיקום העונש במתחם נפל קושי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קמא לא נתן את המשקל הראוי לרקע ולהשתלשלות האירועים שקדמו לביצוע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להרשעתו הקודמת של המערער בעבירת אלימות כלפי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ולתופעה הרחבה שמעשהו של המערער מהווה חלק ממנה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רצח נשים בידי בני זוגן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המצדיקה ענישה מחמירה ומרתיעה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העניק משקל רב מדי להודייתו של המערער ולחרטה שהביע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לנוכח הנסיבות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 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שית על המערער בגין מעשיו בקצהו העליון של מתחם העונש ההולם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מקום לקבוע כלל שלפיו בכל מקרה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של רצח אדם את בת זוגו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בית המשפט להשית עונש של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נסיבותיו האישיות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והודייתו במעשיו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הצדיקו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הפחית את עונשו מהעונש של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בעיקר נוכח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ביצוע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לאחר מתן גזר הדין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לקה המערער באירוע מוחי קשה המצדיק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הקלה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שכן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חווייתו של המערער בבית הסוהר במצבו הנוכחי שונה וקשה משל אסירים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ובמובן זה המאסר גורם לו סבל ופגיעה מיוחדים החורגים מאלו הקיימים בכל עונש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לנוכח עמדות הצדדים ובנסיבותיו הייחודיות של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למקם את העונש בתחתית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מתחם הענישה כך שיעמוד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</w:t>
      </w:r>
      <w:r>
        <w:rPr>
          <w:rFonts w:cs="Times New Roman" w:ascii="Times New Roman" w:hAnsi="Times New Roman"/>
          <w:spacing w:val="0"/>
          <w:sz w:val="24"/>
          <w:szCs w:val="26"/>
        </w:rPr>
        <w:t>27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באופן שהמאסר המותנה יופעל בחופף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לוּ היה מצבו הרפואי של המערער כפי שהיה במועד מתן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נכון היה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טיל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5" w:name="ABSTRACT_END"/>
      <w:bookmarkStart w:id="16" w:name="ABSTRACT_END"/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1" w:name="Start_Write"/>
      <w:bookmarkStart w:id="22" w:name="Start_Write"/>
      <w:bookmarkEnd w:id="22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הכיצד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הגוזר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להפעיל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המוענק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תשל״ז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ככינויה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 </w:t>
      </w:r>
      <w:r>
        <w:rPr>
          <w:rtl w:val="true"/>
        </w:rPr>
        <w:t>ובדברי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r>
        <w:rPr>
          <w:rtl w:val="true"/>
        </w:rPr>
        <w:t>שבמסגרת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נקבעה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)? </w:t>
      </w:r>
      <w:r>
        <w:rPr>
          <w:rtl w:val="true"/>
        </w:rPr>
        <w:t>באיזה</w:t>
      </w:r>
      <w:r>
        <w:rPr>
          <w:rtl w:val="true"/>
        </w:rPr>
        <w:t xml:space="preserve"> </w:t>
      </w:r>
      <w:r>
        <w:rPr>
          <w:rtl w:val="true"/>
        </w:rPr>
        <w:t>אופן</w:t>
      </w:r>
      <w:r>
        <w:rPr>
          <w:rtl w:val="true"/>
        </w:rPr>
        <w:t xml:space="preserve"> </w:t>
      </w:r>
      <w:r>
        <w:rPr>
          <w:rtl w:val="true"/>
        </w:rPr>
        <w:t>קיומו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אמור</w:t>
      </w:r>
      <w:r>
        <w:rPr>
          <w:rtl w:val="true"/>
        </w:rPr>
        <w:t xml:space="preserve"> </w:t>
      </w:r>
      <w:r>
        <w:rPr>
          <w:rtl w:val="true"/>
        </w:rPr>
        <w:t>להשפיע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 </w:t>
      </w:r>
      <w:r>
        <w:rPr>
          <w:rtl w:val="true"/>
        </w:rPr>
        <w:t>שאליה</w:t>
      </w:r>
      <w:r>
        <w:rPr>
          <w:rtl w:val="true"/>
        </w:rPr>
        <w:t xml:space="preserve"> </w:t>
      </w:r>
      <w:r>
        <w:rPr>
          <w:rtl w:val="true"/>
        </w:rPr>
        <w:t>יגיע</w:t>
      </w:r>
      <w:r>
        <w:rPr>
          <w:rtl w:val="true"/>
        </w:rPr>
        <w:t xml:space="preserve">? </w:t>
      </w:r>
      <w:r>
        <w:rPr>
          <w:rtl w:val="true"/>
        </w:rPr>
        <w:t>איך</w:t>
      </w:r>
      <w:r>
        <w:rPr>
          <w:rtl w:val="true"/>
        </w:rPr>
        <w:t xml:space="preserve"> </w:t>
      </w:r>
      <w:r>
        <w:rPr>
          <w:rtl w:val="true"/>
        </w:rPr>
        <w:t>משתלבת</w:t>
      </w:r>
      <w:r>
        <w:rPr>
          <w:rtl w:val="true"/>
        </w:rPr>
        <w:t xml:space="preserve"> </w:t>
      </w:r>
      <w:r>
        <w:rPr>
          <w:rtl w:val="true"/>
        </w:rPr>
        <w:t>האפשרות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הטלת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?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tl w:val="true"/>
        </w:rPr>
        <w:t xml:space="preserve"> </w:t>
      </w:r>
      <w:r>
        <w:rPr>
          <w:rtl w:val="true"/>
        </w:rPr>
        <w:t>טיבו</w:t>
      </w:r>
      <w:r>
        <w:rPr>
          <w:rtl w:val="true"/>
        </w:rPr>
        <w:t xml:space="preserve"> </w:t>
      </w:r>
      <w:r>
        <w:rPr>
          <w:rtl w:val="true"/>
        </w:rPr>
        <w:t>והיקפו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הקיים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בהטלת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כעונש</w:t>
      </w:r>
      <w:r>
        <w:rPr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, </w:t>
      </w:r>
      <w:r>
        <w:rPr>
          <w:rtl w:val="true"/>
        </w:rPr>
        <w:t>ומהן</w:t>
      </w:r>
      <w:r>
        <w:rPr>
          <w:rtl w:val="true"/>
        </w:rPr>
        <w:t xml:space="preserve"> </w:t>
      </w:r>
      <w:r>
        <w:rPr>
          <w:rtl w:val="true"/>
        </w:rPr>
        <w:t>אמות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 </w:t>
      </w:r>
      <w:r>
        <w:rPr>
          <w:rtl w:val="true"/>
        </w:rPr>
        <w:t>ליישומו</w:t>
      </w:r>
      <w:r>
        <w:rPr>
          <w:rtl w:val="true"/>
        </w:rPr>
        <w:t xml:space="preserve">?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ממעוף</w:t>
      </w:r>
      <w:r>
        <w:rPr>
          <w:rtl w:val="true"/>
        </w:rPr>
        <w:t xml:space="preserve"> </w:t>
      </w:r>
      <w:r>
        <w:rPr>
          <w:rtl w:val="true"/>
        </w:rPr>
        <w:t>הציפור</w:t>
      </w:r>
      <w:r>
        <w:rPr>
          <w:rtl w:val="true"/>
        </w:rPr>
        <w:t xml:space="preserve">, </w:t>
      </w:r>
      <w:r>
        <w:rPr>
          <w:rtl w:val="true"/>
        </w:rPr>
        <w:t>השאלות</w:t>
      </w:r>
      <w:r>
        <w:rPr>
          <w:rtl w:val="true"/>
        </w:rPr>
        <w:t xml:space="preserve"> </w:t>
      </w:r>
      <w:r>
        <w:rPr>
          <w:rtl w:val="true"/>
        </w:rPr>
        <w:t>התקדימיות</w:t>
      </w:r>
      <w:r>
        <w:rPr>
          <w:rtl w:val="true"/>
        </w:rPr>
        <w:t xml:space="preserve"> </w:t>
      </w:r>
      <w:r>
        <w:rPr>
          <w:rtl w:val="true"/>
        </w:rPr>
        <w:t>שמעלים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 </w:t>
      </w:r>
      <w:r>
        <w:rPr>
          <w:rtl w:val="true"/>
        </w:rPr>
        <w:t>שמופנים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שגזר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תפ״ח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20749-11-18</w:t>
        </w:r>
      </w:hyperlink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כב׳</w:t>
      </w:r>
      <w:r>
        <w:rPr>
          <w:rtl w:val="true"/>
        </w:rPr>
        <w:t xml:space="preserve"> </w:t>
      </w:r>
      <w:r>
        <w:rPr>
          <w:rtl w:val="true"/>
        </w:rPr>
        <w:t>השופטות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ברודי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והשופט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תמיר</w:t>
      </w:r>
      <w:r>
        <w:rPr>
          <w:rtl w:val="true"/>
        </w:rPr>
        <w:t xml:space="preserve">) –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tl w:val="true"/>
        </w:rPr>
        <w:t xml:space="preserve"> </w:t>
      </w:r>
      <w:r>
        <w:rPr>
          <w:rtl w:val="true"/>
        </w:rPr>
        <w:t>הפעלת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חצי</w:t>
      </w:r>
      <w:r>
        <w:rPr>
          <w:rtl w:val="true"/>
        </w:rPr>
        <w:t xml:space="preserve"> </w:t>
      </w:r>
      <w:r>
        <w:rPr>
          <w:rtl w:val="true"/>
        </w:rPr>
        <w:t>שנת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);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נסוב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קולת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ואחד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חומרתו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שיובהר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חלה</w:t>
      </w:r>
      <w:r>
        <w:rPr>
          <w:rtl w:val="true"/>
        </w:rPr>
        <w:t xml:space="preserve"> </w:t>
      </w:r>
      <w:r>
        <w:rPr>
          <w:rtl w:val="true"/>
        </w:rPr>
        <w:t>התפתחות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לערעור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תפורט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השאלות</w:t>
      </w:r>
      <w:r>
        <w:rPr>
          <w:rtl w:val="true"/>
        </w:rPr>
        <w:t xml:space="preserve"> </w:t>
      </w:r>
      <w:r>
        <w:rPr>
          <w:rtl w:val="true"/>
        </w:rPr>
        <w:t>שהוזכרו</w:t>
      </w:r>
      <w:r>
        <w:rPr>
          <w:rtl w:val="true"/>
        </w:rPr>
        <w:t xml:space="preserve"> </w:t>
      </w:r>
      <w:r>
        <w:rPr>
          <w:rtl w:val="true"/>
        </w:rPr>
        <w:t>עודן</w:t>
      </w:r>
      <w:r>
        <w:rPr>
          <w:rtl w:val="true"/>
        </w:rPr>
        <w:t xml:space="preserve"> </w:t>
      </w:r>
      <w:r>
        <w:rPr>
          <w:rtl w:val="true"/>
        </w:rPr>
        <w:t>רלוונטיות</w:t>
      </w:r>
      <w:r>
        <w:rPr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מס׳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tl w:val="true"/>
        </w:rPr>
        <w:t xml:space="preserve">). </w:t>
      </w:r>
      <w:r>
        <w:rPr>
          <w:rtl w:val="true"/>
        </w:rPr>
        <w:t>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חידושים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״רצח״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: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שמאפשרת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; </w:t>
      </w:r>
      <w:r>
        <w:rPr>
          <w:rtl w:val="true"/>
        </w:rPr>
        <w:t>ועבירת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שמחייבת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בשנת</w:t>
      </w:r>
      <w:r>
        <w:rPr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3223/21</w:t>
      </w:r>
      <w:r>
        <w:rPr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3734/21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בחמש</w:t>
      </w:r>
      <w:r>
        <w:rPr>
          <w:rtl w:val="true"/>
        </w:rPr>
        <w:t xml:space="preserve"> </w:t>
      </w:r>
      <w:r>
        <w:rPr>
          <w:rtl w:val="true"/>
        </w:rPr>
        <w:t>עשרה</w:t>
      </w:r>
      <w:r>
        <w:rPr>
          <w:rtl w:val="true"/>
        </w:rPr>
        <w:t xml:space="preserve"> </w:t>
      </w:r>
      <w:r>
        <w:rPr>
          <w:rtl w:val="true"/>
        </w:rPr>
        <w:t>דקירות</w:t>
      </w:r>
      <w:r>
        <w:rPr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 </w:t>
      </w:r>
      <w:r>
        <w:rPr>
          <w:rtl w:val="true"/>
        </w:rPr>
        <w:t>ואם</w:t>
      </w:r>
      <w:r>
        <w:rPr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עליזה</w:t>
      </w:r>
      <w:r>
        <w:rPr>
          <w:rtl w:val="true"/>
        </w:rPr>
        <w:t xml:space="preserve"> </w:t>
      </w:r>
      <w:r>
        <w:rPr>
          <w:rtl w:val="true"/>
        </w:rPr>
        <w:t>שפק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), </w:t>
      </w:r>
      <w:r>
        <w:rPr>
          <w:rtl w:val="true"/>
        </w:rPr>
        <w:t>והיא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כמה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עזבה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ביתה</w:t>
      </w:r>
      <w:r>
        <w:rPr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 </w:t>
      </w:r>
      <w:r>
        <w:rPr>
          <w:rtl w:val="true"/>
        </w:rPr>
        <w:t>לסיים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הנישואין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tl w:val="true"/>
        </w:rPr>
        <w:t xml:space="preserve"> </w:t>
      </w:r>
      <w:r>
        <w:rPr>
          <w:rtl w:val="true"/>
        </w:rPr>
        <w:t>חתמו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הסכם</w:t>
      </w:r>
      <w:r>
        <w:rPr>
          <w:rtl w:val="true"/>
        </w:rPr>
        <w:t xml:space="preserve"> </w:t>
      </w:r>
      <w:r>
        <w:rPr>
          <w:rtl w:val="true"/>
        </w:rPr>
        <w:t>גירושין</w:t>
      </w:r>
      <w:r>
        <w:rPr>
          <w:rtl w:val="true"/>
        </w:rPr>
        <w:t xml:space="preserve">.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בוצע</w:t>
      </w:r>
      <w:r>
        <w:rPr>
          <w:rtl w:val="true"/>
        </w:rPr>
        <w:t xml:space="preserve"> </w:t>
      </w:r>
      <w:r>
        <w:rPr>
          <w:rtl w:val="true"/>
        </w:rPr>
        <w:t>כשבועיים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 </w:t>
      </w:r>
      <w:r>
        <w:rPr>
          <w:rtl w:val="true"/>
        </w:rPr>
        <w:t>והמנוחה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 </w:t>
      </w:r>
      <w:r>
        <w:rPr>
          <w:rtl w:val="true"/>
        </w:rPr>
        <w:t>להתייצב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הרבני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גט</w:t>
      </w:r>
      <w:r>
        <w:rPr>
          <w:rtl w:val="true"/>
        </w:rPr>
        <w:t xml:space="preserve">, </w:t>
      </w:r>
      <w:r>
        <w:rPr>
          <w:rtl w:val="true"/>
        </w:rPr>
        <w:t>לאחר שהדיון נדחה לבקשת המערער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tl w:val="true"/>
        </w:rPr>
        <w:t xml:space="preserve"> </w:t>
      </w:r>
      <w:r>
        <w:rPr>
          <w:rtl w:val="true"/>
        </w:rPr>
        <w:t>שקדמה</w:t>
      </w:r>
      <w:r>
        <w:rPr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רצונו</w:t>
      </w:r>
      <w:r>
        <w:rPr>
          <w:rtl w:val="true"/>
        </w:rPr>
        <w:t xml:space="preserve"> </w:t>
      </w:r>
      <w:r>
        <w:rPr>
          <w:rtl w:val="true"/>
        </w:rPr>
        <w:t>בשלום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וניסה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הועיל</w:t>
      </w:r>
      <w:r>
        <w:rPr>
          <w:rtl w:val="true"/>
        </w:rPr>
        <w:t xml:space="preserve">, </w:t>
      </w:r>
      <w:r>
        <w:rPr>
          <w:rtl w:val="true"/>
        </w:rPr>
        <w:t>לשכנע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לשוב</w:t>
      </w:r>
      <w:r>
        <w:rPr>
          <w:rtl w:val="true"/>
        </w:rPr>
        <w:t xml:space="preserve"> </w:t>
      </w:r>
      <w:r>
        <w:rPr>
          <w:rtl w:val="true"/>
        </w:rPr>
        <w:t>לחיות עימו</w:t>
      </w:r>
      <w:r>
        <w:rPr>
          <w:rtl w:val="true"/>
        </w:rPr>
        <w:t xml:space="preserve">. 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 </w:t>
      </w:r>
      <w:r>
        <w:rPr>
          <w:rtl w:val="true"/>
        </w:rPr>
        <w:t>שנסב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גידולו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>
          <w:rtl w:val="true"/>
        </w:rPr>
        <w:t>אחותה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tl w:val="true"/>
        </w:rPr>
        <w:t xml:space="preserve"> </w:t>
      </w:r>
      <w:r>
        <w:rPr>
          <w:rtl w:val="true"/>
        </w:rPr>
        <w:t>והמנוחה</w:t>
      </w:r>
      <w:r>
        <w:rPr>
          <w:rtl w:val="true"/>
        </w:rPr>
        <w:t xml:space="preserve"> </w:t>
      </w:r>
      <w:r>
        <w:rPr>
          <w:rtl w:val="true"/>
        </w:rPr>
        <w:t>היוו</w:t>
      </w:r>
      <w:r>
        <w:rPr>
          <w:rtl w:val="true"/>
        </w:rPr>
        <w:t xml:space="preserve"> </w:t>
      </w:r>
      <w:r>
        <w:rPr>
          <w:rtl w:val="true"/>
        </w:rPr>
        <w:t>משפחת</w:t>
      </w:r>
      <w:r>
        <w:rPr>
          <w:rtl w:val="true"/>
        </w:rPr>
        <w:t xml:space="preserve"> </w:t>
      </w:r>
      <w:r>
        <w:rPr>
          <w:rtl w:val="true"/>
        </w:rPr>
        <w:t>אומנה</w:t>
      </w:r>
      <w:r>
        <w:rPr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>
          <w:rtl w:val="true"/>
        </w:rPr>
        <w:t>שלאחר</w:t>
      </w:r>
      <w:r>
        <w:rPr>
          <w:rtl w:val="true"/>
        </w:rPr>
        <w:t xml:space="preserve"> </w:t>
      </w:r>
      <w:r>
        <w:rPr>
          <w:rtl w:val="true"/>
        </w:rPr>
        <w:t>הוויכוח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שהמנוחה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השיבה</w:t>
      </w:r>
      <w:r>
        <w:rPr>
          <w:rtl w:val="true"/>
        </w:rPr>
        <w:t xml:space="preserve"> </w:t>
      </w:r>
      <w:r>
        <w:rPr>
          <w:rtl w:val="true"/>
        </w:rPr>
        <w:t>להודעות</w:t>
      </w:r>
      <w:r>
        <w:rPr>
          <w:rtl w:val="true"/>
        </w:rPr>
        <w:t xml:space="preserve"> </w:t>
      </w:r>
      <w:r>
        <w:rPr>
          <w:rtl w:val="true"/>
        </w:rPr>
        <w:t>ולשיח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לדירתה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ודקר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חמש</w:t>
      </w:r>
      <w:r>
        <w:rPr>
          <w:rtl w:val="true"/>
        </w:rPr>
        <w:t>-</w:t>
      </w:r>
      <w:r>
        <w:rPr>
          <w:rtl w:val="true"/>
        </w:rPr>
        <w:t>עשרה דקירות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 </w:t>
      </w:r>
      <w:r>
        <w:rPr>
          <w:rtl w:val="true"/>
        </w:rPr>
        <w:t>בשר</w:t>
      </w:r>
      <w:r>
        <w:rPr>
          <w:rtl w:val="true"/>
        </w:rPr>
        <w:t xml:space="preserve"> חדה וארוכה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למותה</w:t>
      </w:r>
      <w:r>
        <w:rPr>
          <w:rtl w:val="true"/>
        </w:rPr>
        <w:t xml:space="preserve">. </w:t>
      </w:r>
      <w:r>
        <w:rPr>
          <w:rtl w:val="true"/>
        </w:rPr>
        <w:t>משהבין</w:t>
      </w:r>
      <w:r>
        <w:rPr>
          <w:rtl w:val="true"/>
        </w:rPr>
        <w:t xml:space="preserve"> </w:t>
      </w:r>
      <w:r>
        <w:rPr>
          <w:rtl w:val="true"/>
        </w:rPr>
        <w:t>שהמנוחה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מדירתה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מפתחותיה</w:t>
      </w:r>
      <w:r>
        <w:rPr>
          <w:rtl w:val="true"/>
        </w:rPr>
        <w:t xml:space="preserve"> </w:t>
      </w:r>
      <w:r>
        <w:rPr>
          <w:rtl w:val="true"/>
        </w:rPr>
        <w:t>והשליך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החליף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חולצתו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tl w:val="true"/>
        </w:rPr>
        <w:t xml:space="preserve"> </w:t>
      </w:r>
      <w:r>
        <w:rPr>
          <w:rtl w:val="true"/>
        </w:rPr>
        <w:t>למושב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התחבא</w:t>
      </w:r>
      <w:r>
        <w:rPr>
          <w:rtl w:val="true"/>
        </w:rPr>
        <w:t xml:space="preserve"> </w:t>
      </w:r>
      <w:r>
        <w:rPr>
          <w:rtl w:val="true"/>
        </w:rPr>
        <w:t>מרשויות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לאיתורו</w:t>
      </w:r>
      <w:r>
        <w:rPr>
          <w:rtl w:val="true"/>
        </w:rPr>
        <w:t xml:space="preserve"> </w:t>
      </w:r>
      <w:r>
        <w:rPr>
          <w:rtl w:val="true"/>
        </w:rPr>
        <w:t>ומעצרו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>
          <w:rtl w:val="true"/>
        </w:rPr>
        <w:t>המחרת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הסדר </w:t>
      </w:r>
      <w:r>
        <w:rPr>
          <w:rtl w:val="true"/>
        </w:rPr>
        <w:t>הטיעון</w:t>
      </w:r>
      <w:r>
        <w:rPr>
          <w:rtl w:val="true"/>
        </w:rPr>
        <w:t xml:space="preserve"> </w:t>
      </w:r>
      <w:r>
        <w:rPr>
          <w:rtl w:val="true"/>
        </w:rPr>
        <w:t>שבמסגרתו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3223/21</w:t>
      </w:r>
      <w:r>
        <w:rPr>
          <w:rtl w:val="true"/>
        </w:rPr>
        <w:t xml:space="preserve"> </w:t>
      </w:r>
      <w:r>
        <w:rPr>
          <w:rtl w:val="true"/>
        </w:rPr>
        <w:t>והמשיבה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3734/21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tl w:val="true"/>
        </w:rPr>
        <w:t xml:space="preserve">) </w:t>
      </w:r>
      <w:r>
        <w:rPr>
          <w:rtl w:val="true"/>
        </w:rPr>
        <w:t>עתרה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המרבי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–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tl w:val="true"/>
        </w:rPr>
        <w:t xml:space="preserve"> </w:t>
      </w:r>
      <w:r>
        <w:rPr>
          <w:rtl w:val="true"/>
        </w:rPr>
        <w:t>התנגד</w:t>
      </w:r>
      <w:r>
        <w:rPr>
          <w:rtl w:val="true"/>
        </w:rPr>
        <w:t xml:space="preserve"> </w:t>
      </w:r>
      <w:r>
        <w:rPr>
          <w:rtl w:val="true"/>
        </w:rPr>
        <w:t>להטלת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ועתר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שנע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ולמקם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סקר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גזרי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שניתנו</w:t>
      </w:r>
      <w:r>
        <w:rPr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מורשעים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כניסת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 </w:t>
      </w:r>
      <w:r>
        <w:rPr>
          <w:rtl w:val="true"/>
        </w:rPr>
        <w:t>לנפגעי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סקר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שאינן</w:t>
      </w:r>
      <w:r>
        <w:rPr>
          <w:rtl w:val="true"/>
        </w:rPr>
        <w:t xml:space="preserve"> </w:t>
      </w:r>
      <w:r>
        <w:rPr>
          <w:rtl w:val="true"/>
        </w:rPr>
        <w:t>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לקולת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לחומרתו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העבר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למקם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במרכז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ולהעמידו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28.5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מצא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להפעיל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>
          <w:rtl w:val="true"/>
        </w:rPr>
        <w:t>שישה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בשנת</w:t>
      </w:r>
      <w:r>
        <w:rPr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61199-10-17</w:t>
        </w:r>
      </w:hyperlink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 </w:t>
      </w:r>
      <w:r>
        <w:rPr>
          <w:rtl w:val="true"/>
        </w:rPr>
        <w:t>לתקופת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יישא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 </w:t>
      </w:r>
      <w:r>
        <w:rPr>
          <w:rtl w:val="true"/>
        </w:rPr>
        <w:t>לנפגעי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שיחולק</w:t>
      </w:r>
      <w:r>
        <w:rPr>
          <w:rtl w:val="true"/>
        </w:rPr>
        <w:t xml:space="preserve"> </w:t>
      </w:r>
      <w:r>
        <w:rPr>
          <w:rtl w:val="true"/>
        </w:rPr>
        <w:t>בחלקים</w:t>
      </w:r>
      <w:r>
        <w:rPr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שלושת</w:t>
      </w:r>
      <w:r>
        <w:rPr>
          <w:rtl w:val="true"/>
        </w:rPr>
        <w:t xml:space="preserve"> </w:t>
      </w:r>
      <w:r>
        <w:rPr>
          <w:rtl w:val="true"/>
        </w:rPr>
        <w:t>ילדיהם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מופנה</w:t>
      </w:r>
      <w:r>
        <w:rPr>
          <w:rtl w:val="true"/>
        </w:rPr>
        <w:t xml:space="preserve"> </w:t>
      </w:r>
      <w:r>
        <w:rPr>
          <w:rtl w:val="true"/>
        </w:rPr>
        <w:t>כנגד</w:t>
      </w:r>
      <w:r>
        <w:rPr>
          <w:rtl w:val="true"/>
        </w:rPr>
        <w:t xml:space="preserve"> </w:t>
      </w:r>
      <w:r>
        <w:rPr>
          <w:rtl w:val="true"/>
        </w:rPr>
        <w:t>רכיבים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כנגד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בערעו</w:t>
      </w:r>
      <w:r>
        <w:rPr>
          <w:rtl w:val="true"/>
        </w:rPr>
        <w:t>ר</w:t>
      </w:r>
      <w:r>
        <w:rPr>
          <w:rtl w:val="true"/>
        </w:rPr>
        <w:t xml:space="preserve"> </w:t>
      </w:r>
      <w:r>
        <w:rPr>
          <w:rtl w:val="true"/>
        </w:rPr>
        <w:t>שהגישה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ע״פ</w:t>
      </w:r>
      <w:r>
        <w:rPr>
          <w:rtl w:val="true"/>
        </w:rPr>
        <w:t xml:space="preserve"> </w:t>
      </w:r>
      <w:r>
        <w:rPr/>
        <w:t>3223/21</w:t>
      </w:r>
      <w:r>
        <w:rPr>
          <w:rtl w:val="true"/>
        </w:rPr>
        <w:t xml:space="preserve">),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עקרוניות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ודרך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בנוסחה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פרטניות</w:t>
      </w:r>
      <w:r>
        <w:rPr>
          <w:rtl w:val="true"/>
        </w:rPr>
        <w:t xml:space="preserve"> </w:t>
      </w:r>
      <w:r>
        <w:rPr>
          <w:rtl w:val="true"/>
        </w:rPr>
        <w:t>בנוגע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הציגה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 </w:t>
      </w:r>
      <w:r>
        <w:rPr>
          <w:rtl w:val="true"/>
        </w:rPr>
        <w:t>עמדות</w:t>
      </w:r>
      <w:r>
        <w:rPr>
          <w:rtl w:val="true"/>
        </w:rPr>
        <w:t xml:space="preserve"> –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בטיעון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השנייה</w:t>
      </w:r>
      <w:r>
        <w:rPr>
          <w:rtl w:val="true"/>
        </w:rPr>
        <w:t xml:space="preserve"> </w:t>
      </w:r>
      <w:r>
        <w:rPr>
          <w:rtl w:val="true"/>
        </w:rPr>
        <w:t>בטיעון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והשלישית</w:t>
      </w:r>
      <w:r>
        <w:rPr>
          <w:rtl w:val="true"/>
        </w:rPr>
        <w:t xml:space="preserve"> </w:t>
      </w:r>
      <w:r>
        <w:rPr>
          <w:rtl w:val="true"/>
        </w:rPr>
        <w:t>בהודעה</w:t>
      </w:r>
      <w:r>
        <w:rPr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ליישב</w:t>
      </w:r>
      <w:r>
        <w:rPr>
          <w:rtl w:val="true"/>
        </w:rPr>
        <w:t xml:space="preserve"> </w:t>
      </w:r>
      <w:r>
        <w:rPr>
          <w:rtl w:val="true"/>
        </w:rPr>
        <w:t>עמדות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 </w:t>
      </w:r>
      <w:r>
        <w:rPr>
          <w:rtl w:val="true"/>
        </w:rPr>
        <w:t>ישנם</w:t>
      </w:r>
      <w:r>
        <w:rPr>
          <w:rtl w:val="true"/>
        </w:rPr>
        <w:t xml:space="preserve"> </w:t>
      </w:r>
      <w:r>
        <w:rPr>
          <w:rtl w:val="true"/>
        </w:rPr>
        <w:t>דגשים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בצייני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בכוונתי</w:t>
      </w:r>
      <w:r>
        <w:rPr>
          <w:rtl w:val="true"/>
        </w:rPr>
        <w:t xml:space="preserve"> </w:t>
      </w:r>
      <w:r>
        <w:rPr>
          <w:rtl w:val="true"/>
        </w:rPr>
        <w:t>למתוח</w:t>
      </w:r>
      <w:r>
        <w:rPr>
          <w:rtl w:val="true"/>
        </w:rPr>
        <w:t xml:space="preserve"> </w:t>
      </w:r>
      <w:r>
        <w:rPr>
          <w:rtl w:val="true"/>
        </w:rPr>
        <w:t>ביקורת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להראות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מורכבות</w:t>
      </w:r>
      <w:r>
        <w:rPr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הסוגיה</w:t>
      </w:r>
      <w:r>
        <w:rPr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 </w:t>
      </w:r>
      <w:r>
        <w:rPr>
          <w:rtl w:val="true"/>
        </w:rPr>
        <w:t>ונראה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ההכרעה</w:t>
      </w:r>
      <w:r>
        <w:rPr>
          <w:rtl w:val="true"/>
        </w:rPr>
        <w:t xml:space="preserve"> </w:t>
      </w:r>
      <w:r>
        <w:rPr>
          <w:rtl w:val="true"/>
        </w:rPr>
        <w:t>חייבת</w:t>
      </w:r>
      <w:r>
        <w:rPr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 xml:space="preserve"> </w:t>
      </w:r>
      <w:r>
        <w:rPr>
          <w:rtl w:val="true"/>
        </w:rPr>
        <w:t>להיבטיה</w:t>
      </w:r>
      <w:r>
        <w:rPr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tl w:val="true"/>
        </w:rPr>
        <w:t xml:space="preserve"> </w:t>
      </w:r>
      <w:r>
        <w:rPr>
          <w:rtl w:val="true"/>
        </w:rPr>
        <w:t>להבהיר</w:t>
      </w:r>
      <w:r>
        <w:rPr>
          <w:rtl w:val="true"/>
        </w:rPr>
        <w:t xml:space="preserve"> </w:t>
      </w:r>
      <w:r>
        <w:rPr>
          <w:rtl w:val="true"/>
        </w:rPr>
        <w:t>מדוע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השינוי</w:t>
      </w:r>
      <w:r>
        <w:rPr>
          <w:rtl w:val="true"/>
        </w:rPr>
        <w:t xml:space="preserve"> </w:t>
      </w:r>
      <w:r>
        <w:rPr>
          <w:rtl w:val="true"/>
        </w:rPr>
        <w:t>בעמדת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ערעורה</w:t>
      </w:r>
      <w:r>
        <w:rPr>
          <w:rtl w:val="true"/>
        </w:rPr>
        <w:t xml:space="preserve"> </w:t>
      </w:r>
      <w:r>
        <w:rPr>
          <w:rtl w:val="true"/>
        </w:rPr>
        <w:t>בהודעה</w:t>
      </w:r>
      <w:r>
        <w:rPr>
          <w:rtl w:val="true"/>
        </w:rPr>
        <w:t xml:space="preserve"> </w:t>
      </w:r>
      <w:r>
        <w:rPr>
          <w:rtl w:val="true"/>
        </w:rPr>
        <w:t>שמסרה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הטיעונים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 xml:space="preserve"> </w:t>
      </w:r>
      <w:r>
        <w:rPr>
          <w:rtl w:val="true"/>
        </w:rPr>
        <w:t>לסוגיה</w:t>
      </w:r>
      <w:r>
        <w:rPr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להכריע</w:t>
      </w:r>
      <w:r>
        <w:rPr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ע״פ</w:t>
      </w:r>
      <w:r>
        <w:rPr>
          <w:rtl w:val="true"/>
        </w:rPr>
        <w:t xml:space="preserve"> </w:t>
      </w:r>
      <w:r>
        <w:rPr/>
        <w:t>3734/21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בערעור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נדרשת</w:t>
      </w:r>
      <w:r>
        <w:rPr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לעמדתה</w:t>
      </w:r>
      <w:r>
        <w:rPr>
          <w:rtl w:val="true"/>
        </w:rPr>
        <w:t xml:space="preserve"> </w:t>
      </w:r>
      <w:r>
        <w:rPr>
          <w:rtl w:val="true"/>
        </w:rPr>
        <w:t>בשאלה</w:t>
      </w:r>
      <w:r>
        <w:rPr>
          <w:rtl w:val="true"/>
        </w:rPr>
        <w:t xml:space="preserve"> </w:t>
      </w:r>
      <w:r>
        <w:rPr>
          <w:rtl w:val="true"/>
        </w:rPr>
        <w:t>העקרונית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ודרך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מציינת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מפורש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נסוב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 </w:t>
      </w:r>
      <w:r>
        <w:rPr>
          <w:rtl w:val="true"/>
        </w:rPr>
        <w:t>עקרונית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גילתה</w:t>
      </w:r>
      <w:r>
        <w:rPr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אופיה</w:t>
      </w:r>
      <w:r>
        <w:rPr>
          <w:rtl w:val="true"/>
        </w:rPr>
        <w:t xml:space="preserve"> </w:t>
      </w:r>
      <w:r>
        <w:rPr>
          <w:rtl w:val="true"/>
        </w:rPr>
        <w:t>העקרוני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בהחלטתה</w:t>
      </w:r>
      <w:r>
        <w:rPr>
          <w:rtl w:val="true"/>
        </w:rPr>
        <w:t xml:space="preserve"> </w:t>
      </w:r>
      <w:r>
        <w:rPr>
          <w:rtl w:val="true"/>
        </w:rPr>
        <w:t>להגיש</w:t>
      </w:r>
      <w:r>
        <w:rPr>
          <w:rtl w:val="true"/>
        </w:rPr>
        <w:t xml:space="preserve"> </w:t>
      </w:r>
      <w:r>
        <w:rPr>
          <w:rtl w:val="true"/>
        </w:rPr>
        <w:t>בקשה</w:t>
      </w:r>
      <w:r>
        <w:rPr>
          <w:rtl w:val="true"/>
        </w:rPr>
        <w:t xml:space="preserve"> </w:t>
      </w:r>
      <w:r>
        <w:rPr>
          <w:rtl w:val="true"/>
        </w:rPr>
        <w:t>להרחבת</w:t>
      </w:r>
      <w:r>
        <w:rPr>
          <w:rtl w:val="true"/>
        </w:rPr>
        <w:t xml:space="preserve"> </w:t>
      </w:r>
      <w:r>
        <w:rPr>
          <w:rtl w:val="true"/>
        </w:rPr>
        <w:t>ההרכב</w:t>
      </w:r>
      <w:r>
        <w:rPr>
          <w:rtl w:val="true"/>
        </w:rPr>
        <w:t xml:space="preserve"> </w:t>
      </w:r>
      <w:r>
        <w:rPr>
          <w:rtl w:val="true"/>
        </w:rPr>
        <w:t>ולהקדמת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העוסק</w:t>
      </w:r>
      <w:r>
        <w:rPr>
          <w:rtl w:val="true"/>
        </w:rPr>
        <w:t xml:space="preserve"> </w:t>
      </w:r>
      <w:r>
        <w:rPr>
          <w:rtl w:val="true"/>
        </w:rPr>
        <w:t>לשיטתה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tl w:val="true"/>
        </w:rPr>
        <w:t xml:space="preserve"> </w:t>
      </w:r>
      <w:r>
        <w:rPr>
          <w:rtl w:val="true"/>
        </w:rPr>
        <w:t>סוגיה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בקשה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חשיבות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 </w:t>
      </w:r>
      <w:r>
        <w:rPr>
          <w:rtl w:val="true"/>
        </w:rPr>
        <w:t>עקרונית</w:t>
      </w:r>
      <w:r>
        <w:rPr>
          <w:rtl w:val="true"/>
        </w:rPr>
        <w:t xml:space="preserve"> </w:t>
      </w:r>
      <w:r>
        <w:rPr>
          <w:rtl w:val="true"/>
        </w:rPr>
        <w:t>ומהירה</w:t>
      </w:r>
      <w:r>
        <w:rPr>
          <w:rtl w:val="true"/>
        </w:rPr>
        <w:t xml:space="preserve"> </w:t>
      </w:r>
      <w:r>
        <w:rPr>
          <w:rtl w:val="true"/>
        </w:rPr>
        <w:t>בסוגיה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הבקשה</w:t>
      </w:r>
      <w:r>
        <w:rPr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 </w:t>
      </w:r>
      <w:r>
        <w:rPr>
          <w:rtl w:val="true"/>
        </w:rPr>
        <w:t>בהחלטת</w:t>
      </w:r>
      <w:r>
        <w:rPr>
          <w:rtl w:val="true"/>
        </w:rPr>
        <w:t xml:space="preserve"> </w:t>
      </w:r>
      <w:r>
        <w:rPr>
          <w:rtl w:val="true"/>
        </w:rPr>
        <w:t>הנשיאה</w:t>
      </w:r>
      <w:r>
        <w:rPr>
          <w:rtl w:val="true"/>
        </w:rPr>
        <w:t xml:space="preserve"> </w:t>
      </w:r>
      <w:r>
        <w:rPr>
          <w:rtl w:val="true"/>
        </w:rPr>
        <w:t>א׳</w:t>
      </w:r>
      <w:r>
        <w:rPr>
          <w:rtl w:val="true"/>
        </w:rPr>
        <w:t xml:space="preserve"> </w:t>
      </w:r>
      <w:r>
        <w:rPr>
          <w:rtl w:val="true"/>
        </w:rPr>
        <w:t>חיות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27.5.2021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החלטתנו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5.1.2022</w:t>
      </w:r>
      <w:r>
        <w:rPr>
          <w:rtl w:val="true"/>
        </w:rPr>
        <w:t xml:space="preserve">).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ונקבע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 – </w:t>
      </w:r>
      <w:r>
        <w:rPr>
          <w:rtl w:val="true"/>
        </w:rPr>
        <w:t>להבדיל</w:t>
      </w:r>
      <w:r>
        <w:rPr>
          <w:rtl w:val="true"/>
        </w:rPr>
        <w:t xml:space="preserve"> </w:t>
      </w:r>
      <w:r>
        <w:rPr>
          <w:rtl w:val="true"/>
        </w:rPr>
        <w:t>מאדישות</w:t>
      </w:r>
      <w:r>
        <w:rPr>
          <w:rtl w:val="true"/>
        </w:rPr>
        <w:t xml:space="preserve"> </w:t>
      </w:r>
      <w:r>
        <w:rPr>
          <w:rtl w:val="true"/>
        </w:rPr>
        <w:t>בנוגע</w:t>
      </w:r>
      <w:r>
        <w:rPr>
          <w:rtl w:val="true"/>
        </w:rPr>
        <w:t xml:space="preserve"> </w:t>
      </w:r>
      <w:r>
        <w:rPr>
          <w:rtl w:val="true"/>
        </w:rPr>
        <w:t>לתוצאה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–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 </w:t>
      </w:r>
      <w:r>
        <w:rPr>
          <w:rtl w:val="true"/>
        </w:rPr>
        <w:t>לשמש</w:t>
      </w:r>
      <w:r>
        <w:rPr>
          <w:rtl w:val="true"/>
        </w:rPr>
        <w:t xml:space="preserve"> </w:t>
      </w:r>
      <w:r>
        <w:rPr>
          <w:rtl w:val="true"/>
        </w:rPr>
        <w:t>נקודת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 </w:t>
      </w:r>
      <w:r>
        <w:rPr>
          <w:rtl w:val="true"/>
        </w:rPr>
        <w:t>מנקודת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שיאפשרו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צריכות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גורסת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מתחייבת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מהערך</w:t>
      </w:r>
      <w:r>
        <w:rPr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– </w:t>
      </w:r>
      <w:r>
        <w:rPr>
          <w:rtl w:val="true"/>
        </w:rPr>
        <w:t>קדושת</w:t>
      </w:r>
      <w:r>
        <w:rPr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 –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מההיסטוריה</w:t>
      </w:r>
      <w:r>
        <w:rPr>
          <w:rtl w:val="true"/>
        </w:rPr>
        <w:t xml:space="preserve"> </w:t>
      </w:r>
      <w:r>
        <w:rPr>
          <w:rtl w:val="true"/>
        </w:rPr>
        <w:t>החקיקתית</w:t>
      </w:r>
      <w:r>
        <w:rPr>
          <w:rtl w:val="true"/>
        </w:rPr>
        <w:t xml:space="preserve"> </w:t>
      </w:r>
      <w:r>
        <w:rPr>
          <w:rtl w:val="true"/>
        </w:rPr>
        <w:t>ומהתכלית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tl w:val="true"/>
        </w:rPr>
        <w:t xml:space="preserve"> </w:t>
      </w:r>
      <w:r>
        <w:rPr>
          <w:rtl w:val="true"/>
        </w:rPr>
        <w:t>יישומית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hyperlink r:id="rId54">
        <w:r>
          <w:rPr>
            <w:rStyle w:val="Hyperlink"/>
            <w:rtl w:val="true"/>
          </w:rPr>
          <w:t>לסימן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פרק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מוכר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Fonts w:ascii="Century" w:hAnsi="Century" w:cs="Century"/>
          <w:sz w:val="22"/>
          <w:sz w:val="22"/>
          <w:rtl w:val="true"/>
        </w:rPr>
        <w:t>תיקון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מס׳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tl w:val="true"/>
        </w:rPr>
        <w:t xml:space="preserve"> </w:t>
      </w:r>
      <w:r>
        <w:rPr>
          <w:rtl w:val="true"/>
        </w:rPr>
        <w:t>יכונה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במישור</w:t>
      </w:r>
      <w:r>
        <w:rPr>
          <w:rtl w:val="true"/>
        </w:rPr>
        <w:t xml:space="preserve"> </w:t>
      </w:r>
      <w:r>
        <w:rPr>
          <w:rtl w:val="true"/>
        </w:rPr>
        <w:t>הפרטני</w:t>
      </w:r>
      <w:r>
        <w:rPr>
          <w:rtl w:val="true"/>
        </w:rPr>
        <w:t xml:space="preserve">, </w:t>
      </w:r>
      <w:r>
        <w:rPr>
          <w:rtl w:val="true"/>
        </w:rPr>
        <w:t>בנימוקי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שהגישה</w:t>
      </w:r>
      <w:r>
        <w:rPr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עמדתה</w:t>
      </w:r>
      <w:r>
        <w:rPr>
          <w:rtl w:val="true"/>
        </w:rPr>
        <w:t xml:space="preserve"> </w:t>
      </w:r>
      <w:r>
        <w:rPr>
          <w:rtl w:val="true"/>
        </w:rPr>
        <w:t>העקרונית</w:t>
      </w:r>
      <w:r>
        <w:rPr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לגישת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שגה</w:t>
      </w:r>
      <w:r>
        <w:rPr>
          <w:rtl w:val="true"/>
        </w:rPr>
        <w:t xml:space="preserve"> </w:t>
      </w:r>
      <w:r>
        <w:rPr>
          <w:rtl w:val="true"/>
        </w:rPr>
        <w:t>בהחלטתו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קצוב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28.5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מוסיפה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לנוכח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 xml:space="preserve"> </w:t>
      </w:r>
      <w:r>
        <w:rPr>
          <w:rtl w:val="true"/>
        </w:rPr>
        <w:t>זוגן</w:t>
      </w:r>
      <w:r>
        <w:rPr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חשיבות</w:t>
      </w:r>
      <w:r>
        <w:rPr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 </w:t>
      </w:r>
      <w:r>
        <w:rPr>
          <w:rtl w:val="true"/>
        </w:rPr>
        <w:t>למסר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וההרתעתי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מדגישה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שבית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זקף</w:t>
      </w:r>
      <w:r>
        <w:rPr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– </w:t>
      </w:r>
      <w:r>
        <w:rPr>
          <w:rtl w:val="true"/>
        </w:rPr>
        <w:t>בראשן</w:t>
      </w:r>
      <w:r>
        <w:rPr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 </w:t>
      </w:r>
      <w:r>
        <w:rPr>
          <w:rtl w:val="true"/>
        </w:rPr>
        <w:t>ולקיחת</w:t>
      </w:r>
      <w:r>
        <w:rPr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 –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להצדיק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מהעונש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שנערך</w:t>
      </w:r>
      <w:r>
        <w:rPr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הציגה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עמדתה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דגשים</w:t>
      </w:r>
      <w:r>
        <w:rPr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חזרה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טענתה</w:t>
      </w:r>
      <w:r>
        <w:rPr>
          <w:rtl w:val="true"/>
        </w:rPr>
        <w:t xml:space="preserve"> </w:t>
      </w:r>
      <w:r>
        <w:rPr>
          <w:rtl w:val="true"/>
        </w:rPr>
        <w:t>העקרונית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 </w:t>
      </w:r>
      <w:r>
        <w:rPr>
          <w:rtl w:val="true"/>
        </w:rPr>
        <w:t>להוות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 </w:t>
      </w:r>
      <w:r>
        <w:rPr>
          <w:rtl w:val="true"/>
        </w:rPr>
        <w:t>לעבירת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כוונתה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יהווה</w:t>
      </w:r>
      <w:r>
        <w:rPr>
          <w:rtl w:val="true"/>
        </w:rPr>
        <w:t xml:space="preserve"> </w:t>
      </w:r>
      <w:r>
        <w:rPr>
          <w:rtl w:val="true"/>
        </w:rPr>
        <w:t>אות</w:t>
      </w:r>
      <w:r>
        <w:rPr>
          <w:rtl w:val="true"/>
        </w:rPr>
        <w:t xml:space="preserve"> </w:t>
      </w:r>
      <w:r>
        <w:rPr>
          <w:rtl w:val="true"/>
        </w:rPr>
        <w:t>מתה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שיהיה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אפשרות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יהווה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מגיעים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– </w:t>
      </w:r>
      <w:r>
        <w:rPr>
          <w:rtl w:val="true"/>
        </w:rPr>
        <w:t>בניגוד</w:t>
      </w:r>
      <w:r>
        <w:rPr>
          <w:rtl w:val="true"/>
        </w:rPr>
        <w:t xml:space="preserve"> </w:t>
      </w:r>
      <w:r>
        <w:rPr>
          <w:rtl w:val="true"/>
        </w:rPr>
        <w:t>לעמדתה</w:t>
      </w:r>
      <w:r>
        <w:rPr>
          <w:rtl w:val="true"/>
        </w:rPr>
        <w:t xml:space="preserve"> –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 </w:t>
      </w:r>
      <w:r>
        <w:rPr>
          <w:rtl w:val="true"/>
        </w:rPr>
        <w:t>לקביעת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 המ</w:t>
      </w:r>
      <w:r>
        <w:rPr>
          <w:rtl w:val="true"/>
        </w:rPr>
        <w:t>ערער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3734/21</w:t>
      </w:r>
      <w:r>
        <w:rPr>
          <w:rtl w:val="true"/>
        </w:rPr>
        <w:t xml:space="preserve">) </w:t>
      </w:r>
      <w:r>
        <w:rPr>
          <w:rtl w:val="true"/>
        </w:rPr>
        <w:t>נסוב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הנימוק</w:t>
      </w:r>
      <w:r>
        <w:rPr>
          <w:rtl w:val="true"/>
        </w:rPr>
        <w:t xml:space="preserve"> </w:t>
      </w:r>
      <w:r>
        <w:rPr>
          <w:rtl w:val="true"/>
        </w:rPr>
        <w:t>המרכזי</w:t>
      </w:r>
      <w:r>
        <w:rPr>
          <w:rtl w:val="true"/>
        </w:rPr>
        <w:t xml:space="preserve"> </w:t>
      </w:r>
      <w:r>
        <w:rPr>
          <w:rtl w:val="true"/>
        </w:rPr>
        <w:t>העומד</w:t>
      </w:r>
      <w:r>
        <w:rPr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שכשבוע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מוחי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שבעטיו</w:t>
      </w:r>
      <w:r>
        <w:rPr>
          <w:rtl w:val="true"/>
        </w:rPr>
        <w:t xml:space="preserve"> </w:t>
      </w:r>
      <w:r>
        <w:rPr>
          <w:rtl w:val="true"/>
        </w:rPr>
        <w:t>נותר</w:t>
      </w:r>
      <w:r>
        <w:rPr>
          <w:rtl w:val="true"/>
        </w:rPr>
        <w:t xml:space="preserve"> </w:t>
      </w:r>
      <w:r>
        <w:rPr>
          <w:rtl w:val="true"/>
        </w:rPr>
        <w:t>משותק</w:t>
      </w:r>
      <w:r>
        <w:rPr>
          <w:rtl w:val="true"/>
        </w:rPr>
        <w:t xml:space="preserve"> </w:t>
      </w:r>
      <w:r>
        <w:rPr>
          <w:rtl w:val="true"/>
        </w:rPr>
        <w:t>בפלג</w:t>
      </w:r>
      <w:r>
        <w:rPr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 </w:t>
      </w:r>
      <w:r>
        <w:rPr>
          <w:rtl w:val="true"/>
        </w:rPr>
        <w:t>הימני</w:t>
      </w:r>
      <w:r>
        <w:rPr>
          <w:rtl w:val="true"/>
        </w:rPr>
        <w:t xml:space="preserve"> </w:t>
      </w:r>
      <w:r>
        <w:rPr>
          <w:rtl w:val="true"/>
        </w:rPr>
        <w:t>וחסר</w:t>
      </w:r>
      <w:r>
        <w:rPr>
          <w:rtl w:val="true"/>
        </w:rPr>
        <w:t xml:space="preserve"> </w:t>
      </w:r>
      <w:r>
        <w:rPr>
          <w:rtl w:val="true"/>
        </w:rPr>
        <w:t>יכולת</w:t>
      </w:r>
      <w:r>
        <w:rPr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נכון</w:t>
      </w:r>
      <w:r>
        <w:rPr>
          <w:rtl w:val="true"/>
        </w:rPr>
        <w:t xml:space="preserve"> </w:t>
      </w:r>
      <w:r>
        <w:rPr>
          <w:rtl w:val="true"/>
        </w:rPr>
        <w:t>למועד</w:t>
      </w:r>
      <w:r>
        <w:rPr>
          <w:rtl w:val="true"/>
        </w:rPr>
        <w:t xml:space="preserve"> </w:t>
      </w:r>
      <w:r>
        <w:rPr>
          <w:rtl w:val="true"/>
        </w:rPr>
        <w:t>הגשת</w:t>
      </w:r>
      <w:r>
        <w:rPr>
          <w:rtl w:val="true"/>
        </w:rPr>
        <w:t xml:space="preserve"> </w:t>
      </w:r>
      <w:r>
        <w:rPr>
          <w:rtl w:val="true"/>
        </w:rPr>
        <w:t>נימוקי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מצדיק</w:t>
      </w:r>
      <w:r>
        <w:rPr>
          <w:rtl w:val="true"/>
        </w:rPr>
        <w:t xml:space="preserve"> </w:t>
      </w:r>
      <w:r>
        <w:rPr>
          <w:rtl w:val="true"/>
        </w:rPr>
        <w:t>הקלה</w:t>
      </w:r>
      <w:r>
        <w:rPr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גורס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 </w:t>
      </w:r>
      <w:r>
        <w:rPr>
          <w:rtl w:val="true"/>
        </w:rPr>
        <w:t>המוחי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 –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מבחינת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מבחינת</w:t>
      </w:r>
      <w:r>
        <w:rPr>
          <w:rtl w:val="true"/>
        </w:rPr>
        <w:t xml:space="preserve"> </w:t>
      </w:r>
      <w:r>
        <w:rPr>
          <w:rtl w:val="true"/>
        </w:rPr>
        <w:t>מיקומו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 – </w:t>
      </w:r>
      <w:r>
        <w:rPr>
          <w:rtl w:val="true"/>
        </w:rPr>
        <w:t>בהתחשב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 </w:t>
      </w:r>
      <w:r>
        <w:rPr>
          <w:rtl w:val="true"/>
        </w:rPr>
        <w:t>וגילו</w:t>
      </w:r>
      <w:r>
        <w:rPr>
          <w:rtl w:val="true"/>
        </w:rPr>
        <w:t xml:space="preserve">, </w:t>
      </w:r>
      <w:r>
        <w:rPr>
          <w:rtl w:val="true"/>
        </w:rPr>
        <w:t>ובענישה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tl w:val="true"/>
        </w:rPr>
        <w:t xml:space="preserve"> </w:t>
      </w:r>
      <w:r>
        <w:rPr>
          <w:rtl w:val="true"/>
        </w:rPr>
        <w:t>מהטלת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להעמיד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ולמקם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בתשובתו</w:t>
      </w:r>
      <w:r>
        <w:rPr>
          <w:rtl w:val="true"/>
        </w:rPr>
        <w:t xml:space="preserve"> </w:t>
      </w:r>
      <w:r>
        <w:rPr>
          <w:rtl w:val="true"/>
        </w:rPr>
        <w:t>לטענות</w:t>
      </w:r>
      <w:r>
        <w:rPr>
          <w:rtl w:val="true"/>
        </w:rPr>
        <w:t xml:space="preserve"> </w:t>
      </w:r>
      <w:r>
        <w:rPr>
          <w:rtl w:val="true"/>
        </w:rPr>
        <w:t>העקרוניות</w:t>
      </w:r>
      <w:r>
        <w:rPr>
          <w:rtl w:val="true"/>
        </w:rPr>
        <w:t xml:space="preserve"> </w:t>
      </w:r>
      <w:r>
        <w:rPr>
          <w:rtl w:val="true"/>
        </w:rPr>
        <w:t>שמעלה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בערעורה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מסביר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מפורש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רשאי</w:t>
      </w:r>
      <w:r>
        <w:rPr>
          <w:rtl w:val="true"/>
        </w:rPr>
        <w:t xml:space="preserve"> </w:t>
      </w:r>
      <w:r>
        <w:rPr>
          <w:rtl w:val="true"/>
        </w:rPr>
        <w:t>להטילו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קצובה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לחלופין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קצובה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שלושים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לשיטת</w:t>
      </w:r>
      <w:r>
        <w:rPr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 </w:t>
      </w:r>
      <w:r>
        <w:rPr>
          <w:rtl w:val="true"/>
        </w:rPr>
        <w:t>לעמדת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המקסימלי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נקודת</w:t>
      </w:r>
      <w:r>
        <w:rPr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 </w:t>
      </w:r>
      <w:r>
        <w:rPr>
          <w:rtl w:val="true"/>
        </w:rPr>
        <w:t>בגזירת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מודל</w:t>
      </w:r>
      <w:r>
        <w:rPr>
          <w:rtl w:val="true"/>
        </w:rPr>
        <w:t xml:space="preserve"> </w:t>
      </w:r>
      <w:r>
        <w:rPr>
          <w:rtl w:val="true"/>
        </w:rPr>
        <w:t>פרשני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מעוגן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חקיקה</w:t>
      </w:r>
      <w:r>
        <w:rPr>
          <w:rtl w:val="true"/>
        </w:rPr>
        <w:t xml:space="preserve"> </w:t>
      </w:r>
      <w:r>
        <w:rPr>
          <w:rtl w:val="true"/>
        </w:rPr>
        <w:t>שיפוטית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המודל</w:t>
      </w:r>
      <w:r>
        <w:rPr>
          <w:rtl w:val="true"/>
        </w:rPr>
        <w:t xml:space="preserve"> </w:t>
      </w:r>
      <w:r>
        <w:rPr>
          <w:rtl w:val="true"/>
        </w:rPr>
        <w:t>הפרשני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" </w:t>
      </w:r>
      <w:r>
        <w:rPr>
          <w:rtl w:val="true"/>
        </w:rPr>
        <w:t>שממנו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 </w:t>
      </w:r>
      <w:r>
        <w:rPr>
          <w:rtl w:val="true"/>
        </w:rPr>
        <w:t>יוביל</w:t>
      </w:r>
      <w:r>
        <w:rPr>
          <w:rtl w:val="true"/>
        </w:rPr>
        <w:t xml:space="preserve"> </w:t>
      </w:r>
      <w:r>
        <w:rPr>
          <w:rtl w:val="true"/>
        </w:rPr>
        <w:t>לטשטוש</w:t>
      </w:r>
      <w:r>
        <w:rPr>
          <w:rtl w:val="true"/>
        </w:rPr>
        <w:t xml:space="preserve"> </w:t>
      </w:r>
      <w:r>
        <w:rPr>
          <w:rtl w:val="true"/>
        </w:rPr>
        <w:t>ההבחנה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שעונש</w:t>
      </w:r>
      <w:r>
        <w:rPr>
          <w:rtl w:val="true"/>
        </w:rPr>
        <w:t xml:space="preserve"> </w:t>
      </w:r>
      <w:r>
        <w:rPr>
          <w:rtl w:val="true"/>
        </w:rPr>
        <w:t>החובה</w:t>
      </w:r>
      <w:r>
        <w:rPr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tl w:val="true"/>
        </w:rPr>
        <w:t xml:space="preserve"> </w:t>
      </w: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ליישם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ולקבוע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tl w:val="true"/>
        </w:rPr>
        <w:t xml:space="preserve"> </w:t>
      </w:r>
      <w:r>
        <w:rPr>
          <w:rtl w:val="true"/>
        </w:rPr>
        <w:t>גורס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מעוגנת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הגוזר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מחויב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לכלול</w:t>
      </w:r>
      <w:r>
        <w:rPr>
          <w:rtl w:val="true"/>
        </w:rPr>
        <w:t xml:space="preserve"> </w:t>
      </w:r>
      <w:r>
        <w:rPr>
          <w:rtl w:val="true"/>
        </w:rPr>
        <w:t>כגבול</w:t>
      </w:r>
      <w:r>
        <w:rPr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 </w:t>
      </w:r>
      <w:r>
        <w:rPr>
          <w:rtl w:val="true"/>
        </w:rPr>
        <w:t>פעלו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גזרי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שנתנו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 </w:t>
      </w:r>
      <w:r>
        <w:rPr>
          <w:rtl w:val="true"/>
        </w:rPr>
        <w:t>כניסתה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tl w:val="true"/>
        </w:rPr>
        <w:t xml:space="preserve"> </w:t>
      </w:r>
      <w:r>
        <w:rPr>
          <w:rtl w:val="true"/>
        </w:rPr>
        <w:t>מסביר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מהווה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להצדיק</w:t>
      </w:r>
      <w:r>
        <w:rPr>
          <w:rtl w:val="true"/>
        </w:rPr>
        <w:t xml:space="preserve"> </w:t>
      </w:r>
      <w:r>
        <w:rPr>
          <w:rtl w:val="true"/>
        </w:rPr>
        <w:t>השתת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לשיקולי</w:t>
      </w:r>
      <w:r>
        <w:rPr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מצדיקים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במענה</w:t>
      </w:r>
      <w:r>
        <w:rPr>
          <w:rtl w:val="true"/>
        </w:rPr>
        <w:t xml:space="preserve"> </w:t>
      </w:r>
      <w:r>
        <w:rPr>
          <w:rtl w:val="true"/>
        </w:rPr>
        <w:t>לטענות</w:t>
      </w:r>
      <w:r>
        <w:rPr>
          <w:rtl w:val="true"/>
        </w:rPr>
        <w:t xml:space="preserve"> </w:t>
      </w:r>
      <w:r>
        <w:rPr>
          <w:rtl w:val="true"/>
        </w:rPr>
        <w:t>הפרטניות</w:t>
      </w:r>
      <w:r>
        <w:rPr>
          <w:rtl w:val="true"/>
        </w:rPr>
        <w:t xml:space="preserve"> </w:t>
      </w:r>
      <w:r>
        <w:rPr>
          <w:rtl w:val="true"/>
        </w:rPr>
        <w:t>שמעלה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בנוגע</w:t>
      </w:r>
      <w:r>
        <w:rPr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 </w:t>
      </w:r>
      <w:r>
        <w:rPr>
          <w:rtl w:val="true"/>
        </w:rPr>
        <w:t>המצדיקות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חוזר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 </w:t>
      </w:r>
      <w:r>
        <w:rPr>
          <w:rtl w:val="true"/>
        </w:rPr>
        <w:t>ולגבי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המקלה</w:t>
      </w:r>
      <w:r>
        <w:rPr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 </w:t>
      </w:r>
      <w:r>
        <w:rPr>
          <w:rtl w:val="true"/>
        </w:rPr>
        <w:t>שהוטלה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גורס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בעמידתה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המצדיקות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בדמות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מנסה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להכניס</w:t>
      </w:r>
      <w:r>
        <w:rPr>
          <w:rtl w:val="true"/>
        </w:rPr>
        <w:t xml:space="preserve"> </w:t>
      </w:r>
      <w:r>
        <w:rPr>
          <w:rtl w:val="true"/>
        </w:rPr>
        <w:t>בדלת</w:t>
      </w:r>
      <w:r>
        <w:rPr>
          <w:rtl w:val="true"/>
        </w:rPr>
        <w:t xml:space="preserve"> </w:t>
      </w:r>
      <w:r>
        <w:rPr>
          <w:rtl w:val="true"/>
        </w:rPr>
        <w:t>האחורית</w:t>
      </w:r>
      <w:r>
        <w:rPr>
          <w:rtl w:val="true"/>
        </w:rPr>
        <w:t xml:space="preserve">"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 </w:t>
      </w:r>
      <w:r>
        <w:rPr>
          <w:rtl w:val="true"/>
        </w:rPr>
        <w:t>מופיעות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שהושמטו</w:t>
      </w:r>
      <w:r>
        <w:rPr>
          <w:rtl w:val="true"/>
        </w:rPr>
        <w:t xml:space="preserve"> </w:t>
      </w:r>
      <w:r>
        <w:rPr>
          <w:rtl w:val="true"/>
        </w:rPr>
        <w:t>מנוסחו</w:t>
      </w:r>
      <w:r>
        <w:rPr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אכזריות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ותכנון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tl w:val="true"/>
        </w:rPr>
        <w:t xml:space="preserve"> </w:t>
      </w:r>
      <w:r>
        <w:rPr>
          <w:rtl w:val="true"/>
        </w:rPr>
        <w:t>מדגיש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ייתכן</w:t>
      </w:r>
      <w:r>
        <w:rPr>
          <w:rtl w:val="true"/>
        </w:rPr>
        <w:t xml:space="preserve"> </w:t>
      </w:r>
      <w:r>
        <w:rPr>
          <w:rtl w:val="true"/>
        </w:rPr>
        <w:t>שבטענות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לוּ</w:t>
      </w:r>
      <w:r>
        <w:rPr>
          <w:rtl w:val="true"/>
        </w:rPr>
        <w:t xml:space="preserve"> </w:t>
      </w:r>
      <w:r>
        <w:rPr>
          <w:rtl w:val="true"/>
        </w:rPr>
        <w:t>הוכחו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משהמדינה</w:t>
      </w:r>
      <w:r>
        <w:rPr>
          <w:rtl w:val="true"/>
        </w:rPr>
        <w:t xml:space="preserve"> </w:t>
      </w:r>
      <w:r>
        <w:rPr>
          <w:rtl w:val="true"/>
        </w:rPr>
        <w:t>הסכימה</w:t>
      </w:r>
      <w:r>
        <w:rPr>
          <w:rtl w:val="true"/>
        </w:rPr>
        <w:t xml:space="preserve"> </w:t>
      </w:r>
      <w:r>
        <w:rPr>
          <w:rtl w:val="true"/>
        </w:rPr>
        <w:t>להשמיטן</w:t>
      </w:r>
      <w:r>
        <w:rPr>
          <w:rtl w:val="true"/>
        </w:rPr>
        <w:t xml:space="preserve"> </w:t>
      </w:r>
      <w:r>
        <w:rPr>
          <w:rtl w:val="true"/>
        </w:rPr>
        <w:t>מכתב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יכולה</w:t>
      </w:r>
      <w:r>
        <w:rPr>
          <w:rtl w:val="true"/>
        </w:rPr>
        <w:t xml:space="preserve"> </w:t>
      </w:r>
      <w:r>
        <w:rPr>
          <w:rtl w:val="true"/>
        </w:rPr>
        <w:t>להתבסס</w:t>
      </w:r>
      <w:r>
        <w:rPr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לשאלת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לנוכח</w:t>
      </w:r>
      <w:r>
        <w:rPr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tl w:val="true"/>
        </w:rPr>
        <w:t xml:space="preserve"> </w:t>
      </w:r>
      <w:r>
        <w:rPr>
          <w:rtl w:val="true"/>
        </w:rPr>
        <w:t>השיב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הקרוב</w:t>
      </w:r>
      <w:r>
        <w:rPr>
          <w:rtl w:val="true"/>
        </w:rPr>
        <w:t xml:space="preserve"> </w:t>
      </w:r>
      <w:r>
        <w:rPr>
          <w:rtl w:val="true"/>
        </w:rPr>
        <w:t>לעשרים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שהתקיים</w:t>
      </w:r>
      <w:r>
        <w:rPr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 </w:t>
      </w:r>
      <w:r>
        <w:rPr>
          <w:rtl w:val="true"/>
        </w:rPr>
        <w:t>בנוכחות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התחדד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הרפואיות</w:t>
      </w:r>
      <w:r>
        <w:rPr>
          <w:rtl w:val="true"/>
        </w:rPr>
        <w:t xml:space="preserve"> </w:t>
      </w:r>
      <w:r>
        <w:rPr>
          <w:rtl w:val="true"/>
        </w:rPr>
        <w:t>הנוכחיות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tl w:val="true"/>
        </w:rPr>
        <w:t xml:space="preserve"> </w:t>
      </w:r>
      <w:r>
        <w:rPr>
          <w:rtl w:val="true"/>
        </w:rPr>
        <w:t>להחלטתנו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30.12.2021</w:t>
      </w:r>
      <w:r>
        <w:rPr>
          <w:rtl w:val="true"/>
        </w:rPr>
        <w:t xml:space="preserve"> </w:t>
      </w:r>
      <w:r>
        <w:rPr>
          <w:rtl w:val="true"/>
        </w:rPr>
        <w:t>הודעת</w:t>
      </w:r>
      <w:r>
        <w:rPr>
          <w:rtl w:val="true"/>
        </w:rPr>
        <w:t xml:space="preserve"> </w:t>
      </w:r>
      <w:r>
        <w:rPr>
          <w:rtl w:val="true"/>
        </w:rPr>
        <w:t>עדכון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הרפואיות</w:t>
      </w:r>
      <w:r>
        <w:rPr>
          <w:rtl w:val="true"/>
        </w:rPr>
        <w:t xml:space="preserve"> </w:t>
      </w:r>
      <w:r>
        <w:rPr>
          <w:rtl w:val="true"/>
        </w:rPr>
        <w:t>הנוכחיות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רואה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עתירתה</w:t>
      </w:r>
      <w:r>
        <w:rPr>
          <w:rtl w:val="true"/>
        </w:rPr>
        <w:t xml:space="preserve"> </w:t>
      </w:r>
      <w:r>
        <w:rPr>
          <w:rtl w:val="true"/>
        </w:rPr>
        <w:t>להחמרת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מחמיר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הסבירה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בהודעתה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לגישתה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בנסיבותיו</w:t>
      </w:r>
      <w:r>
        <w:rPr>
          <w:rtl w:val="true"/>
        </w:rPr>
        <w:t xml:space="preserve"> </w:t>
      </w:r>
      <w:r>
        <w:rPr>
          <w:rtl w:val="true"/>
        </w:rPr>
        <w:t>הרפואיות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 </w:t>
      </w:r>
      <w:r>
        <w:rPr>
          <w:rtl w:val="true"/>
        </w:rPr>
        <w:t>להקלה</w:t>
      </w:r>
      <w:r>
        <w:rPr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tl w:val="true"/>
        </w:rPr>
        <w:t xml:space="preserve"> </w:t>
      </w:r>
      <w:r>
        <w:rPr>
          <w:rtl w:val="true"/>
        </w:rPr>
        <w:t>שהשיקולים</w:t>
      </w:r>
      <w:r>
        <w:rPr>
          <w:rtl w:val="true"/>
        </w:rPr>
        <w:t xml:space="preserve"> </w:t>
      </w:r>
      <w:r>
        <w:rPr>
          <w:rtl w:val="true"/>
        </w:rPr>
        <w:t>הרפואיים</w:t>
      </w:r>
      <w:r>
        <w:rPr>
          <w:rtl w:val="true"/>
        </w:rPr>
        <w:t xml:space="preserve"> </w:t>
      </w:r>
      <w:r>
        <w:rPr>
          <w:rtl w:val="true"/>
        </w:rPr>
        <w:t>ייבחנו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בהודעתה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לקיים</w:t>
      </w:r>
      <w:r>
        <w:rPr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 </w:t>
      </w:r>
      <w:r>
        <w:rPr>
          <w:sz w:val="22"/>
          <w:szCs w:val="24"/>
          <w:rtl w:val="true"/>
        </w:rPr>
        <w:t>[</w:t>
      </w:r>
      <w:r>
        <w:rPr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הערעור</w:t>
      </w:r>
      <w:r>
        <w:rPr>
          <w:sz w:val="22"/>
          <w:szCs w:val="24"/>
          <w:rtl w:val="true"/>
        </w:rPr>
        <w:t xml:space="preserve">]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העקרוני</w:t>
      </w:r>
      <w:r>
        <w:rPr>
          <w:rtl w:val="true"/>
        </w:rPr>
        <w:t xml:space="preserve"> </w:t>
      </w:r>
      <w:r>
        <w:rPr>
          <w:rtl w:val="true"/>
        </w:rPr>
        <w:t>בשאלת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החדשה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להודיע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משיכת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".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הציגה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 </w:t>
      </w:r>
      <w:r>
        <w:rPr>
          <w:rtl w:val="true"/>
        </w:rPr>
        <w:t>שלישית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לשתי</w:t>
      </w:r>
      <w:r>
        <w:rPr>
          <w:rtl w:val="true"/>
        </w:rPr>
        <w:t xml:space="preserve"> </w:t>
      </w:r>
      <w:r>
        <w:rPr>
          <w:rtl w:val="true"/>
        </w:rPr>
        <w:t>העמדות</w:t>
      </w:r>
      <w:r>
        <w:rPr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. </w:t>
      </w:r>
      <w:r>
        <w:rPr>
          <w:rtl w:val="true"/>
        </w:rPr>
        <w:t>התייחסותנו</w:t>
      </w:r>
      <w:r>
        <w:rPr>
          <w:rtl w:val="true"/>
        </w:rPr>
        <w:t xml:space="preserve"> </w:t>
      </w:r>
      <w:r>
        <w:rPr>
          <w:rtl w:val="true"/>
        </w:rPr>
        <w:t>להודעה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מפורטת</w:t>
      </w:r>
      <w:r>
        <w:rPr>
          <w:rtl w:val="true"/>
        </w:rPr>
        <w:t xml:space="preserve"> </w:t>
      </w:r>
      <w:r>
        <w:rPr>
          <w:rtl w:val="true"/>
        </w:rPr>
        <w:t>בהחלטתנו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5.1.2022</w:t>
      </w:r>
      <w:r>
        <w:rPr>
          <w:rtl w:val="true"/>
        </w:rPr>
        <w:t xml:space="preserve">. </w:t>
      </w:r>
      <w:r>
        <w:rPr>
          <w:rtl w:val="true"/>
        </w:rPr>
        <w:t>נציין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בהחלטתנו</w:t>
      </w:r>
      <w:r>
        <w:rPr>
          <w:rtl w:val="true"/>
        </w:rPr>
        <w:t xml:space="preserve"> </w:t>
      </w:r>
      <w:r>
        <w:rPr>
          <w:rtl w:val="true"/>
        </w:rPr>
        <w:t>הבהרנו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שמיעת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צד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למשוך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קבלת</w:t>
      </w:r>
      <w:r>
        <w:rPr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 xml:space="preserve"> </w:t>
      </w:r>
      <w:r>
        <w:rPr>
          <w:rtl w:val="true"/>
        </w:rPr>
        <w:t>בהגשת</w:t>
      </w:r>
      <w:r>
        <w:rPr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 </w:t>
      </w:r>
      <w:r>
        <w:rPr>
          <w:rtl w:val="true"/>
        </w:rPr>
        <w:t>בעיתוי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בסוגיה</w:t>
      </w:r>
      <w:r>
        <w:rPr>
          <w:rtl w:val="true"/>
        </w:rPr>
        <w:t xml:space="preserve"> </w:t>
      </w:r>
      <w:r>
        <w:rPr>
          <w:rtl w:val="true"/>
        </w:rPr>
        <w:t>העקרונית</w:t>
      </w:r>
      <w:r>
        <w:rPr>
          <w:rtl w:val="true"/>
        </w:rPr>
        <w:t xml:space="preserve"> </w:t>
      </w:r>
      <w:r>
        <w:rPr>
          <w:rtl w:val="true"/>
        </w:rPr>
        <w:t>שמעלה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הציגו</w:t>
      </w:r>
      <w:r>
        <w:rPr>
          <w:rtl w:val="true"/>
        </w:rPr>
        <w:t xml:space="preserve"> </w:t>
      </w:r>
      <w:r>
        <w:rPr>
          <w:rtl w:val="true"/>
        </w:rPr>
        <w:t>נימוקיהם</w:t>
      </w:r>
      <w:r>
        <w:rPr>
          <w:rtl w:val="true"/>
        </w:rPr>
        <w:t xml:space="preserve"> </w:t>
      </w:r>
      <w:r>
        <w:rPr>
          <w:rtl w:val="true"/>
        </w:rPr>
        <w:t>בפירוט</w:t>
      </w:r>
      <w:r>
        <w:rPr>
          <w:rtl w:val="true"/>
        </w:rPr>
        <w:t xml:space="preserve"> </w:t>
      </w:r>
      <w:r>
        <w:rPr>
          <w:rtl w:val="true"/>
        </w:rPr>
        <w:t>ושופטי</w:t>
      </w:r>
      <w:r>
        <w:rPr>
          <w:rtl w:val="true"/>
        </w:rPr>
        <w:t xml:space="preserve"> </w:t>
      </w:r>
      <w:r>
        <w:rPr>
          <w:rtl w:val="true"/>
        </w:rPr>
        <w:t>ההרכב</w:t>
      </w:r>
      <w:r>
        <w:rPr>
          <w:rtl w:val="true"/>
        </w:rPr>
        <w:t xml:space="preserve"> </w:t>
      </w:r>
      <w:r>
        <w:rPr>
          <w:rtl w:val="true"/>
        </w:rPr>
        <w:t>הקשו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לעמדות</w:t>
      </w:r>
      <w:r>
        <w:rPr>
          <w:rtl w:val="true"/>
        </w:rPr>
        <w:t xml:space="preserve"> </w:t>
      </w:r>
      <w:r>
        <w:rPr>
          <w:rtl w:val="true"/>
        </w:rPr>
        <w:t>והשאלות</w:t>
      </w:r>
      <w:r>
        <w:rPr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 xml:space="preserve"> </w:t>
      </w:r>
      <w:r>
        <w:rPr>
          <w:rtl w:val="true"/>
        </w:rPr>
        <w:t>מהמדינה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החמרת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השיקול</w:t>
      </w:r>
      <w:r>
        <w:rPr>
          <w:rtl w:val="true"/>
        </w:rPr>
        <w:t xml:space="preserve"> </w:t>
      </w:r>
      <w:r>
        <w:rPr>
          <w:rtl w:val="true"/>
        </w:rPr>
        <w:t>המרכזי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ההידרדרות</w:t>
      </w:r>
      <w:r>
        <w:rPr>
          <w:rtl w:val="true"/>
        </w:rPr>
        <w:t xml:space="preserve"> </w:t>
      </w:r>
      <w:r>
        <w:rPr>
          <w:rtl w:val="true"/>
        </w:rPr>
        <w:t>הפיזית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שהתרחשה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להכיר</w:t>
      </w:r>
      <w:r>
        <w:rPr>
          <w:rtl w:val="true"/>
        </w:rPr>
        <w:t xml:space="preserve"> </w:t>
      </w:r>
      <w:r>
        <w:rPr>
          <w:rtl w:val="true"/>
        </w:rPr>
        <w:t>בנכונותה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עמדתה</w:t>
      </w:r>
      <w:r>
        <w:rPr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 </w:t>
      </w:r>
      <w:r>
        <w:rPr>
          <w:rtl w:val="true"/>
        </w:rPr>
        <w:t>בהיבט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שיובהר</w:t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השאלות</w:t>
      </w:r>
      <w:r>
        <w:rPr>
          <w:rtl w:val="true"/>
        </w:rPr>
        <w:t xml:space="preserve"> </w:t>
      </w:r>
      <w:r>
        <w:rPr>
          <w:rtl w:val="true"/>
        </w:rPr>
        <w:t>העקרוניות</w:t>
      </w:r>
      <w:r>
        <w:rPr>
          <w:rtl w:val="true"/>
        </w:rPr>
        <w:t xml:space="preserve"> </w:t>
      </w:r>
      <w:r>
        <w:rPr>
          <w:rtl w:val="true"/>
        </w:rPr>
        <w:t>שמעלה</w:t>
      </w:r>
      <w:r>
        <w:rPr>
          <w:rtl w:val="true"/>
        </w:rPr>
        <w:t xml:space="preserve"> </w:t>
      </w:r>
      <w:r>
        <w:rPr>
          <w:rtl w:val="true"/>
        </w:rPr>
        <w:t>ערעורה</w:t>
      </w:r>
      <w:r>
        <w:rPr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 </w:t>
      </w:r>
      <w:r>
        <w:rPr>
          <w:rtl w:val="true"/>
        </w:rPr>
        <w:t>רלוונטיות</w:t>
      </w:r>
      <w:r>
        <w:rPr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, </w:t>
      </w:r>
      <w:r>
        <w:rPr>
          <w:rtl w:val="true"/>
        </w:rPr>
        <w:t>ולוּ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 </w:t>
      </w:r>
      <w:r>
        <w:rPr>
          <w:rtl w:val="true"/>
        </w:rPr>
        <w:t>שנסובה</w:t>
      </w:r>
      <w:r>
        <w:rPr>
          <w:rtl w:val="true"/>
        </w:rPr>
        <w:t xml:space="preserve"> </w:t>
      </w:r>
      <w:r>
        <w:rPr>
          <w:rtl w:val="true"/>
        </w:rPr>
        <w:t>סביב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</w:t>
      </w:r>
      <w:r>
        <w:rPr>
          <w:rtl w:val="true"/>
        </w:rPr>
        <w:t>ערעורים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 </w:t>
      </w:r>
      <w:r>
        <w:rPr>
          <w:rtl w:val="true"/>
        </w:rPr>
        <w:t>מעלים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 </w:t>
      </w:r>
      <w:r>
        <w:rPr>
          <w:rtl w:val="true"/>
        </w:rPr>
        <w:t>מהי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שנחקקה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וקובעת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 –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 –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בניסוח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כיצד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הגוזר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ליישם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שמקנה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בהטלת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בערעורה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שנכריע</w:t>
      </w:r>
      <w:r>
        <w:rPr>
          <w:rtl w:val="true"/>
        </w:rPr>
        <w:t xml:space="preserve"> </w:t>
      </w:r>
      <w:r>
        <w:rPr>
          <w:rtl w:val="true"/>
        </w:rPr>
        <w:t>בשאלה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במישור</w:t>
      </w:r>
      <w:r>
        <w:rPr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 </w:t>
      </w:r>
      <w:r>
        <w:rPr>
          <w:rtl w:val="true"/>
        </w:rPr>
        <w:t>והעקרוני</w:t>
      </w:r>
      <w:r>
        <w:rPr>
          <w:rtl w:val="true"/>
        </w:rPr>
        <w:t xml:space="preserve">. </w:t>
      </w:r>
      <w:r>
        <w:rPr>
          <w:rtl w:val="true"/>
        </w:rPr>
        <w:t>טיעוני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 </w:t>
      </w:r>
      <w:r>
        <w:rPr>
          <w:rtl w:val="true"/>
        </w:rPr>
        <w:t>פורטים</w:t>
      </w:r>
      <w:r>
        <w:rPr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למספר</w:t>
      </w:r>
      <w:r>
        <w:rPr>
          <w:rtl w:val="true"/>
        </w:rPr>
        <w:t xml:space="preserve"> </w:t>
      </w:r>
      <w:r>
        <w:rPr>
          <w:rtl w:val="true"/>
        </w:rPr>
        <w:t>שאלות</w:t>
      </w:r>
      <w:r>
        <w:rPr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"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?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? </w:t>
      </w:r>
      <w:r>
        <w:rPr>
          <w:rtl w:val="true"/>
        </w:rPr>
        <w:t>ואם</w:t>
      </w:r>
      <w:r>
        <w:rPr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יצדיקו</w:t>
      </w:r>
      <w:r>
        <w:rPr>
          <w:rtl w:val="true"/>
        </w:rPr>
        <w:t xml:space="preserve"> </w:t>
      </w:r>
      <w:r>
        <w:rPr>
          <w:rtl w:val="true"/>
        </w:rPr>
        <w:t>הטלת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?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נסביר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?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ולמקמו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המלאכה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. </w:t>
      </w:r>
      <w:r>
        <w:rPr>
          <w:rtl w:val="true"/>
        </w:rPr>
        <w:t>מתברר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כצעד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המוזכרות</w:t>
      </w:r>
      <w:r>
        <w:rPr>
          <w:rtl w:val="true"/>
        </w:rPr>
        <w:t xml:space="preserve">, </w:t>
      </w:r>
      <w:r>
        <w:rPr>
          <w:rtl w:val="true"/>
        </w:rPr>
        <w:t>נציג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הנורמטיבית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הרפו</w:t>
      </w:r>
      <w:r>
        <w:rPr>
          <w:rtl w:val="true"/>
        </w:rPr>
        <w:t>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נכנסה</w:t>
      </w:r>
      <w:r>
        <w:rPr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 </w:t>
      </w:r>
      <w:r>
        <w:rPr>
          <w:rtl w:val="true"/>
        </w:rPr>
        <w:t>בשנת</w:t>
      </w:r>
      <w:r>
        <w:rPr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כתיקון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וקדמו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התדיינויות</w:t>
      </w:r>
      <w:r>
        <w:rPr>
          <w:rtl w:val="true"/>
        </w:rPr>
        <w:t xml:space="preserve"> </w:t>
      </w:r>
      <w:r>
        <w:rPr>
          <w:rtl w:val="true"/>
        </w:rPr>
        <w:t>ועבודה</w:t>
      </w:r>
      <w:r>
        <w:rPr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צוות</w:t>
      </w:r>
      <w:r>
        <w:rPr>
          <w:rtl w:val="true"/>
        </w:rPr>
        <w:t xml:space="preserve"> </w:t>
      </w:r>
      <w:r>
        <w:rPr>
          <w:rtl w:val="true"/>
        </w:rPr>
        <w:t>ייעודי</w:t>
      </w:r>
      <w:r>
        <w:rPr>
          <w:rtl w:val="true"/>
        </w:rPr>
        <w:t xml:space="preserve"> </w:t>
      </w:r>
      <w:r>
        <w:rPr>
          <w:rtl w:val="true"/>
        </w:rPr>
        <w:t>שמינה</w:t>
      </w:r>
      <w:r>
        <w:rPr>
          <w:rtl w:val="true"/>
        </w:rPr>
        <w:t xml:space="preserve"> </w:t>
      </w:r>
      <w:r>
        <w:rPr>
          <w:rtl w:val="true"/>
        </w:rPr>
        <w:t>שר</w:t>
      </w:r>
      <w:r>
        <w:rPr>
          <w:rtl w:val="true"/>
        </w:rPr>
        <w:t xml:space="preserve"> </w:t>
      </w:r>
      <w:r>
        <w:rPr>
          <w:rtl w:val="true"/>
        </w:rPr>
        <w:t>המשפטים</w:t>
      </w:r>
      <w:r>
        <w:rPr>
          <w:rtl w:val="true"/>
        </w:rPr>
        <w:t xml:space="preserve"> </w:t>
      </w:r>
      <w:r>
        <w:rPr>
          <w:rtl w:val="true"/>
        </w:rPr>
        <w:t>בראשות</w:t>
      </w:r>
      <w:r>
        <w:rPr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מרדכי</w:t>
      </w:r>
      <w:r>
        <w:rPr>
          <w:rtl w:val="true"/>
        </w:rPr>
        <w:t xml:space="preserve"> </w:t>
      </w:r>
      <w:r>
        <w:rPr>
          <w:rtl w:val="true"/>
        </w:rPr>
        <w:t>קרמניצר</w:t>
      </w:r>
      <w:r>
        <w:rPr>
          <w:rtl w:val="true"/>
        </w:rPr>
        <w:t xml:space="preserve">.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 </w:t>
      </w:r>
      <w:r>
        <w:rPr>
          <w:rtl w:val="true"/>
        </w:rPr>
        <w:t>ליצור</w:t>
      </w:r>
      <w:r>
        <w:rPr>
          <w:rtl w:val="true"/>
        </w:rPr>
        <w:t xml:space="preserve"> </w:t>
      </w:r>
      <w:r>
        <w:rPr>
          <w:rtl w:val="true"/>
        </w:rPr>
        <w:t>מדרג</w:t>
      </w:r>
      <w:r>
        <w:rPr>
          <w:rtl w:val="true"/>
        </w:rPr>
        <w:t xml:space="preserve"> </w:t>
      </w:r>
      <w:r>
        <w:rPr>
          <w:rtl w:val="true"/>
        </w:rPr>
        <w:t>מפורט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tl w:val="true"/>
        </w:rPr>
        <w:t xml:space="preserve"> </w:t>
      </w:r>
      <w:r>
        <w:rPr>
          <w:rtl w:val="true"/>
        </w:rPr>
        <w:t>המדרג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 </w:t>
      </w:r>
      <w:r>
        <w:rPr>
          <w:rtl w:val="true"/>
        </w:rPr>
        <w:t>בנוסחו</w:t>
      </w:r>
      <w:r>
        <w:rPr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להצגת</w:t>
      </w:r>
      <w:r>
        <w:rPr>
          <w:rtl w:val="true"/>
        </w:rPr>
        <w:t xml:space="preserve"> </w:t>
      </w:r>
      <w:r>
        <w:rPr>
          <w:rtl w:val="true"/>
        </w:rPr>
        <w:t>הרקע</w:t>
      </w:r>
      <w:r>
        <w:rPr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מרזן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22.7.2021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מרזן</w:t>
      </w:r>
      <w:r>
        <w:rPr>
          <w:rtl w:val="true"/>
        </w:rPr>
        <w:t xml:space="preserve">)). </w:t>
      </w:r>
      <w:r>
        <w:rPr>
          <w:rtl w:val="true"/>
        </w:rPr>
        <w:t>כיום</w:t>
      </w:r>
      <w:r>
        <w:rPr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 </w:t>
      </w:r>
      <w:r>
        <w:rPr>
          <w:rtl w:val="true"/>
        </w:rPr>
        <w:t>מנעד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חמש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tl w:val="true"/>
        </w:rPr>
        <w:t xml:space="preserve"> </w:t>
      </w:r>
      <w:r>
        <w:rPr>
          <w:rtl w:val="true"/>
        </w:rPr>
        <w:t>יורד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: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, </w:t>
      </w:r>
      <w:r>
        <w:rPr>
          <w:rtl w:val="true"/>
        </w:rPr>
        <w:t>המתה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המתה</w:t>
      </w:r>
      <w:r>
        <w:rPr>
          <w:rtl w:val="true"/>
        </w:rPr>
        <w:t xml:space="preserve"> </w:t>
      </w:r>
      <w:r>
        <w:rPr>
          <w:rtl w:val="true"/>
        </w:rPr>
        <w:t>בקלות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וגרימת</w:t>
      </w:r>
      <w:r>
        <w:rPr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304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– </w:t>
      </w:r>
      <w:r>
        <w:rPr>
          <w:rtl w:val="true"/>
        </w:rPr>
        <w:t>השנייה</w:t>
      </w:r>
      <w:r>
        <w:rPr>
          <w:rtl w:val="true"/>
        </w:rPr>
        <w:t xml:space="preserve"> </w:t>
      </w:r>
      <w:r>
        <w:rPr>
          <w:rtl w:val="true"/>
        </w:rPr>
        <w:t>בחומרתה</w:t>
      </w:r>
      <w:r>
        <w:rPr>
          <w:rtl w:val="true"/>
        </w:rPr>
        <w:t xml:space="preserve"> </w:t>
      </w:r>
      <w:r>
        <w:rPr>
          <w:rtl w:val="true"/>
        </w:rPr>
        <w:t>במדרג</w:t>
      </w:r>
      <w:r>
        <w:rPr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 </w:t>
      </w:r>
      <w:r>
        <w:rPr>
          <w:rtl w:val="true"/>
        </w:rPr>
        <w:t>בינה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מיקומה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נביא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נוסחן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/>
        <w:t>300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המגדיר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הבסיסית</w:t>
      </w:r>
      <w:r>
        <w:rPr>
          <w:rtl w:val="true"/>
        </w:rPr>
        <w:t xml:space="preserve">),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>."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hyperlink r:id="rId71"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>סעיף</w:t>
        </w:r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Arial TUR;Arial" w:ascii="Arial TUR;Arial" w:hAnsi="Arial TUR;Arial"/>
            <w:sz w:val="22"/>
          </w:rPr>
          <w:t>301</w:t>
        </w:r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>א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המגדיר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את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עבירת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הרצח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בנסיבות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מחמירות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קובע</w:t>
      </w:r>
      <w:r>
        <w:rPr>
          <w:rFonts w:cs="Arial TUR;Arial" w:ascii="Arial TUR;Arial" w:hAnsi="Arial TUR;Arial"/>
          <w:sz w:val="22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:</w:t>
      </w:r>
    </w:p>
    <w:p>
      <w:pPr>
        <w:pStyle w:val="Ruller5"/>
        <w:ind w:start="2160"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>;</w:t>
      </w:r>
    </w:p>
    <w:p>
      <w:pPr>
        <w:pStyle w:val="Ruller5"/>
        <w:ind w:start="2160"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>; (...)</w:t>
      </w:r>
    </w:p>
    <w:p>
      <w:pPr>
        <w:pStyle w:val="Ruller5"/>
        <w:ind w:start="2160" w:end="1282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>;</w:t>
      </w:r>
    </w:p>
    <w:p>
      <w:pPr>
        <w:pStyle w:val="Ruller5"/>
        <w:ind w:start="2160" w:end="1282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(...);</w:t>
      </w:r>
    </w:p>
    <w:p>
      <w:pPr>
        <w:pStyle w:val="Ruller5"/>
        <w:ind w:start="2160" w:end="1282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>;</w:t>
      </w:r>
    </w:p>
    <w:p>
      <w:pPr>
        <w:pStyle w:val="Ruller5"/>
        <w:ind w:start="2160" w:end="1282"/>
        <w:jc w:val="both"/>
        <w:rPr/>
      </w:pP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גופנית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>;</w:t>
      </w:r>
    </w:p>
    <w:p>
      <w:pPr>
        <w:pStyle w:val="Ruller5"/>
        <w:ind w:start="2160" w:end="1282"/>
        <w:jc w:val="both"/>
        <w:rPr/>
      </w:pP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>;</w:t>
      </w:r>
    </w:p>
    <w:p>
      <w:pPr>
        <w:pStyle w:val="Ruller5"/>
        <w:ind w:start="2160" w:end="1282"/>
        <w:jc w:val="both"/>
        <w:rPr/>
      </w:pPr>
      <w:r>
        <w:rPr>
          <w:rtl w:val="true"/>
        </w:rPr>
        <w:t>(</w:t>
      </w:r>
      <w:r>
        <w:rPr/>
        <w:t>8</w:t>
      </w:r>
      <w:r>
        <w:rPr>
          <w:rtl w:val="true"/>
        </w:rPr>
        <w:t xml:space="preserve">)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(...);</w:t>
      </w:r>
    </w:p>
    <w:p>
      <w:pPr>
        <w:pStyle w:val="Ruller5"/>
        <w:ind w:start="2160" w:end="1282"/>
        <w:jc w:val="both"/>
        <w:rPr/>
      </w:pPr>
      <w:r>
        <w:rPr>
          <w:rtl w:val="true"/>
        </w:rPr>
        <w:t>(</w:t>
      </w:r>
      <w:r>
        <w:rPr/>
        <w:t>9</w:t>
      </w:r>
      <w:r>
        <w:rPr>
          <w:rtl w:val="true"/>
        </w:rPr>
        <w:t xml:space="preserve">)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>;</w:t>
      </w:r>
    </w:p>
    <w:p>
      <w:pPr>
        <w:pStyle w:val="Ruller5"/>
        <w:ind w:start="2160" w:end="1282"/>
        <w:jc w:val="both"/>
        <w:rPr/>
      </w:pPr>
      <w:r>
        <w:rPr>
          <w:rtl w:val="true"/>
        </w:rPr>
        <w:t>(</w:t>
      </w:r>
      <w:r>
        <w:rPr/>
        <w:t>10</w:t>
      </w:r>
      <w:r>
        <w:rPr>
          <w:rtl w:val="true"/>
        </w:rPr>
        <w:t xml:space="preserve">)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>;</w:t>
      </w:r>
    </w:p>
    <w:p>
      <w:pPr>
        <w:pStyle w:val="Ruller5"/>
        <w:ind w:start="2160" w:end="1282"/>
        <w:jc w:val="both"/>
        <w:rPr/>
      </w:pPr>
      <w:r>
        <w:rPr>
          <w:rtl w:val="true"/>
        </w:rPr>
        <w:t>(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tl w:val="true"/>
        </w:rPr>
        <w:t>; (...)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>."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עינינו</w:t>
      </w:r>
      <w:r>
        <w:rPr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גרימה</w:t>
      </w:r>
      <w:r>
        <w:rPr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) </w:t>
      </w:r>
      <w:r>
        <w:rPr>
          <w:rtl w:val="true"/>
        </w:rPr>
        <w:t>ויסוד</w:t>
      </w:r>
      <w:r>
        <w:rPr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). </w:t>
      </w:r>
      <w:r>
        <w:rPr>
          <w:rtl w:val="true"/>
        </w:rPr>
        <w:t>ההבדלים</w:t>
      </w:r>
      <w:r>
        <w:rPr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שניים</w:t>
      </w:r>
      <w:r>
        <w:rPr>
          <w:rtl w:val="true"/>
        </w:rPr>
        <w:t xml:space="preserve">. </w:t>
      </w:r>
      <w:r>
        <w:rPr>
          <w:rtl w:val="true"/>
        </w:rPr>
        <w:t>ההבדל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קיומה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מאחת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המחמירות</w:t>
      </w:r>
      <w:r>
        <w:rPr>
          <w:rtl w:val="true"/>
        </w:rPr>
        <w:t xml:space="preserve"> </w:t>
      </w:r>
      <w:r>
        <w:rPr>
          <w:rtl w:val="true"/>
        </w:rPr>
        <w:t>המנויות</w:t>
      </w:r>
      <w:r>
        <w:rPr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מנסיבות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מתקיימת</w:t>
      </w:r>
      <w:r>
        <w:rPr>
          <w:rtl w:val="true"/>
        </w:rPr>
        <w:t xml:space="preserve">, </w:t>
      </w:r>
      <w:r>
        <w:rPr>
          <w:rtl w:val="true"/>
        </w:rPr>
        <w:t>ענייננו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ואם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מנסיבות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מתקיימת</w:t>
      </w:r>
      <w:r>
        <w:rPr>
          <w:rtl w:val="true"/>
        </w:rPr>
        <w:t xml:space="preserve">, </w:t>
      </w:r>
      <w:r>
        <w:rPr>
          <w:rtl w:val="true"/>
        </w:rPr>
        <w:t>ענייננו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</w:t>
      </w:r>
      <w:r>
        <w:rPr>
          <w:rtl w:val="true"/>
        </w:rPr>
        <w:tab/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" –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".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hyperlink r:id="rId77">
        <w:r>
          <w:rPr>
            <w:rStyle w:val="Hyperlink"/>
            <w:rtl w:val="true"/>
          </w:rPr>
          <w:t>מסעיף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מקסימום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יועד</w:t>
      </w:r>
      <w:r>
        <w:rPr>
          <w:rFonts w:eastAsia="Arial TUR;Arial" w:cs="Arial TUR;Arial"/>
          <w:rtl w:val="true"/>
        </w:rPr>
        <w:t xml:space="preserve"> 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".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וקובע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81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hyperlink r:id="rId82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לשונו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sz w:val="20"/>
          <w:szCs w:val="24"/>
          <w:rtl w:val="true"/>
        </w:rPr>
        <w:t>[</w:t>
      </w:r>
      <w:r>
        <w:rPr>
          <w:sz w:val="20"/>
          <w:sz w:val="20"/>
          <w:szCs w:val="24"/>
          <w:rtl w:val="true"/>
        </w:rPr>
        <w:t>גרימת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sz w:val="20"/>
          <w:sz w:val="20"/>
          <w:szCs w:val="24"/>
          <w:rtl w:val="true"/>
        </w:rPr>
        <w:t>מוות</w:t>
      </w:r>
      <w:r>
        <w:rPr>
          <w:sz w:val="20"/>
          <w:szCs w:val="24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שדינה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 </w:t>
      </w:r>
      <w:r>
        <w:rPr>
          <w:rtl w:val="true"/>
        </w:rPr>
        <w:t>נתייחס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לנוסחו</w:t>
      </w:r>
      <w:r>
        <w:rPr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ונראה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החידוש</w:t>
      </w:r>
      <w:r>
        <w:rPr>
          <w:rtl w:val="true"/>
        </w:rPr>
        <w:t xml:space="preserve">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כעונש</w:t>
      </w:r>
      <w:r>
        <w:rPr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hyperlink r:id="rId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 </w:t>
      </w:r>
      <w:r>
        <w:rPr>
          <w:rtl w:val="true"/>
        </w:rPr>
        <w:t>מרכזיות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בנוסף</w:t>
      </w:r>
      <w:r>
        <w:rPr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גרימת</w:t>
      </w:r>
      <w:r>
        <w:rPr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, </w:t>
      </w:r>
      <w:r>
        <w:rPr>
          <w:rtl w:val="true"/>
        </w:rPr>
        <w:t>שנותרה</w:t>
      </w:r>
      <w:r>
        <w:rPr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), </w:t>
      </w:r>
      <w:r>
        <w:rPr>
          <w:rtl w:val="true"/>
        </w:rPr>
        <w:t>שזו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לשונן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298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הריגה</w:t>
      </w:r>
    </w:p>
    <w:p>
      <w:pPr>
        <w:pStyle w:val="Ruller5"/>
        <w:ind w:end="1282"/>
        <w:jc w:val="both"/>
        <w:rPr/>
      </w:pP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יאשם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בהריגה</w:t>
      </w:r>
      <w:r>
        <w:rPr>
          <w:rtl w:val="true"/>
        </w:rPr>
        <w:t xml:space="preserve">, </w:t>
      </w:r>
      <w:r>
        <w:rPr>
          <w:rtl w:val="true"/>
        </w:rPr>
        <w:t>ודינו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/>
        <w:t>300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רצח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:</w:t>
      </w:r>
    </w:p>
    <w:p>
      <w:pPr>
        <w:pStyle w:val="Ruller5"/>
        <w:ind w:start="2160"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סבתו</w:t>
      </w:r>
      <w:r>
        <w:rPr>
          <w:rtl w:val="true"/>
        </w:rPr>
        <w:t xml:space="preserve">; </w:t>
      </w:r>
    </w:p>
    <w:p>
      <w:pPr>
        <w:pStyle w:val="Ruller5"/>
        <w:ind w:firstLine="516"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; </w:t>
      </w:r>
    </w:p>
    <w:p>
      <w:pPr>
        <w:pStyle w:val="Ruller5"/>
        <w:ind w:start="2160" w:end="1282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>;</w:t>
      </w:r>
    </w:p>
    <w:p>
      <w:pPr>
        <w:pStyle w:val="Ruller5"/>
        <w:ind w:start="2160" w:end="1282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בריחה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ובעוזריהם</w:t>
      </w:r>
      <w:r>
        <w:rPr>
          <w:rtl w:val="true"/>
        </w:rPr>
        <w:t xml:space="preserve">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י–</w:t>
      </w:r>
      <w:r>
        <w:rPr/>
        <w:t>1950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מיתה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</w:t>
      </w:r>
      <w:r>
        <w:rPr>
          <w:rtl w:val="true"/>
        </w:rPr>
        <w:tab/>
      </w:r>
      <w:r>
        <w:rPr>
          <w:rtl w:val="true"/>
        </w:rPr>
        <w:t>מקריאת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חידוש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86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9937/01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738</w:t>
      </w:r>
      <w:r>
        <w:rPr>
          <w:rtl w:val="true"/>
        </w:rPr>
        <w:t xml:space="preserve">, </w:t>
      </w:r>
      <w:r>
        <w:rPr/>
        <w:t>747-746</w:t>
      </w:r>
      <w:r>
        <w:rPr>
          <w:rtl w:val="true"/>
        </w:rPr>
        <w:t xml:space="preserve">, </w:t>
      </w:r>
      <w:r>
        <w:rPr/>
        <w:t>751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חורב</w:t>
      </w:r>
      <w:r>
        <w:rPr>
          <w:rtl w:val="true"/>
        </w:rPr>
        <w:t xml:space="preserve">); </w:t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).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מוגדרים</w:t>
      </w:r>
      <w:r>
        <w:rPr>
          <w:rFonts w:eastAsia="Arial TUR;Arial" w:cs="Arial TUR;Arial"/>
          <w:rtl w:val="true"/>
        </w:rPr>
        <w:t xml:space="preserve"> </w:t>
      </w:r>
      <w:hyperlink r:id="rId8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9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. </w:t>
      </w:r>
      <w:r>
        <w:rPr>
          <w:rtl w:val="true"/>
        </w:rPr>
        <w:t>כותרתו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</w:t>
      </w:r>
      <w:r>
        <w:rPr>
          <w:rtl w:val="true"/>
        </w:rPr>
        <w:t xml:space="preserve">"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לשונו</w:t>
      </w:r>
      <w:r>
        <w:rPr>
          <w:rtl w:val="true"/>
        </w:rPr>
        <w:t>:</w:t>
      </w:r>
    </w:p>
    <w:p>
      <w:pPr>
        <w:pStyle w:val="Ruller5"/>
        <w:ind w:end="1282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על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אף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האמור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בסעיף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cs="Garamond" w:ascii="Garamond" w:hAnsi="Garamond"/>
          <w:sz w:val="24"/>
        </w:rPr>
        <w:t>300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ניתן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להטיל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עונש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קל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מ</w:t>
      </w:r>
      <w:r>
        <w:rPr>
          <w:rFonts w:ascii="Garamond" w:hAnsi="Garamond" w:cs="Garamond"/>
          <w:sz w:val="24"/>
          <w:sz w:val="24"/>
          <w:rtl w:val="true"/>
        </w:rPr>
        <w:t>הקבו</w:t>
      </w:r>
      <w:r>
        <w:rPr>
          <w:rFonts w:ascii="Garamond" w:hAnsi="Garamond" w:cs="Garamond"/>
          <w:sz w:val="24"/>
          <w:sz w:val="24"/>
          <w:rtl w:val="true"/>
        </w:rPr>
        <w:t xml:space="preserve">ע </w:t>
      </w:r>
      <w:r>
        <w:rPr>
          <w:rFonts w:ascii="Garamond" w:hAnsi="Garamond" w:cs="Garamond"/>
          <w:sz w:val="24"/>
          <w:sz w:val="24"/>
          <w:rtl w:val="true"/>
        </w:rPr>
        <w:t>בו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</w:t>
      </w:r>
      <w:r>
        <w:rPr>
          <w:rFonts w:ascii="Garamond" w:hAnsi="Garamond" w:cs="Garamond"/>
          <w:sz w:val="24"/>
          <w:sz w:val="24"/>
          <w:rtl w:val="true"/>
        </w:rPr>
        <w:t>ם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נעברה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העבירה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באחד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מאל</w:t>
      </w:r>
      <w:r>
        <w:rPr>
          <w:rFonts w:ascii="Garamond" w:hAnsi="Garamond" w:cs="Garamond"/>
          <w:sz w:val="24"/>
          <w:sz w:val="24"/>
          <w:rtl w:val="true"/>
        </w:rPr>
        <w:t>ה</w:t>
      </w:r>
      <w:r>
        <w:rPr>
          <w:rFonts w:cs="Garamond" w:ascii="Garamond" w:hAnsi="Garamond"/>
          <w:sz w:val="24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>א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ascii="Garamond" w:hAnsi="Garamond" w:cs="Garamond"/>
          <w:sz w:val="24"/>
          <w:sz w:val="24"/>
          <w:rtl w:val="true"/>
        </w:rPr>
        <w:t>במצב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שבו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בשל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הפרעה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נפשית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חמורה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או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בשל</w:t>
      </w:r>
      <w:r>
        <w:rPr>
          <w:rFonts w:ascii="Garamond" w:hAnsi="Garamond" w:cs="Garamond"/>
          <w:sz w:val="24"/>
          <w:sz w:val="24"/>
          <w:rtl w:val="true"/>
        </w:rPr>
        <w:t xml:space="preserve"> ל</w:t>
      </w:r>
      <w:r>
        <w:rPr>
          <w:rFonts w:ascii="Garamond" w:hAnsi="Garamond" w:cs="Garamond"/>
          <w:sz w:val="24"/>
          <w:sz w:val="24"/>
          <w:rtl w:val="true"/>
        </w:rPr>
        <w:t>יקוי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בכושר</w:t>
      </w:r>
      <w:r>
        <w:rPr>
          <w:rFonts w:ascii="Garamond" w:hAnsi="Garamond" w:cs="Garamond"/>
          <w:sz w:val="24"/>
          <w:sz w:val="24"/>
          <w:rtl w:val="true"/>
        </w:rPr>
        <w:t xml:space="preserve">ו </w:t>
      </w:r>
      <w:r>
        <w:rPr>
          <w:rFonts w:ascii="Garamond" w:hAnsi="Garamond" w:cs="Garamond"/>
          <w:sz w:val="24"/>
          <w:sz w:val="24"/>
          <w:rtl w:val="true"/>
        </w:rPr>
        <w:t>השכלי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הוגבל</w:t>
      </w:r>
      <w:r>
        <w:rPr>
          <w:rFonts w:ascii="Garamond" w:hAnsi="Garamond" w:cs="Garamond"/>
          <w:sz w:val="24"/>
          <w:sz w:val="24"/>
          <w:rtl w:val="true"/>
        </w:rPr>
        <w:t xml:space="preserve">ה </w:t>
      </w:r>
      <w:r>
        <w:rPr>
          <w:rFonts w:ascii="Garamond" w:hAnsi="Garamond" w:cs="Garamond"/>
          <w:sz w:val="24"/>
          <w:sz w:val="24"/>
          <w:rtl w:val="true"/>
        </w:rPr>
        <w:t>יכולת</w:t>
      </w:r>
      <w:r>
        <w:rPr>
          <w:rFonts w:ascii="Garamond" w:hAnsi="Garamond" w:cs="Garamond"/>
          <w:sz w:val="24"/>
          <w:sz w:val="24"/>
          <w:rtl w:val="true"/>
        </w:rPr>
        <w:t xml:space="preserve">ו </w:t>
      </w:r>
      <w:r>
        <w:rPr>
          <w:rFonts w:ascii="Garamond" w:hAnsi="Garamond" w:cs="Garamond"/>
          <w:sz w:val="24"/>
          <w:sz w:val="24"/>
          <w:rtl w:val="true"/>
        </w:rPr>
        <w:t>של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הנאש</w:t>
      </w:r>
      <w:r>
        <w:rPr>
          <w:rFonts w:ascii="Garamond" w:hAnsi="Garamond" w:cs="Garamond"/>
          <w:sz w:val="24"/>
          <w:sz w:val="24"/>
          <w:rtl w:val="true"/>
        </w:rPr>
        <w:t xml:space="preserve">ם </w:t>
      </w:r>
      <w:r>
        <w:rPr>
          <w:rFonts w:ascii="Garamond" w:hAnsi="Garamond" w:cs="Garamond"/>
          <w:sz w:val="24"/>
          <w:sz w:val="24"/>
          <w:rtl w:val="true"/>
        </w:rPr>
        <w:t>במיד</w:t>
      </w:r>
      <w:r>
        <w:rPr>
          <w:rFonts w:ascii="Garamond" w:hAnsi="Garamond" w:cs="Garamond"/>
          <w:sz w:val="24"/>
          <w:sz w:val="24"/>
          <w:rtl w:val="true"/>
        </w:rPr>
        <w:t xml:space="preserve">ה </w:t>
      </w:r>
      <w:r>
        <w:rPr>
          <w:rFonts w:ascii="Garamond" w:hAnsi="Garamond" w:cs="Garamond"/>
          <w:sz w:val="24"/>
          <w:sz w:val="24"/>
          <w:rtl w:val="true"/>
        </w:rPr>
        <w:t>ניכר</w:t>
      </w:r>
      <w:r>
        <w:rPr>
          <w:rFonts w:ascii="Garamond" w:hAnsi="Garamond" w:cs="Garamond"/>
          <w:sz w:val="24"/>
          <w:sz w:val="24"/>
          <w:rtl w:val="true"/>
        </w:rPr>
        <w:t>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</w:t>
      </w:r>
      <w:r>
        <w:rPr>
          <w:rFonts w:ascii="Garamond" w:hAnsi="Garamond" w:cs="Garamond"/>
          <w:sz w:val="24"/>
          <w:sz w:val="24"/>
          <w:rtl w:val="true"/>
        </w:rPr>
        <w:t>ך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לא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עד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כדי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חוסר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יכולת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של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ממש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כאמור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בסעי</w:t>
      </w:r>
      <w:r>
        <w:rPr>
          <w:rFonts w:ascii="Garamond" w:hAnsi="Garamond" w:cs="Garamond"/>
          <w:sz w:val="24"/>
          <w:sz w:val="24"/>
          <w:rtl w:val="true"/>
        </w:rPr>
        <w:t xml:space="preserve">ף </w:t>
      </w:r>
      <w:r>
        <w:rPr>
          <w:rFonts w:cs="Garamond" w:ascii="Garamond" w:hAnsi="Garamond"/>
          <w:sz w:val="24"/>
        </w:rPr>
        <w:t>34</w:t>
      </w:r>
      <w:r>
        <w:rPr>
          <w:rFonts w:ascii="Garamond" w:hAnsi="Garamond" w:cs="Garamond"/>
          <w:sz w:val="24"/>
          <w:sz w:val="24"/>
          <w:rtl w:val="true"/>
        </w:rPr>
        <w:t xml:space="preserve">ח </w:t>
      </w:r>
      <w:r>
        <w:rPr>
          <w:rFonts w:ascii="Garamond" w:hAnsi="Garamond" w:cs="Garamond"/>
          <w:sz w:val="24"/>
          <w:sz w:val="24"/>
          <w:rtl w:val="true"/>
        </w:rPr>
        <w:t>–</w:t>
      </w:r>
    </w:p>
    <w:p>
      <w:pPr>
        <w:pStyle w:val="Ruller5"/>
        <w:ind w:start="2160" w:end="1282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>(</w:t>
      </w:r>
      <w:r>
        <w:rPr>
          <w:rFonts w:cs="Garamond" w:ascii="Garamond" w:hAnsi="Garamond"/>
          <w:sz w:val="24"/>
        </w:rPr>
        <w:t>1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ascii="Garamond" w:hAnsi="Garamond" w:cs="Garamond"/>
          <w:sz w:val="24"/>
          <w:sz w:val="24"/>
          <w:rtl w:val="true"/>
        </w:rPr>
        <w:t>להבין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את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אשר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הוא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עושה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או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את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הפסו</w:t>
      </w:r>
      <w:r>
        <w:rPr>
          <w:rFonts w:ascii="Garamond" w:hAnsi="Garamond" w:cs="Garamond"/>
          <w:sz w:val="24"/>
          <w:sz w:val="24"/>
          <w:rtl w:val="true"/>
        </w:rPr>
        <w:t xml:space="preserve">ל </w:t>
      </w:r>
      <w:r>
        <w:rPr>
          <w:rFonts w:ascii="Garamond" w:hAnsi="Garamond" w:cs="Garamond"/>
          <w:sz w:val="24"/>
          <w:sz w:val="24"/>
          <w:rtl w:val="true"/>
        </w:rPr>
        <w:t>שבמעשהו</w:t>
      </w:r>
      <w:r>
        <w:rPr>
          <w:rFonts w:cs="Garamond" w:ascii="Garamond" w:hAnsi="Garamond"/>
          <w:sz w:val="24"/>
          <w:rtl w:val="true"/>
        </w:rPr>
        <w:t xml:space="preserve">; </w:t>
      </w:r>
      <w:r>
        <w:rPr>
          <w:rFonts w:ascii="Garamond" w:hAnsi="Garamond" w:cs="Garamond"/>
          <w:sz w:val="24"/>
          <w:sz w:val="24"/>
          <w:rtl w:val="true"/>
        </w:rPr>
        <w:t>או</w:t>
      </w:r>
    </w:p>
    <w:p>
      <w:pPr>
        <w:pStyle w:val="Ruller5"/>
        <w:ind w:firstLine="516" w:end="1282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>(</w:t>
      </w:r>
      <w:r>
        <w:rPr>
          <w:rFonts w:cs="Garamond" w:ascii="Garamond" w:hAnsi="Garamond"/>
          <w:sz w:val="24"/>
        </w:rPr>
        <w:t>2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ascii="Garamond" w:hAnsi="Garamond" w:cs="Garamond"/>
          <w:sz w:val="24"/>
          <w:sz w:val="24"/>
          <w:rtl w:val="true"/>
        </w:rPr>
        <w:t>להימנע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מעשיית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המעש</w:t>
      </w:r>
      <w:r>
        <w:rPr>
          <w:rFonts w:ascii="Garamond" w:hAnsi="Garamond" w:cs="Garamond"/>
          <w:sz w:val="24"/>
          <w:sz w:val="24"/>
          <w:rtl w:val="true"/>
        </w:rPr>
        <w:t>ה</w:t>
      </w:r>
      <w:r>
        <w:rPr>
          <w:rFonts w:cs="Garamond" w:ascii="Garamond" w:hAnsi="Garamond"/>
          <w:sz w:val="24"/>
          <w:rtl w:val="true"/>
        </w:rPr>
        <w:t>.</w:t>
      </w:r>
    </w:p>
    <w:p>
      <w:pPr>
        <w:pStyle w:val="Ruller5"/>
        <w:ind w:end="1282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>ב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ascii="Garamond" w:hAnsi="Garamond" w:cs="Garamond"/>
          <w:sz w:val="24"/>
          <w:sz w:val="24"/>
          <w:rtl w:val="true"/>
        </w:rPr>
        <w:t>במצב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שבו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מעשהו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של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הנאשם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חרג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במידה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מועט</w:t>
      </w:r>
      <w:r>
        <w:rPr>
          <w:rFonts w:ascii="Garamond" w:hAnsi="Garamond" w:cs="Garamond"/>
          <w:sz w:val="24"/>
          <w:sz w:val="24"/>
          <w:rtl w:val="true"/>
        </w:rPr>
        <w:t>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בנסיבות</w:t>
      </w:r>
      <w:r>
        <w:rPr>
          <w:rFonts w:ascii="Garamond" w:hAnsi="Garamond" w:cs="Garamond"/>
          <w:sz w:val="24"/>
          <w:sz w:val="24"/>
          <w:rtl w:val="true"/>
        </w:rPr>
        <w:t xml:space="preserve"> ה</w:t>
      </w:r>
      <w:r>
        <w:rPr>
          <w:rFonts w:ascii="Garamond" w:hAnsi="Garamond" w:cs="Garamond"/>
          <w:sz w:val="24"/>
          <w:sz w:val="24"/>
          <w:rtl w:val="true"/>
        </w:rPr>
        <w:t>ענין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מ</w:t>
      </w:r>
      <w:r>
        <w:rPr>
          <w:rFonts w:ascii="Garamond" w:hAnsi="Garamond" w:cs="Garamond"/>
          <w:sz w:val="24"/>
          <w:sz w:val="24"/>
          <w:rtl w:val="true"/>
        </w:rPr>
        <w:t>תחום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הסבירות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הנדרשת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לפי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סעי</w:t>
      </w:r>
      <w:r>
        <w:rPr>
          <w:rFonts w:ascii="Garamond" w:hAnsi="Garamond" w:cs="Garamond"/>
          <w:sz w:val="24"/>
          <w:sz w:val="24"/>
          <w:rtl w:val="true"/>
        </w:rPr>
        <w:t xml:space="preserve">ף </w:t>
      </w:r>
      <w:r>
        <w:rPr>
          <w:rFonts w:cs="Garamond" w:ascii="Garamond" w:hAnsi="Garamond"/>
          <w:sz w:val="24"/>
        </w:rPr>
        <w:t>34</w:t>
      </w:r>
      <w:r>
        <w:rPr>
          <w:rFonts w:ascii="Garamond" w:hAnsi="Garamond" w:cs="Garamond"/>
          <w:sz w:val="24"/>
          <w:sz w:val="24"/>
          <w:rtl w:val="true"/>
        </w:rPr>
        <w:t>טז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לשם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תחולת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הסייג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ש</w:t>
      </w:r>
      <w:r>
        <w:rPr>
          <w:rFonts w:ascii="Garamond" w:hAnsi="Garamond" w:cs="Garamond"/>
          <w:sz w:val="24"/>
          <w:sz w:val="24"/>
          <w:rtl w:val="true"/>
        </w:rPr>
        <w:t>ל ה</w:t>
      </w:r>
      <w:r>
        <w:rPr>
          <w:rFonts w:ascii="Garamond" w:hAnsi="Garamond" w:cs="Garamond"/>
          <w:sz w:val="24"/>
          <w:sz w:val="24"/>
          <w:rtl w:val="true"/>
        </w:rPr>
        <w:t>גנה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עצמי</w:t>
      </w:r>
      <w:r>
        <w:rPr>
          <w:rFonts w:ascii="Garamond" w:hAnsi="Garamond" w:cs="Garamond"/>
          <w:sz w:val="24"/>
          <w:sz w:val="24"/>
          <w:rtl w:val="true"/>
        </w:rPr>
        <w:t>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צורך או כורח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לפי סעיפים </w:t>
      </w:r>
      <w:r>
        <w:rPr>
          <w:rFonts w:cs="Garamond" w:ascii="Garamond" w:hAnsi="Garamond"/>
          <w:sz w:val="24"/>
        </w:rPr>
        <w:t>34</w:t>
      </w:r>
      <w:r>
        <w:rPr>
          <w:rFonts w:ascii="Garamond" w:hAnsi="Garamond" w:cs="Garamond"/>
          <w:sz w:val="24"/>
          <w:sz w:val="24"/>
          <w:rtl w:val="true"/>
        </w:rPr>
        <w:t>י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cs="Garamond" w:ascii="Garamond" w:hAnsi="Garamond"/>
          <w:sz w:val="24"/>
        </w:rPr>
        <w:t>34</w:t>
      </w:r>
      <w:r>
        <w:rPr>
          <w:rFonts w:ascii="Garamond" w:hAnsi="Garamond" w:cs="Garamond"/>
          <w:sz w:val="24"/>
          <w:sz w:val="24"/>
          <w:rtl w:val="true"/>
        </w:rPr>
        <w:t xml:space="preserve">יא או </w:t>
      </w:r>
      <w:r>
        <w:rPr>
          <w:rFonts w:cs="Garamond" w:ascii="Garamond" w:hAnsi="Garamond"/>
          <w:sz w:val="24"/>
        </w:rPr>
        <w:t>34</w:t>
      </w:r>
      <w:r>
        <w:rPr>
          <w:rFonts w:ascii="Garamond" w:hAnsi="Garamond" w:cs="Garamond"/>
          <w:sz w:val="24"/>
          <w:sz w:val="24"/>
          <w:rtl w:val="true"/>
        </w:rPr>
        <w:t>יב</w:t>
      </w:r>
      <w:r>
        <w:rPr>
          <w:rFonts w:cs="Garamond" w:ascii="Garamond" w:hAnsi="Garamond"/>
          <w:sz w:val="24"/>
          <w:rtl w:val="true"/>
        </w:rPr>
        <w:t>.</w:t>
      </w:r>
    </w:p>
    <w:p>
      <w:pPr>
        <w:pStyle w:val="Ruller5"/>
        <w:ind w:end="1282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>ג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ascii="Garamond" w:hAnsi="Garamond" w:cs="Garamond"/>
          <w:sz w:val="24"/>
          <w:sz w:val="24"/>
          <w:rtl w:val="true"/>
        </w:rPr>
        <w:t>כשהנאשם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היה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נתון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במצב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של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מצוקה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נפשית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קשה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ע</w:t>
      </w:r>
      <w:r>
        <w:rPr>
          <w:rFonts w:ascii="Garamond" w:hAnsi="Garamond" w:cs="Garamond"/>
          <w:sz w:val="24"/>
          <w:sz w:val="24"/>
          <w:rtl w:val="true"/>
        </w:rPr>
        <w:t>קב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התעללות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חמורה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ומתמשכת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בו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או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בבן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משפחתו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בי</w:t>
      </w:r>
      <w:r>
        <w:rPr>
          <w:rFonts w:ascii="Garamond" w:hAnsi="Garamond" w:cs="Garamond"/>
          <w:sz w:val="24"/>
          <w:sz w:val="24"/>
          <w:rtl w:val="true"/>
        </w:rPr>
        <w:t>די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מי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שהנאשם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גרם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למות</w:t>
      </w:r>
      <w:r>
        <w:rPr>
          <w:rFonts w:ascii="Garamond" w:hAnsi="Garamond" w:cs="Garamond"/>
          <w:sz w:val="24"/>
          <w:sz w:val="24"/>
          <w:rtl w:val="true"/>
        </w:rPr>
        <w:t>ו</w:t>
      </w:r>
      <w:r>
        <w:rPr>
          <w:rFonts w:cs="Garamond" w:ascii="Garamond" w:hAnsi="Garamond"/>
          <w:sz w:val="24"/>
          <w:rtl w:val="true"/>
        </w:rPr>
        <w:t>."</w:t>
      </w:r>
    </w:p>
    <w:p>
      <w:pPr>
        <w:pStyle w:val="Ruller5"/>
        <w:ind w:end="1282"/>
        <w:jc w:val="both"/>
        <w:rPr/>
      </w:pPr>
      <w:r>
        <w:rPr>
          <w:rFonts w:cs="Garamond" w:ascii="Garamond" w:hAnsi="Garamond"/>
          <w:sz w:val="24"/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2457/98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שמן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/>
        <w:t>299-298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שמן</w:t>
      </w:r>
      <w:r>
        <w:rPr>
          <w:rtl w:val="true"/>
        </w:rPr>
        <w:t xml:space="preserve">); 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חבני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24.8.2015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חבני</w:t>
      </w:r>
      <w:r>
        <w:rPr>
          <w:rtl w:val="true"/>
        </w:rPr>
        <w:t>))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קבועה</w:t>
      </w:r>
      <w:r>
        <w:rPr>
          <w:rFonts w:eastAsia="Arial TUR;Arial" w:cs="Arial TUR;Arial"/>
          <w:rtl w:val="true"/>
        </w:rPr>
        <w:t xml:space="preserve"> </w:t>
      </w:r>
      <w:hyperlink r:id="rId93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hyperlink r:id="rId9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972</w:t>
      </w:r>
      <w:r>
        <w:rPr>
          <w:rtl w:val="true"/>
        </w:rPr>
        <w:t xml:space="preserve">, </w:t>
      </w:r>
      <w:r>
        <w:rPr/>
        <w:t>176-174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לרפורמה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מרזן</w:t>
      </w:r>
      <w:r>
        <w:rPr>
          <w:rtl w:val="true"/>
        </w:rPr>
        <w:t xml:space="preserve">, </w:t>
      </w:r>
      <w:r>
        <w:rPr>
          <w:rtl w:val="true"/>
        </w:rPr>
        <w:t>פס׳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 xml:space="preserve">).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ומצומצמים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9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.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חידוש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9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hyperlink r:id="rId9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"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</w:t>
      </w:r>
      <w:r>
        <w:rPr>
          <w:rtl w:val="true"/>
        </w:rPr>
        <w:tab/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מותירה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וטבעה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החדשה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פרק</w:t>
      </w:r>
      <w:r>
        <w:rPr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9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המהווה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מהמסגרת</w:t>
      </w:r>
      <w:r>
        <w:rPr>
          <w:rtl w:val="true"/>
        </w:rPr>
        <w:t xml:space="preserve"> </w:t>
      </w:r>
      <w:r>
        <w:rPr>
          <w:rtl w:val="true"/>
        </w:rPr>
        <w:t>הנורמטיבית</w:t>
      </w:r>
      <w:r>
        <w:rPr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hyperlink r:id="rId99">
        <w:r>
          <w:rPr>
            <w:rStyle w:val="Hyperlink"/>
            <w:rtl w:val="true"/>
          </w:rPr>
          <w:t>סימן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פרק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הסעיפים</w:t>
      </w:r>
      <w:r>
        <w:rPr>
          <w:rtl w:val="true"/>
        </w:rPr>
        <w:t xml:space="preserve"> </w:t>
      </w:r>
      <w:r>
        <w:rPr>
          <w:rtl w:val="true"/>
        </w:rPr>
        <w:t>שנחקקו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שמלמד</w:t>
      </w:r>
      <w:r>
        <w:rPr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הסימן</w:t>
      </w:r>
      <w:r>
        <w:rPr>
          <w:rtl w:val="true"/>
        </w:rPr>
        <w:t xml:space="preserve">, </w:t>
      </w:r>
      <w:r>
        <w:rPr>
          <w:rtl w:val="true"/>
        </w:rPr>
        <w:t>להבנות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להנחות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tl w:val="true"/>
        </w:rPr>
        <w:t>כיצד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 </w:t>
      </w:r>
      <w:r>
        <w:rPr>
          <w:rtl w:val="true"/>
        </w:rPr>
        <w:t>וההולם</w:t>
      </w:r>
      <w:r>
        <w:rPr>
          <w:rtl w:val="true"/>
        </w:rPr>
        <w:t xml:space="preserve"> </w:t>
      </w:r>
      <w:r>
        <w:rPr>
          <w:rtl w:val="true"/>
        </w:rPr>
        <w:t>בגבולות</w:t>
      </w:r>
      <w:r>
        <w:rPr>
          <w:rtl w:val="true"/>
        </w:rPr>
        <w:t xml:space="preserve"> </w:t>
      </w:r>
      <w:r>
        <w:rPr>
          <w:rtl w:val="true"/>
        </w:rPr>
        <w:t>הקבועים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ולהוביל</w:t>
      </w:r>
      <w:r>
        <w:rPr>
          <w:rtl w:val="true"/>
        </w:rPr>
        <w:t xml:space="preserve"> </w:t>
      </w:r>
      <w:r>
        <w:rPr>
          <w:rtl w:val="true"/>
        </w:rPr>
        <w:t>לצמצום</w:t>
      </w:r>
      <w:r>
        <w:rPr>
          <w:rtl w:val="true"/>
        </w:rPr>
        <w:t xml:space="preserve"> </w:t>
      </w:r>
      <w:r>
        <w:rPr>
          <w:rtl w:val="true"/>
        </w:rPr>
        <w:t>פערים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tl w:val="true"/>
        </w:rPr>
        <w:t xml:space="preserve"> </w:t>
      </w:r>
      <w:hyperlink r:id="rId10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>) (</w:t>
      </w:r>
      <w:r>
        <w:rPr>
          <w:rtl w:val="true"/>
        </w:rPr>
        <w:t>הבניית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),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241</w:t>
      </w:r>
      <w:r>
        <w:rPr>
          <w:rtl w:val="true"/>
        </w:rPr>
        <w:t xml:space="preserve">, </w:t>
      </w:r>
      <w:r>
        <w:rPr/>
        <w:t>446</w:t>
      </w:r>
      <w:r>
        <w:rPr>
          <w:rtl w:val="true"/>
        </w:rPr>
        <w:t xml:space="preserve">; </w:t>
      </w:r>
      <w:hyperlink r:id="rId10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5.8.2013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</w:t>
      </w:r>
      <w:r>
        <w:rPr>
          <w:rtl w:val="true"/>
        </w:rPr>
        <w:t xml:space="preserve">)).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הבהירות</w:t>
      </w:r>
      <w:r>
        <w:rPr>
          <w:rtl w:val="true"/>
        </w:rPr>
        <w:t xml:space="preserve">, </w:t>
      </w:r>
      <w:r>
        <w:rPr>
          <w:rtl w:val="true"/>
        </w:rPr>
        <w:t>נביא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הסעיפים</w:t>
      </w:r>
      <w:r>
        <w:rPr>
          <w:rtl w:val="true"/>
        </w:rPr>
        <w:t xml:space="preserve"> </w:t>
      </w:r>
      <w:r>
        <w:rPr>
          <w:rtl w:val="true"/>
        </w:rPr>
        <w:t>החשובים</w:t>
      </w:r>
      <w:r>
        <w:rPr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 </w:t>
      </w:r>
      <w:r>
        <w:rPr>
          <w:rtl w:val="true"/>
        </w:rPr>
        <w:t>כלשונם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hyperlink r:id="rId10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מטרה</w:t>
      </w:r>
      <w:r>
        <w:rPr>
          <w:rtl w:val="true"/>
        </w:rPr>
        <w:t xml:space="preserve">", </w:t>
      </w:r>
      <w:r>
        <w:rPr>
          <w:rtl w:val="true"/>
        </w:rPr>
        <w:t>קובע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מטרתו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hyperlink r:id="rId10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הלימה</w:t>
      </w:r>
      <w:r>
        <w:rPr>
          <w:rtl w:val="true"/>
        </w:rPr>
        <w:t xml:space="preserve">",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>).</w:t>
      </w:r>
      <w:r>
        <w:rPr>
          <w:rtl w:val="true"/>
        </w:rPr>
        <w:t>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hyperlink r:id="rId10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",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>יא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hyperlink r:id="rId105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ז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ובאכסניה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hyperlink r:id="rId10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ז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",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hyperlink r:id="rId10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; </w:t>
      </w:r>
      <w:hyperlink r:id="rId108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</w:t>
      </w: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: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 (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hyperlink r:id="rId1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והשלב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 "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סעד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מצוידים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, </w:t>
      </w:r>
      <w:r>
        <w:rPr>
          <w:rtl w:val="true"/>
        </w:rPr>
        <w:t>נשוב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שלפתחנו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כהגדרתה</w:t>
      </w:r>
      <w:r>
        <w:rPr>
          <w:rtl w:val="true"/>
        </w:rPr>
        <w:t xml:space="preserve"> </w:t>
      </w:r>
      <w:hyperlink r:id="rId11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גרימה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tl w:val="true"/>
        </w:rPr>
        <w:t xml:space="preserve"> </w:t>
      </w:r>
      <w:r>
        <w:rPr>
          <w:rtl w:val="true"/>
        </w:rPr>
        <w:t>שהתקיימה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מהנסיבות</w:t>
      </w:r>
      <w:r>
        <w:rPr>
          <w:rtl w:val="true"/>
        </w:rPr>
        <w:t xml:space="preserve"> </w:t>
      </w:r>
      <w:r>
        <w:rPr>
          <w:rtl w:val="true"/>
        </w:rPr>
        <w:t>המחמירות</w:t>
      </w:r>
      <w:r>
        <w:rPr>
          <w:rtl w:val="true"/>
        </w:rPr>
        <w:t xml:space="preserve"> </w:t>
      </w:r>
      <w:r>
        <w:rPr>
          <w:rtl w:val="true"/>
        </w:rPr>
        <w:t>מהרשימה</w:t>
      </w:r>
      <w:r>
        <w:rPr>
          <w:rtl w:val="true"/>
        </w:rPr>
        <w:t xml:space="preserve"> </w:t>
      </w:r>
      <w:r>
        <w:rPr>
          <w:rtl w:val="true"/>
        </w:rPr>
        <w:t>הסגורה</w:t>
      </w:r>
      <w:r>
        <w:rPr>
          <w:rtl w:val="true"/>
        </w:rPr>
        <w:t xml:space="preserve"> </w:t>
      </w:r>
      <w:r>
        <w:rPr>
          <w:rtl w:val="true"/>
        </w:rPr>
        <w:t>המצויה</w:t>
      </w:r>
      <w:r>
        <w:rPr>
          <w:rtl w:val="true"/>
        </w:rPr>
        <w:t xml:space="preserve"> </w:t>
      </w:r>
      <w:hyperlink r:id="rId11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רשאי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התקיימה</w:t>
      </w:r>
      <w:r>
        <w:rPr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 </w:t>
      </w:r>
      <w:r>
        <w:rPr>
          <w:rtl w:val="true"/>
        </w:rPr>
        <w:t>חייב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להמשיך</w:t>
      </w:r>
      <w:r>
        <w:rPr>
          <w:rtl w:val="true"/>
        </w:rPr>
        <w:t xml:space="preserve"> </w:t>
      </w:r>
      <w:r>
        <w:rPr>
          <w:rtl w:val="true"/>
        </w:rPr>
        <w:t>לשמש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לגזירת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גורסת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>: "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המרבי</w:t>
      </w:r>
      <w:r>
        <w:rPr>
          <w:rtl w:val="true"/>
        </w:rPr>
        <w:t xml:space="preserve"> </w:t>
      </w:r>
      <w:r>
        <w:rPr>
          <w:rtl w:val="true"/>
        </w:rPr>
        <w:t>הקבוע</w:t>
      </w:r>
      <w:r>
        <w:rPr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מצאתי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תזת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" </w:t>
      </w:r>
      <w:r>
        <w:rPr>
          <w:rtl w:val="true"/>
        </w:rPr>
        <w:t>הכללית</w:t>
      </w:r>
      <w:r>
        <w:rPr>
          <w:rtl w:val="true"/>
        </w:rPr>
        <w:t xml:space="preserve"> </w:t>
      </w:r>
      <w:r>
        <w:rPr>
          <w:rtl w:val="true"/>
        </w:rPr>
        <w:t>שמציגה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התקיימה</w:t>
      </w:r>
      <w:r>
        <w:rPr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חייב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למעט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קשיים</w:t>
      </w:r>
      <w:r>
        <w:rPr>
          <w:rtl w:val="true"/>
        </w:rPr>
        <w:t xml:space="preserve">. </w:t>
      </w:r>
      <w:r>
        <w:rPr>
          <w:rtl w:val="true"/>
        </w:rPr>
        <w:t>בראש</w:t>
      </w:r>
      <w:r>
        <w:rPr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תזת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מעוגנת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hyperlink r:id="rId1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נוקט</w:t>
      </w:r>
      <w:r>
        <w:rPr>
          <w:rtl w:val="true"/>
        </w:rPr>
        <w:t xml:space="preserve"> </w:t>
      </w:r>
      <w:r>
        <w:rPr>
          <w:rtl w:val="true"/>
        </w:rPr>
        <w:t>לשון</w:t>
      </w:r>
      <w:r>
        <w:rPr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: </w:t>
      </w:r>
      <w:r>
        <w:rPr>
          <w:rtl w:val="true"/>
        </w:rPr>
        <w:t>״דינו</w:t>
      </w:r>
      <w:r>
        <w:rPr>
          <w:rtl w:val="true"/>
        </w:rPr>
        <w:t xml:space="preserve"> –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עולם״</w:t>
      </w:r>
      <w:r>
        <w:rPr>
          <w:rtl w:val="true"/>
        </w:rPr>
        <w:t xml:space="preserve">. </w:t>
      </w:r>
      <w:r>
        <w:rPr>
          <w:rtl w:val="true"/>
        </w:rPr>
        <w:t>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 </w:t>
      </w:r>
      <w:r>
        <w:rPr>
          <w:rtl w:val="true"/>
        </w:rPr>
        <w:t>נוקט</w:t>
      </w:r>
      <w:r>
        <w:rPr>
          <w:rtl w:val="true"/>
        </w:rPr>
        <w:t xml:space="preserve"> </w:t>
      </w:r>
      <w:r>
        <w:rPr>
          <w:rtl w:val="true"/>
        </w:rPr>
        <w:t>לשון</w:t>
      </w:r>
      <w:r>
        <w:rPr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ולשון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מתייחסת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hyperlink r:id="rId1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המקסימום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כעונש</w:t>
      </w:r>
      <w:r>
        <w:rPr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נחקק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שתכליתו</w:t>
      </w:r>
      <w:r>
        <w:rPr>
          <w:rtl w:val="true"/>
        </w:rPr>
        <w:t xml:space="preserve"> </w:t>
      </w:r>
      <w:r>
        <w:rPr>
          <w:rtl w:val="true"/>
        </w:rPr>
        <w:t>לפרש</w:t>
      </w:r>
      <w:r>
        <w:rPr>
          <w:rtl w:val="true"/>
        </w:rPr>
        <w:t xml:space="preserve"> </w:t>
      </w:r>
      <w:r>
        <w:rPr>
          <w:rtl w:val="true"/>
        </w:rPr>
        <w:t>תיבה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רשאי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קצובה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תעלה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שלושים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סעיפי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מתייחסים</w:t>
      </w:r>
      <w:r>
        <w:rPr>
          <w:rtl w:val="true"/>
        </w:rPr>
        <w:t xml:space="preserve"> </w:t>
      </w:r>
      <w:r>
        <w:rPr>
          <w:rtl w:val="true"/>
        </w:rPr>
        <w:t>לטיבו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 </w:t>
      </w:r>
      <w:r>
        <w:rPr>
          <w:rtl w:val="true"/>
        </w:rPr>
        <w:t>להנחות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מסקנה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היסק</w:t>
      </w:r>
      <w:r>
        <w:rPr>
          <w:rtl w:val="true"/>
        </w:rPr>
        <w:t xml:space="preserve"> </w:t>
      </w:r>
      <w:r>
        <w:rPr>
          <w:rtl w:val="true"/>
        </w:rPr>
        <w:t>לוגי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 </w:t>
      </w:r>
      <w:r>
        <w:rPr>
          <w:rtl w:val="true"/>
        </w:rPr>
        <w:t>שכתוב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. </w:t>
      </w:r>
      <w:r>
        <w:rPr>
          <w:rtl w:val="true"/>
        </w:rPr>
        <w:t>בהצעת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 </w:t>
      </w:r>
      <w:r>
        <w:rPr>
          <w:rtl w:val="true"/>
        </w:rPr>
        <w:t>מפורשות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המטרה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לאפשר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גמישות</w:t>
      </w:r>
      <w:r>
        <w:rPr>
          <w:rtl w:val="true"/>
        </w:rPr>
        <w:t xml:space="preserve"> </w:t>
      </w:r>
      <w:r>
        <w:rPr>
          <w:rtl w:val="true"/>
        </w:rPr>
        <w:t>בהפעלת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 </w:t>
      </w:r>
      <w:r>
        <w:rPr>
          <w:rtl w:val="true"/>
        </w:rPr>
        <w:t>בגזירת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, </w:t>
      </w:r>
      <w:r>
        <w:rPr>
          <w:rtl w:val="true"/>
        </w:rPr>
        <w:t>בעמ׳</w:t>
      </w:r>
      <w:r>
        <w:rPr>
          <w:rtl w:val="true"/>
        </w:rPr>
        <w:t xml:space="preserve"> </w:t>
      </w:r>
      <w:r>
        <w:rPr/>
        <w:t>170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נרחיב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האפשרות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 </w:t>
      </w:r>
      <w:r>
        <w:rPr>
          <w:rtl w:val="true"/>
        </w:rPr>
        <w:t>כעונש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שהמחוקק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שמראים</w:t>
      </w:r>
      <w:r>
        <w:rPr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ההצעה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מודל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עלתה</w:t>
      </w:r>
      <w:r>
        <w:rPr>
          <w:rtl w:val="true"/>
        </w:rPr>
        <w:t xml:space="preserve"> </w:t>
      </w:r>
      <w:r>
        <w:rPr>
          <w:rtl w:val="true"/>
        </w:rPr>
        <w:t>בדיוני</w:t>
      </w:r>
      <w:r>
        <w:rPr>
          <w:rtl w:val="true"/>
        </w:rPr>
        <w:t xml:space="preserve"> </w:t>
      </w:r>
      <w:r>
        <w:rPr>
          <w:rtl w:val="true"/>
        </w:rPr>
        <w:t>הצוות</w:t>
      </w:r>
      <w:r>
        <w:rPr>
          <w:rtl w:val="true"/>
        </w:rPr>
        <w:t xml:space="preserve"> </w:t>
      </w:r>
      <w:r>
        <w:rPr>
          <w:rtl w:val="true"/>
        </w:rPr>
        <w:t>שמונה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שר</w:t>
      </w:r>
      <w:r>
        <w:rPr>
          <w:rtl w:val="true"/>
        </w:rPr>
        <w:t xml:space="preserve"> </w:t>
      </w:r>
      <w:r>
        <w:rPr>
          <w:rtl w:val="true"/>
        </w:rPr>
        <w:t>המשפטים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>יסודות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שעבודתו</w:t>
      </w:r>
      <w:r>
        <w:rPr>
          <w:rtl w:val="true"/>
        </w:rPr>
        <w:t xml:space="preserve"> </w:t>
      </w:r>
      <w:r>
        <w:rPr>
          <w:rtl w:val="true"/>
        </w:rPr>
        <w:t>היוותה</w:t>
      </w:r>
      <w:r>
        <w:rPr>
          <w:rtl w:val="true"/>
        </w:rPr>
        <w:t xml:space="preserve"> </w:t>
      </w:r>
      <w:r>
        <w:rPr>
          <w:rtl w:val="true"/>
        </w:rPr>
        <w:t>תשתית</w:t>
      </w:r>
      <w:r>
        <w:rPr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. </w:t>
      </w:r>
      <w:r>
        <w:rPr>
          <w:rtl w:val="true"/>
        </w:rPr>
        <w:t>בדו״ח</w:t>
      </w:r>
      <w:r>
        <w:rPr>
          <w:rtl w:val="true"/>
        </w:rPr>
        <w:t xml:space="preserve"> </w:t>
      </w:r>
      <w:r>
        <w:rPr>
          <w:rtl w:val="true"/>
        </w:rPr>
        <w:t>הצוות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האפשרות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 </w:t>
      </w:r>
      <w:r>
        <w:rPr>
          <w:rtl w:val="true"/>
        </w:rPr>
        <w:t>נדונה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הוחלט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להציע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הצוות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>יסודות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וחשבון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דו״ח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tl w:val="true"/>
        </w:rPr>
        <w:t xml:space="preserve">)).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מודל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נשקל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חקיקת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היווה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מהצעת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 </w:t>
      </w:r>
      <w:r>
        <w:rPr>
          <w:rtl w:val="true"/>
        </w:rPr>
        <w:t>להצבעה</w:t>
      </w:r>
      <w:r>
        <w:rPr>
          <w:rtl w:val="true"/>
        </w:rPr>
        <w:t xml:space="preserve"> </w:t>
      </w:r>
      <w:r>
        <w:rPr>
          <w:rtl w:val="true"/>
        </w:rPr>
        <w:t>במליאת</w:t>
      </w:r>
      <w:r>
        <w:rPr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שעורר</w:t>
      </w:r>
      <w:r>
        <w:rPr>
          <w:rtl w:val="true"/>
        </w:rPr>
        <w:t xml:space="preserve"> </w:t>
      </w:r>
      <w:r>
        <w:rPr>
          <w:rtl w:val="true"/>
        </w:rPr>
        <w:t>ביקורות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>) (</w:t>
      </w:r>
      <w:r>
        <w:rPr>
          <w:rtl w:val="true"/>
        </w:rPr>
        <w:t>הבניית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), </w:t>
      </w:r>
      <w:r>
        <w:rPr>
          <w:rtl w:val="true"/>
        </w:rPr>
        <w:t>תשס״ו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ה״ח</w:t>
      </w:r>
      <w:r>
        <w:rPr>
          <w:rtl w:val="true"/>
        </w:rPr>
        <w:t xml:space="preserve"> </w:t>
      </w:r>
      <w:r>
        <w:rPr/>
        <w:t>241</w:t>
      </w:r>
      <w:r>
        <w:rPr>
          <w:rtl w:val="true"/>
        </w:rPr>
        <w:t xml:space="preserve">; </w:t>
      </w:r>
      <w:r>
        <w:rPr>
          <w:rtl w:val="true"/>
        </w:rPr>
        <w:t>עמי</w:t>
      </w:r>
      <w:r>
        <w:rPr>
          <w:rtl w:val="true"/>
        </w:rPr>
        <w:t xml:space="preserve"> </w:t>
      </w:r>
      <w:r>
        <w:rPr>
          <w:rtl w:val="true"/>
        </w:rPr>
        <w:t>קובו</w:t>
      </w:r>
      <w:r>
        <w:rPr>
          <w:rtl w:val="true"/>
        </w:rPr>
        <w:t xml:space="preserve"> </w:t>
      </w:r>
      <w:r>
        <w:rPr>
          <w:rtl w:val="true"/>
        </w:rPr>
        <w:t>״פירוש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r>
        <w:rPr>
          <w:rtl w:val="true"/>
        </w:rPr>
        <w:t>מס׳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הבניית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בענישה״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הסניגור</w:t>
      </w:r>
      <w:r>
        <w:rPr>
          <w:rtl w:val="true"/>
        </w:rPr>
        <w:t xml:space="preserve"> </w:t>
      </w:r>
      <w:r>
        <w:rPr/>
        <w:t>183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2012</w:t>
      </w:r>
      <w:r>
        <w:rPr>
          <w:rtl w:val="true"/>
        </w:rPr>
        <w:t xml:space="preserve">); </w:t>
      </w:r>
      <w:r>
        <w:rPr>
          <w:rtl w:val="true"/>
        </w:rPr>
        <w:t>סיגל</w:t>
      </w:r>
      <w:r>
        <w:rPr>
          <w:rtl w:val="true"/>
        </w:rPr>
        <w:t xml:space="preserve"> </w:t>
      </w:r>
      <w:r>
        <w:rPr>
          <w:rtl w:val="true"/>
        </w:rPr>
        <w:t>קוגוט</w:t>
      </w:r>
      <w:r>
        <w:rPr>
          <w:rtl w:val="true"/>
        </w:rPr>
        <w:t xml:space="preserve">, </w:t>
      </w:r>
      <w:r>
        <w:rPr>
          <w:rtl w:val="true"/>
        </w:rPr>
        <w:t>אפרת</w:t>
      </w:r>
      <w:r>
        <w:rPr>
          <w:rtl w:val="true"/>
        </w:rPr>
        <w:t xml:space="preserve"> </w:t>
      </w:r>
      <w:r>
        <w:rPr>
          <w:rtl w:val="true"/>
        </w:rPr>
        <w:t>חקאק</w:t>
      </w:r>
      <w:r>
        <w:rPr>
          <w:rtl w:val="true"/>
        </w:rPr>
        <w:t xml:space="preserve"> </w:t>
      </w:r>
      <w:r>
        <w:rPr>
          <w:rtl w:val="true"/>
        </w:rPr>
        <w:t>ואיתמר</w:t>
      </w:r>
      <w:r>
        <w:rPr>
          <w:rtl w:val="true"/>
        </w:rPr>
        <w:t xml:space="preserve"> </w:t>
      </w:r>
      <w:hyperlink r:id="rId121">
        <w:r>
          <w:rPr>
            <w:rStyle w:val="Hyperlink"/>
            <w:color w:val="0000FF"/>
            <w:u w:val="single"/>
            <w:rtl w:val="true"/>
          </w:rPr>
          <w:t>גלבפיש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״מי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מפחד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מהבניית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שיקול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?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ותיקון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>״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ואתגרים</w:t>
      </w:r>
      <w:r>
        <w:rPr>
          <w:rtl w:val="true"/>
        </w:rPr>
        <w:t xml:space="preserve"> </w:t>
      </w:r>
      <w:r>
        <w:rPr/>
        <w:t>267</w:t>
      </w:r>
      <w:r>
        <w:rPr>
          <w:rtl w:val="true"/>
        </w:rPr>
        <w:t xml:space="preserve">, </w:t>
      </w:r>
      <w:r>
        <w:rPr/>
        <w:t>268</w:t>
      </w:r>
      <w:r>
        <w:rPr>
          <w:rtl w:val="true"/>
        </w:rPr>
        <w:t xml:space="preserve">, </w:t>
      </w:r>
      <w:r>
        <w:rPr/>
        <w:t>276</w:t>
      </w:r>
      <w:r>
        <w:rPr>
          <w:rtl w:val="true"/>
        </w:rPr>
        <w:t xml:space="preserve"> (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חברה</w:t>
      </w:r>
      <w:r>
        <w:rPr>
          <w:rtl w:val="true"/>
        </w:rPr>
        <w:t xml:space="preserve"> </w:t>
      </w:r>
      <w:r>
        <w:rPr>
          <w:rtl w:val="true"/>
        </w:rPr>
        <w:t>ותרבות</w:t>
      </w:r>
      <w:r>
        <w:rPr>
          <w:rtl w:val="true"/>
        </w:rPr>
        <w:t xml:space="preserve">, </w:t>
      </w:r>
      <w:r>
        <w:rPr>
          <w:rtl w:val="true"/>
        </w:rPr>
        <w:t>אלון</w:t>
      </w:r>
      <w:r>
        <w:rPr>
          <w:rtl w:val="true"/>
        </w:rPr>
        <w:t xml:space="preserve"> </w:t>
      </w:r>
      <w:r>
        <w:rPr>
          <w:rtl w:val="true"/>
        </w:rPr>
        <w:t>הראל</w:t>
      </w:r>
      <w:r>
        <w:rPr>
          <w:rtl w:val="true"/>
        </w:rPr>
        <w:t xml:space="preserve"> </w:t>
      </w:r>
      <w:r>
        <w:rPr>
          <w:rtl w:val="true"/>
        </w:rPr>
        <w:t>עורך</w:t>
      </w:r>
      <w:r>
        <w:rPr>
          <w:rtl w:val="true"/>
        </w:rPr>
        <w:t xml:space="preserve">, </w:t>
      </w:r>
      <w:r>
        <w:rPr/>
        <w:t>2017</w:t>
      </w:r>
      <w:r>
        <w:rPr>
          <w:rtl w:val="true"/>
        </w:rPr>
        <w:t xml:space="preserve">)).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האפשרות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כעונש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נעלמה</w:t>
      </w:r>
      <w:r>
        <w:rPr>
          <w:rtl w:val="true"/>
        </w:rPr>
        <w:t xml:space="preserve"> </w:t>
      </w:r>
      <w:r>
        <w:rPr>
          <w:rtl w:val="true"/>
        </w:rPr>
        <w:t>מעיניו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ברפורמה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>
          <w:rtl w:val="true"/>
        </w:rPr>
        <w:t>ייעודי</w:t>
      </w:r>
      <w:r>
        <w:rPr>
          <w:rtl w:val="true"/>
        </w:rPr>
        <w:t xml:space="preserve"> </w:t>
      </w:r>
      <w:r>
        <w:rPr>
          <w:rtl w:val="true"/>
        </w:rPr>
        <w:t>המתייחס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– </w:t>
      </w:r>
      <w:hyperlink r:id="rId1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–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 </w:t>
      </w:r>
      <w:r>
        <w:rPr>
          <w:rtl w:val="true"/>
        </w:rPr>
        <w:t>לתזה</w:t>
      </w:r>
      <w:r>
        <w:rPr>
          <w:rtl w:val="true"/>
        </w:rPr>
        <w:t xml:space="preserve"> </w:t>
      </w:r>
      <w:r>
        <w:rPr>
          <w:rtl w:val="true"/>
        </w:rPr>
        <w:t>הפרשנית</w:t>
      </w:r>
      <w:r>
        <w:rPr>
          <w:rtl w:val="true"/>
        </w:rPr>
        <w:t xml:space="preserve"> </w:t>
      </w:r>
      <w:r>
        <w:rPr>
          <w:rtl w:val="true"/>
        </w:rPr>
        <w:t>שלפיה</w:t>
      </w:r>
      <w:r>
        <w:rPr>
          <w:rtl w:val="true"/>
        </w:rPr>
        <w:t xml:space="preserve"> </w:t>
      </w:r>
      <w:r>
        <w:rPr>
          <w:rtl w:val="true"/>
        </w:rPr>
        <w:t>זהו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 </w:t>
      </w:r>
      <w:r>
        <w:rPr>
          <w:rtl w:val="true"/>
        </w:rPr>
        <w:t>לנוכח</w:t>
      </w:r>
      <w:r>
        <w:rPr>
          <w:rtl w:val="true"/>
        </w:rPr>
        <w:t xml:space="preserve"> </w:t>
      </w:r>
      <w:r>
        <w:rPr>
          <w:rtl w:val="true"/>
        </w:rPr>
        <w:t>המאטריה</w:t>
      </w:r>
      <w:r>
        <w:rPr>
          <w:rtl w:val="true"/>
        </w:rPr>
        <w:t xml:space="preserve"> </w:t>
      </w:r>
      <w:r>
        <w:rPr>
          <w:rtl w:val="true"/>
        </w:rPr>
        <w:t>הרגישה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 </w:t>
      </w:r>
      <w:r>
        <w:rPr>
          <w:rtl w:val="true"/>
        </w:rPr>
        <w:t>וההשלכות</w:t>
      </w:r>
      <w:r>
        <w:rPr>
          <w:rtl w:val="true"/>
        </w:rPr>
        <w:t xml:space="preserve"> </w:t>
      </w:r>
      <w:r>
        <w:rPr>
          <w:rtl w:val="true"/>
        </w:rPr>
        <w:t>המשמעותיות</w:t>
      </w:r>
      <w:r>
        <w:rPr>
          <w:rtl w:val="true"/>
        </w:rPr>
        <w:t xml:space="preserve"> </w:t>
      </w:r>
      <w:r>
        <w:rPr>
          <w:rtl w:val="true"/>
        </w:rPr>
        <w:t>שיכולות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יקבל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עמדת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ויקבע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פרשני</w:t>
      </w:r>
      <w:r>
        <w:rPr>
          <w:rtl w:val="true"/>
        </w:rPr>
        <w:t>-</w:t>
      </w:r>
      <w:r>
        <w:rPr>
          <w:rtl w:val="true"/>
        </w:rPr>
        <w:t>שיפוטי</w:t>
      </w:r>
      <w:r>
        <w:rPr>
          <w:rtl w:val="true"/>
        </w:rPr>
        <w:t xml:space="preserve"> </w:t>
      </w:r>
      <w:r>
        <w:rPr>
          <w:rtl w:val="true"/>
        </w:rPr>
        <w:t>שלפיו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יצוין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tl w:val="true"/>
        </w:rPr>
        <w:t xml:space="preserve"> </w:t>
      </w:r>
      <w:r>
        <w:rPr>
          <w:rtl w:val="true"/>
        </w:rPr>
        <w:t>שלפיה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המרבי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נתקבלה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בדונו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1456/01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609</w:t>
      </w:r>
      <w:r>
        <w:rPr>
          <w:rtl w:val="true"/>
        </w:rPr>
        <w:t xml:space="preserve">, </w:t>
      </w:r>
      <w:r>
        <w:rPr/>
        <w:t>614-613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חדד</w:t>
      </w:r>
      <w:r>
        <w:rPr>
          <w:rtl w:val="true"/>
        </w:rPr>
        <w:t xml:space="preserve">); </w:t>
      </w:r>
      <w:hyperlink r:id="rId1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ופסק</w:t>
      </w:r>
      <w:r>
        <w:rPr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26.8.2021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מעניין</w:t>
      </w:r>
      <w:r>
        <w:rPr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מזערי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לעבירות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אפשרות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tl w:val="true"/>
        </w:rPr>
        <w:t xml:space="preserve"> </w:t>
      </w:r>
      <w:r>
        <w:rPr>
          <w:rtl w:val="true"/>
        </w:rPr>
        <w:t>לאפשרות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נעלמה</w:t>
      </w:r>
      <w:r>
        <w:rPr>
          <w:rtl w:val="true"/>
        </w:rPr>
        <w:t xml:space="preserve"> </w:t>
      </w:r>
      <w:r>
        <w:rPr>
          <w:rtl w:val="true"/>
        </w:rPr>
        <w:t>מעיני</w:t>
      </w:r>
      <w:r>
        <w:rPr>
          <w:rtl w:val="true"/>
        </w:rPr>
        <w:t xml:space="preserve"> </w:t>
      </w:r>
      <w:r>
        <w:rPr>
          <w:rtl w:val="true"/>
        </w:rPr>
        <w:t>הצוות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>יסודות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הוצעה</w:t>
      </w:r>
      <w:r>
        <w:rPr>
          <w:rtl w:val="true"/>
        </w:rPr>
        <w:t xml:space="preserve"> </w:t>
      </w:r>
      <w:r>
        <w:rPr>
          <w:rtl w:val="true"/>
        </w:rPr>
        <w:t>בסופו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בדו״ח</w:t>
      </w:r>
      <w:r>
        <w:rPr>
          <w:rtl w:val="true"/>
        </w:rPr>
        <w:t xml:space="preserve"> </w:t>
      </w:r>
      <w:r>
        <w:rPr>
          <w:rtl w:val="true"/>
        </w:rPr>
        <w:t>הצוות</w:t>
      </w:r>
      <w:r>
        <w:rPr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כנימוק</w:t>
      </w:r>
      <w:r>
        <w:rPr>
          <w:rtl w:val="true"/>
        </w:rPr>
        <w:t xml:space="preserve"> </w:t>
      </w:r>
      <w:r>
        <w:rPr>
          <w:rtl w:val="true"/>
        </w:rPr>
        <w:t>להסתייגות</w:t>
      </w:r>
      <w:r>
        <w:rPr>
          <w:rtl w:val="true"/>
        </w:rPr>
        <w:t xml:space="preserve"> </w:t>
      </w:r>
      <w:r>
        <w:rPr>
          <w:rtl w:val="true"/>
        </w:rPr>
        <w:t>מאפשרות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 </w:t>
      </w:r>
      <w:r>
        <w:rPr>
          <w:rtl w:val="true"/>
        </w:rPr>
        <w:t>נטייה</w:t>
      </w:r>
      <w:r>
        <w:rPr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קרובים</w:t>
      </w:r>
      <w:r>
        <w:rPr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המינימום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tl w:val="true"/>
        </w:rPr>
        <w:t xml:space="preserve"> </w:t>
      </w:r>
      <w:r>
        <w:rPr>
          <w:rtl w:val="true"/>
        </w:rPr>
        <w:t>תיצור</w:t>
      </w:r>
      <w:r>
        <w:rPr>
          <w:rtl w:val="true"/>
        </w:rPr>
        <w:t xml:space="preserve"> </w:t>
      </w:r>
      <w:r>
        <w:rPr>
          <w:rtl w:val="true"/>
        </w:rPr>
        <w:t>מצב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רצוי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 </w:t>
      </w:r>
      <w:r>
        <w:rPr>
          <w:rtl w:val="true"/>
        </w:rPr>
        <w:t>חשש</w:t>
      </w:r>
      <w:r>
        <w:rPr>
          <w:rtl w:val="true"/>
        </w:rPr>
        <w:t xml:space="preserve"> </w:t>
      </w:r>
      <w:r>
        <w:rPr>
          <w:rtl w:val="true"/>
        </w:rPr>
        <w:t>שלנוכח</w:t>
      </w:r>
      <w:r>
        <w:rPr>
          <w:rtl w:val="true"/>
        </w:rPr>
        <w:t xml:space="preserve"> </w:t>
      </w:r>
      <w:r>
        <w:rPr>
          <w:rtl w:val="true"/>
        </w:rPr>
        <w:t>נטייה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ייקבעו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 </w:t>
      </w:r>
      <w:r>
        <w:rPr>
          <w:rtl w:val="true"/>
        </w:rPr>
        <w:t>מינימום</w:t>
      </w:r>
      <w:r>
        <w:rPr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שיוביל</w:t>
      </w:r>
      <w:r>
        <w:rPr>
          <w:rtl w:val="true"/>
        </w:rPr>
        <w:t xml:space="preserve"> </w:t>
      </w:r>
      <w:r>
        <w:rPr>
          <w:rtl w:val="true"/>
        </w:rPr>
        <w:t>לתוצאה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רצויה</w:t>
      </w:r>
      <w:r>
        <w:rPr>
          <w:rtl w:val="true"/>
        </w:rPr>
        <w:t xml:space="preserve"> </w:t>
      </w:r>
      <w:r>
        <w:rPr>
          <w:rtl w:val="true"/>
        </w:rPr>
        <w:t>הפוכה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בעמ׳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). </w:t>
      </w:r>
      <w:r>
        <w:rPr>
          <w:rtl w:val="true"/>
        </w:rPr>
        <w:t>הרלוונטיות</w:t>
      </w:r>
      <w:r>
        <w:rPr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tl w:val="true"/>
        </w:rPr>
        <w:t xml:space="preserve"> </w:t>
      </w:r>
      <w:r>
        <w:rPr>
          <w:rtl w:val="true"/>
        </w:rPr>
        <w:t>שהוקנה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בבואו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 xml:space="preserve"> </w:t>
      </w:r>
      <w:r>
        <w:rPr>
          <w:rtl w:val="true"/>
        </w:rPr>
        <w:t>מקביעת</w:t>
      </w:r>
      <w:r>
        <w:rPr>
          <w:rtl w:val="true"/>
        </w:rPr>
        <w:t xml:space="preserve"> </w:t>
      </w:r>
      <w:r>
        <w:rPr>
          <w:rtl w:val="true"/>
        </w:rPr>
        <w:t>כללים</w:t>
      </w:r>
      <w:r>
        <w:rPr>
          <w:rtl w:val="true"/>
        </w:rPr>
        <w:t xml:space="preserve"> </w:t>
      </w:r>
      <w:r>
        <w:rPr>
          <w:rtl w:val="true"/>
        </w:rPr>
        <w:t>מחייבים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אופן</w:t>
      </w:r>
      <w:r>
        <w:rPr>
          <w:rtl w:val="true"/>
        </w:rPr>
        <w:t xml:space="preserve"> </w:t>
      </w:r>
      <w:r>
        <w:rPr>
          <w:rtl w:val="true"/>
        </w:rPr>
        <w:t>הפעלת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. </w:t>
      </w:r>
      <w:r>
        <w:rPr>
          <w:rtl w:val="true"/>
        </w:rPr>
        <w:t>ניסוחה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טענת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–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חייב</w:t>
      </w:r>
      <w:r>
        <w:rPr>
          <w:rtl w:val="true"/>
        </w:rPr>
        <w:t xml:space="preserve"> </w:t>
      </w:r>
      <w:r>
        <w:rPr>
          <w:rtl w:val="true"/>
        </w:rPr>
        <w:t>״להמשיך</w:t>
      </w:r>
      <w:r>
        <w:rPr>
          <w:rtl w:val="true"/>
        </w:rPr>
        <w:t xml:space="preserve"> </w:t>
      </w:r>
      <w:r>
        <w:rPr>
          <w:rtl w:val="true"/>
        </w:rPr>
        <w:t>לשמש״</w:t>
      </w:r>
      <w:r>
        <w:rPr>
          <w:rtl w:val="true"/>
        </w:rPr>
        <w:t xml:space="preserve"> </w:t>
      </w:r>
      <w:r>
        <w:rPr>
          <w:rtl w:val="true"/>
        </w:rPr>
        <w:t>נקודת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התקיימה</w:t>
      </w:r>
      <w:r>
        <w:rPr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 – </w:t>
      </w:r>
      <w:r>
        <w:rPr>
          <w:rtl w:val="true"/>
        </w:rPr>
        <w:t>מלמד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מושתתת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בנוסחו</w:t>
      </w:r>
      <w:r>
        <w:rPr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סומכת</w:t>
      </w:r>
      <w:r>
        <w:rPr>
          <w:rtl w:val="true"/>
        </w:rPr>
        <w:t xml:space="preserve"> </w:t>
      </w:r>
      <w:r>
        <w:rPr>
          <w:rtl w:val="true"/>
        </w:rPr>
        <w:t>טענתה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ההצדקה</w:t>
      </w:r>
      <w:r>
        <w:rPr>
          <w:rtl w:val="true"/>
        </w:rPr>
        <w:t xml:space="preserve"> </w:t>
      </w:r>
      <w:r>
        <w:rPr>
          <w:rtl w:val="true"/>
        </w:rPr>
        <w:t>הערכית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בנוסחה</w:t>
      </w:r>
      <w:r>
        <w:rPr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296</w:t>
      </w:r>
      <w:r>
        <w:rPr>
          <w:rtl w:val="true"/>
        </w:rPr>
        <w:t xml:space="preserve">; </w:t>
      </w:r>
      <w:hyperlink r:id="rId128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5927/03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ליוברסקי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28.2.2005</w:t>
      </w:r>
      <w:r>
        <w:rPr>
          <w:rtl w:val="true"/>
        </w:rPr>
        <w:t xml:space="preserve">)).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– </w:t>
      </w:r>
      <w:r>
        <w:rPr>
          <w:rtl w:val="true"/>
        </w:rPr>
        <w:t>שהחלופה</w:t>
      </w:r>
      <w:r>
        <w:rPr>
          <w:rtl w:val="true"/>
        </w:rPr>
        <w:t xml:space="preserve"> </w:t>
      </w:r>
      <w:r>
        <w:rPr>
          <w:rtl w:val="true"/>
        </w:rPr>
        <w:t>המרכזית</w:t>
      </w:r>
      <w:r>
        <w:rPr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גרימת</w:t>
      </w:r>
      <w:r>
        <w:rPr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 </w:t>
      </w:r>
      <w:r>
        <w:rPr>
          <w:rtl w:val="true"/>
        </w:rPr>
        <w:t>ב״כוונה</w:t>
      </w:r>
      <w:r>
        <w:rPr>
          <w:rtl w:val="true"/>
        </w:rPr>
        <w:t xml:space="preserve"> </w:t>
      </w:r>
      <w:r>
        <w:rPr>
          <w:rtl w:val="true"/>
        </w:rPr>
        <w:t>תחילה״</w:t>
      </w:r>
      <w:r>
        <w:rPr>
          <w:rtl w:val="true"/>
        </w:rPr>
        <w:t xml:space="preserve"> –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החליט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 xml:space="preserve"> </w:t>
      </w:r>
      <w:r>
        <w:rPr>
          <w:rtl w:val="true"/>
        </w:rPr>
        <w:t>רפורמה</w:t>
      </w:r>
      <w:r>
        <w:rPr>
          <w:rtl w:val="true"/>
        </w:rPr>
        <w:t xml:space="preserve"> </w:t>
      </w:r>
      <w:r>
        <w:rPr>
          <w:rtl w:val="true"/>
        </w:rPr>
        <w:t>שבמסגרתה</w:t>
      </w:r>
      <w:r>
        <w:rPr>
          <w:rtl w:val="true"/>
        </w:rPr>
        <w:t xml:space="preserve"> </w:t>
      </w:r>
      <w:r>
        <w:rPr>
          <w:rtl w:val="true"/>
        </w:rPr>
        <w:t>בוטלה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וכונן</w:t>
      </w:r>
      <w:r>
        <w:rPr>
          <w:rtl w:val="true"/>
        </w:rPr>
        <w:t xml:space="preserve"> </w:t>
      </w:r>
      <w:r>
        <w:rPr>
          <w:rtl w:val="true"/>
        </w:rPr>
        <w:t>מדרג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tl w:val="true"/>
        </w:rPr>
        <w:t xml:space="preserve"> </w:t>
      </w:r>
      <w:r>
        <w:rPr>
          <w:rtl w:val="true"/>
        </w:rPr>
        <w:t>נלווה</w:t>
      </w:r>
      <w:r>
        <w:rPr>
          <w:rtl w:val="true"/>
        </w:rPr>
        <w:t xml:space="preserve"> </w:t>
      </w:r>
      <w:r>
        <w:rPr>
          <w:rtl w:val="true"/>
        </w:rPr>
        <w:t>מדרג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מבקשת</w:t>
      </w:r>
      <w:r>
        <w:rPr>
          <w:rtl w:val="true"/>
        </w:rPr>
        <w:t xml:space="preserve"> </w:t>
      </w:r>
      <w:r>
        <w:rPr>
          <w:rtl w:val="true"/>
        </w:rPr>
        <w:t>לבסס</w:t>
      </w:r>
      <w:r>
        <w:rPr>
          <w:rtl w:val="true"/>
        </w:rPr>
        <w:t xml:space="preserve"> </w:t>
      </w:r>
      <w:r>
        <w:rPr>
          <w:rtl w:val="true"/>
        </w:rPr>
        <w:t>פרשנות</w:t>
      </w:r>
      <w:r>
        <w:rPr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שבוטלה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רפורמה</w:t>
      </w:r>
      <w:r>
        <w:rPr>
          <w:rtl w:val="true"/>
        </w:rPr>
        <w:t xml:space="preserve"> </w:t>
      </w:r>
      <w:r>
        <w:rPr>
          <w:rtl w:val="true"/>
        </w:rPr>
        <w:t>מקיפה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התייחסה</w:t>
      </w:r>
      <w:r>
        <w:rPr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 </w:t>
      </w:r>
      <w:r>
        <w:rPr>
          <w:rtl w:val="true"/>
        </w:rPr>
        <w:t>מעורר</w:t>
      </w:r>
      <w:r>
        <w:rPr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tl w:val="true"/>
        </w:rPr>
        <w:t xml:space="preserve"> </w:t>
      </w:r>
      <w:r>
        <w:rPr>
          <w:rtl w:val="true"/>
        </w:rPr>
        <w:t>לעולה</w:t>
      </w:r>
      <w:r>
        <w:rPr>
          <w:rtl w:val="true"/>
        </w:rPr>
        <w:t xml:space="preserve"> </w:t>
      </w:r>
      <w:r>
        <w:rPr>
          <w:rtl w:val="true"/>
        </w:rPr>
        <w:t>מקו</w:t>
      </w:r>
      <w:r>
        <w:rPr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כנוסחה</w:t>
      </w:r>
      <w:r>
        <w:rPr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 – </w:t>
      </w:r>
      <w:r>
        <w:rPr>
          <w:rtl w:val="true"/>
        </w:rPr>
        <w:t>השנייה</w:t>
      </w:r>
      <w:r>
        <w:rPr>
          <w:rtl w:val="true"/>
        </w:rPr>
        <w:t xml:space="preserve"> </w:t>
      </w:r>
      <w:r>
        <w:rPr>
          <w:rtl w:val="true"/>
        </w:rPr>
        <w:t>בחומרתה</w:t>
      </w:r>
      <w:r>
        <w:rPr>
          <w:rtl w:val="true"/>
        </w:rPr>
        <w:t xml:space="preserve"> </w:t>
      </w:r>
      <w:r>
        <w:rPr>
          <w:rtl w:val="true"/>
        </w:rPr>
        <w:t>במדרג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–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נועדה</w:t>
      </w:r>
      <w:r>
        <w:rPr>
          <w:rtl w:val="true"/>
        </w:rPr>
        <w:t xml:space="preserve">, </w:t>
      </w:r>
      <w:r>
        <w:rPr>
          <w:rtl w:val="true"/>
        </w:rPr>
        <w:t>מנקודת</w:t>
      </w:r>
      <w:r>
        <w:rPr>
          <w:rtl w:val="true"/>
        </w:rPr>
        <w:t xml:space="preserve"> </w:t>
      </w:r>
      <w:r>
        <w:rPr>
          <w:rtl w:val="true"/>
        </w:rPr>
        <w:t>מבטה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tl w:val="true"/>
        </w:rPr>
        <w:t xml:space="preserve"> </w:t>
      </w:r>
      <w:r>
        <w:rPr>
          <w:rtl w:val="true"/>
        </w:rPr>
        <w:t>המחליפה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בגלגולו</w:t>
      </w:r>
      <w:r>
        <w:rPr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מדברי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, </w:t>
      </w:r>
      <w:r>
        <w:rPr>
          <w:rtl w:val="true"/>
        </w:rPr>
        <w:t>המציינים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״במידה</w:t>
      </w:r>
      <w:r>
        <w:rPr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המחליפה</w:t>
      </w:r>
      <w:r>
        <w:rPr>
          <w:rtl w:val="true"/>
        </w:rPr>
        <w:t xml:space="preserve"> </w:t>
      </w:r>
      <w:r>
        <w:rPr>
          <w:rtl w:val="true"/>
        </w:rPr>
        <w:t>המהותית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בנוסחה</w:t>
      </w:r>
      <w:r>
        <w:rPr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בעמ׳</w:t>
      </w:r>
      <w:r>
        <w:rPr>
          <w:rtl w:val="true"/>
        </w:rPr>
        <w:t xml:space="preserve"> </w:t>
      </w:r>
      <w:r>
        <w:rPr/>
        <w:t>169</w:t>
      </w:r>
      <w:r>
        <w:rPr>
          <w:rtl w:val="true"/>
        </w:rPr>
        <w:t xml:space="preserve">).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החמורה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 </w:t>
      </w:r>
      <w:r>
        <w:rPr>
          <w:rtl w:val="true"/>
        </w:rPr>
        <w:t>במנעד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 xml:space="preserve"> </w:t>
      </w:r>
      <w:r>
        <w:rPr>
          <w:rtl w:val="true"/>
        </w:rPr>
        <w:t>בטענת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קבלת</w:t>
      </w:r>
      <w:r>
        <w:rPr>
          <w:rtl w:val="true"/>
        </w:rPr>
        <w:t xml:space="preserve"> </w:t>
      </w:r>
      <w:r>
        <w:rPr>
          <w:rtl w:val="true"/>
        </w:rPr>
        <w:t>תזת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" </w:t>
      </w:r>
      <w:r>
        <w:rPr>
          <w:rtl w:val="true"/>
        </w:rPr>
        <w:t>תוביל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tl w:val="true"/>
        </w:rPr>
        <w:t xml:space="preserve"> </w:t>
      </w:r>
      <w:r>
        <w:rPr>
          <w:rtl w:val="true"/>
        </w:rPr>
        <w:t>לכוונת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להקלה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המנויות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משקפות</w:t>
      </w:r>
      <w:r>
        <w:rPr>
          <w:rtl w:val="true"/>
        </w:rPr>
        <w:t xml:space="preserve"> </w:t>
      </w:r>
      <w:r>
        <w:rPr>
          <w:rtl w:val="true"/>
        </w:rPr>
        <w:t>קשת</w:t>
      </w:r>
      <w:r>
        <w:rPr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 </w:t>
      </w:r>
      <w:r>
        <w:rPr>
          <w:rtl w:val="true"/>
        </w:rPr>
        <w:t>תודגש</w:t>
      </w:r>
      <w:r>
        <w:rPr>
          <w:rtl w:val="true"/>
        </w:rPr>
        <w:t xml:space="preserve"> </w:t>
      </w:r>
      <w:r>
        <w:rPr>
          <w:rtl w:val="true"/>
        </w:rPr>
        <w:t>הנסיבה</w:t>
      </w:r>
      <w:r>
        <w:rPr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״המעשה</w:t>
      </w:r>
      <w:r>
        <w:rPr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 </w:t>
      </w:r>
      <w:r>
        <w:rPr>
          <w:rtl w:val="true"/>
        </w:rPr>
        <w:t>וגיבוש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להמית״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נסיבה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מבקשת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לבטא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הרעיון</w:t>
      </w:r>
      <w:r>
        <w:rPr>
          <w:rtl w:val="true"/>
        </w:rPr>
        <w:t xml:space="preserve"> </w:t>
      </w:r>
      <w:r>
        <w:rPr>
          <w:rtl w:val="true"/>
        </w:rPr>
        <w:t>שבוטא</w:t>
      </w:r>
      <w:r>
        <w:rPr>
          <w:rtl w:val="true"/>
        </w:rPr>
        <w:t xml:space="preserve"> </w:t>
      </w:r>
      <w:r>
        <w:rPr>
          <w:rtl w:val="true"/>
        </w:rPr>
        <w:t>במונח</w:t>
      </w:r>
      <w:r>
        <w:rPr>
          <w:rtl w:val="true"/>
        </w:rPr>
        <w:t xml:space="preserve"> </w:t>
      </w:r>
      <w:r>
        <w:rPr>
          <w:rtl w:val="true"/>
        </w:rPr>
        <w:t>״כוונה</w:t>
      </w:r>
      <w:r>
        <w:rPr>
          <w:rtl w:val="true"/>
        </w:rPr>
        <w:t xml:space="preserve"> </w:t>
      </w:r>
      <w:r>
        <w:rPr>
          <w:rtl w:val="true"/>
        </w:rPr>
        <w:t>תחילה״</w:t>
      </w:r>
      <w:r>
        <w:rPr>
          <w:rtl w:val="true"/>
        </w:rPr>
        <w:t xml:space="preserve"> </w:t>
      </w:r>
      <w:r>
        <w:rPr>
          <w:rtl w:val="true"/>
        </w:rPr>
        <w:t>בנוסחו</w:t>
      </w:r>
      <w:r>
        <w:rPr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, </w:t>
      </w:r>
      <w:r>
        <w:rPr>
          <w:rtl w:val="true"/>
        </w:rPr>
        <w:t>בעמ׳</w:t>
      </w:r>
      <w:r>
        <w:rPr>
          <w:rtl w:val="true"/>
        </w:rPr>
        <w:t xml:space="preserve"> </w:t>
      </w:r>
      <w:r>
        <w:rPr/>
        <w:t>170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tl w:val="true"/>
        </w:rPr>
        <w:t xml:space="preserve"> </w:t>
      </w:r>
      <w:r>
        <w:rPr>
          <w:rtl w:val="true"/>
        </w:rPr>
        <w:t>שייתכן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קשת</w:t>
      </w:r>
      <w:r>
        <w:rPr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באים</w:t>
      </w:r>
      <w:r>
        <w:rPr>
          <w:rtl w:val="true"/>
        </w:rPr>
        <w:t xml:space="preserve"> </w:t>
      </w:r>
      <w:r>
        <w:rPr>
          <w:rtl w:val="true"/>
        </w:rPr>
        <w:t>בגדרי</w:t>
      </w:r>
      <w:r>
        <w:rPr>
          <w:rtl w:val="true"/>
        </w:rPr>
        <w:t xml:space="preserve"> </w:t>
      </w:r>
      <w:r>
        <w:rPr>
          <w:rtl w:val="true"/>
        </w:rPr>
        <w:t>המונחים</w:t>
      </w:r>
      <w:r>
        <w:rPr>
          <w:rtl w:val="true"/>
        </w:rPr>
        <w:t xml:space="preserve"> </w:t>
      </w:r>
      <w:r>
        <w:rPr>
          <w:rtl w:val="true"/>
        </w:rPr>
        <w:t>״תכנון״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״הליך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 </w:t>
      </w:r>
      <w:r>
        <w:rPr>
          <w:rtl w:val="true"/>
        </w:rPr>
        <w:t>וגיבוש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להמית״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מצומצמת</w:t>
      </w:r>
      <w:r>
        <w:rPr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נכנסה</w:t>
      </w:r>
      <w:r>
        <w:rPr>
          <w:rtl w:val="true"/>
        </w:rPr>
        <w:t xml:space="preserve"> </w:t>
      </w:r>
      <w:r>
        <w:rPr>
          <w:rtl w:val="true"/>
        </w:rPr>
        <w:t>בגדרי</w:t>
      </w:r>
      <w:r>
        <w:rPr>
          <w:rtl w:val="true"/>
        </w:rPr>
        <w:t xml:space="preserve"> </w:t>
      </w:r>
      <w:r>
        <w:rPr>
          <w:rtl w:val="true"/>
        </w:rPr>
        <w:t>המונח</w:t>
      </w:r>
      <w:r>
        <w:rPr>
          <w:rtl w:val="true"/>
        </w:rPr>
        <w:t xml:space="preserve"> </w:t>
      </w:r>
      <w:r>
        <w:rPr>
          <w:rtl w:val="true"/>
        </w:rPr>
        <w:t>״כוונה</w:t>
      </w:r>
      <w:r>
        <w:rPr>
          <w:rtl w:val="true"/>
        </w:rPr>
        <w:t xml:space="preserve"> </w:t>
      </w:r>
      <w:r>
        <w:rPr>
          <w:rtl w:val="true"/>
        </w:rPr>
        <w:t>תחילה״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שם</w:t>
      </w:r>
      <w:r>
        <w:rPr>
          <w:rtl w:val="true"/>
        </w:rPr>
        <w:t xml:space="preserve">; </w:t>
      </w:r>
      <w:r>
        <w:rPr>
          <w:rtl w:val="true"/>
        </w:rPr>
        <w:t>דו״ח</w:t>
      </w:r>
      <w:r>
        <w:rPr>
          <w:rtl w:val="true"/>
        </w:rPr>
        <w:t xml:space="preserve"> </w:t>
      </w:r>
      <w:r>
        <w:rPr>
          <w:rtl w:val="true"/>
        </w:rPr>
        <w:t>הצוות</w:t>
      </w:r>
      <w:r>
        <w:rPr>
          <w:rtl w:val="true"/>
        </w:rPr>
        <w:t xml:space="preserve">, </w:t>
      </w:r>
      <w:r>
        <w:rPr>
          <w:rtl w:val="true"/>
        </w:rPr>
        <w:t>בעמ׳</w:t>
      </w:r>
      <w:r>
        <w:rPr>
          <w:rtl w:val="true"/>
        </w:rPr>
        <w:t xml:space="preserve"> </w:t>
      </w:r>
      <w:r>
        <w:rPr/>
        <w:t>10-9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1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17-16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19.4.2021</w:t>
      </w:r>
      <w:r>
        <w:rPr>
          <w:rtl w:val="true"/>
        </w:rPr>
        <w:t xml:space="preserve">)). </w:t>
      </w:r>
      <w:r>
        <w:rPr>
          <w:rtl w:val="true"/>
        </w:rPr>
        <w:t>לסיכום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ההשוואה</w:t>
      </w:r>
      <w:r>
        <w:rPr>
          <w:rtl w:val="true"/>
        </w:rPr>
        <w:t xml:space="preserve"> </w:t>
      </w:r>
      <w:r>
        <w:rPr>
          <w:rtl w:val="true"/>
        </w:rPr>
        <w:t>לעבירת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בנוסחו</w:t>
      </w:r>
      <w:r>
        <w:rPr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יכולה</w:t>
      </w:r>
      <w:r>
        <w:rPr>
          <w:rtl w:val="true"/>
        </w:rPr>
        <w:t xml:space="preserve"> </w:t>
      </w:r>
      <w:r>
        <w:rPr>
          <w:rtl w:val="true"/>
        </w:rPr>
        <w:t>להוות</w:t>
      </w:r>
      <w:r>
        <w:rPr>
          <w:rtl w:val="true"/>
        </w:rPr>
        <w:t xml:space="preserve"> </w:t>
      </w:r>
      <w:r>
        <w:rPr>
          <w:rtl w:val="true"/>
        </w:rPr>
        <w:t>תשתית</w:t>
      </w:r>
      <w:r>
        <w:rPr>
          <w:rtl w:val="true"/>
        </w:rPr>
        <w:t xml:space="preserve"> </w:t>
      </w: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לדרך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לנקוט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בנוסחה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עניין זה </w:t>
      </w:r>
      <w:r>
        <w:rPr>
          <w:rtl w:val="true"/>
        </w:rPr>
        <w:t>מוביל</w:t>
      </w:r>
      <w:r>
        <w:rPr>
          <w:rtl w:val="true"/>
        </w:rPr>
        <w:t xml:space="preserve"> </w:t>
      </w:r>
      <w:r>
        <w:rPr>
          <w:rtl w:val="true"/>
        </w:rPr>
        <w:t>אותנו</w:t>
      </w:r>
      <w:r>
        <w:rPr>
          <w:rtl w:val="true"/>
        </w:rPr>
        <w:t xml:space="preserve"> </w:t>
      </w:r>
      <w:r>
        <w:rPr>
          <w:rtl w:val="true"/>
        </w:rPr>
        <w:t>לקושי</w:t>
      </w:r>
      <w:r>
        <w:rPr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 </w:t>
      </w:r>
      <w:r>
        <w:rPr>
          <w:rtl w:val="true"/>
        </w:rPr>
        <w:t>בעמדת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טשטוש</w:t>
      </w:r>
      <w:r>
        <w:rPr>
          <w:rtl w:val="true"/>
        </w:rPr>
        <w:t xml:space="preserve"> </w:t>
      </w:r>
      <w:r>
        <w:rPr>
          <w:rtl w:val="true"/>
        </w:rPr>
        <w:t>ההבחנה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הבחנה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מצויה</w:t>
      </w:r>
      <w:r>
        <w:rPr>
          <w:rtl w:val="true"/>
        </w:rPr>
        <w:t xml:space="preserve"> </w:t>
      </w:r>
      <w:r>
        <w:rPr>
          <w:rtl w:val="true"/>
        </w:rPr>
        <w:t>בליבו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המדרג</w:t>
      </w:r>
      <w:r>
        <w:rPr>
          <w:rtl w:val="true"/>
        </w:rPr>
        <w:t xml:space="preserve"> </w:t>
      </w:r>
      <w:r>
        <w:rPr>
          <w:rtl w:val="true"/>
        </w:rPr>
        <w:t>שביקש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לערוך</w:t>
      </w:r>
      <w:r>
        <w:rPr>
          <w:rtl w:val="true"/>
        </w:rPr>
        <w:t xml:space="preserve"> </w:t>
      </w:r>
      <w:r>
        <w:rPr>
          <w:rtl w:val="true"/>
        </w:rPr>
        <w:t>ברפורמה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כמצוין</w:t>
      </w:r>
      <w:r>
        <w:rPr>
          <w:rtl w:val="true"/>
        </w:rPr>
        <w:t xml:space="preserve"> </w:t>
      </w:r>
      <w:r>
        <w:rPr>
          <w:rtl w:val="true"/>
        </w:rPr>
        <w:t>בדברי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נועדה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למקרים</w:t>
      </w:r>
      <w:r>
        <w:rPr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", </w:t>
      </w:r>
      <w:r>
        <w:rPr>
          <w:rtl w:val="true"/>
        </w:rPr>
        <w:t>ואילו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נועדה</w:t>
      </w:r>
      <w:r>
        <w:rPr>
          <w:rtl w:val="true"/>
        </w:rPr>
        <w:t xml:space="preserve"> </w:t>
      </w:r>
      <w:r>
        <w:rPr>
          <w:rtl w:val="true"/>
        </w:rPr>
        <w:t>לחול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המתת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בעמ׳</w:t>
      </w:r>
      <w:r>
        <w:rPr>
          <w:rtl w:val="true"/>
        </w:rPr>
        <w:t xml:space="preserve"> </w:t>
      </w:r>
      <w:r>
        <w:rPr/>
        <w:t>169</w:t>
      </w:r>
      <w:r>
        <w:rPr>
          <w:rtl w:val="true"/>
        </w:rPr>
        <w:t xml:space="preserve">).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הציגה</w:t>
      </w:r>
      <w:r>
        <w:rPr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 </w:t>
      </w:r>
      <w:r>
        <w:rPr>
          <w:rtl w:val="true"/>
        </w:rPr>
        <w:t>שלפיה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התקיימה</w:t>
      </w:r>
      <w:r>
        <w:rPr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התקיימה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מהנסיבות</w:t>
      </w:r>
      <w:r>
        <w:rPr>
          <w:rtl w:val="true"/>
        </w:rPr>
        <w:t xml:space="preserve"> </w:t>
      </w:r>
      <w:r>
        <w:rPr>
          <w:rtl w:val="true"/>
        </w:rPr>
        <w:t>המחמירות</w:t>
      </w:r>
      <w:r>
        <w:rPr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 </w:t>
      </w:r>
      <w:r>
        <w:rPr>
          <w:rtl w:val="true"/>
        </w:rPr>
        <w:t>לשמש</w:t>
      </w:r>
      <w:r>
        <w:rPr>
          <w:rtl w:val="true"/>
        </w:rPr>
        <w:t xml:space="preserve"> </w:t>
      </w:r>
      <w:r>
        <w:rPr>
          <w:rtl w:val="true"/>
        </w:rPr>
        <w:t>נקודת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ויהיה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  <w:r>
        <w:rPr>
          <w:rtl w:val="true"/>
        </w:rPr>
        <w:t>בעמדה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לצמצם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הפער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 </w:t>
      </w:r>
      <w:r>
        <w:rPr>
          <w:rtl w:val="true"/>
        </w:rPr>
        <w:t>מקיומו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hyperlink r:id="rId1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במצב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התקיימה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מהנסיבות</w:t>
      </w:r>
      <w:r>
        <w:rPr>
          <w:rtl w:val="true"/>
        </w:rPr>
        <w:t xml:space="preserve"> </w:t>
      </w:r>
      <w:r>
        <w:rPr>
          <w:rtl w:val="true"/>
        </w:rPr>
        <w:t>המחמירות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״מצא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מנימוקים</w:t>
      </w:r>
      <w:r>
        <w:rPr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מתקיימות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 </w:t>
      </w:r>
      <w:r>
        <w:rPr>
          <w:rtl w:val="true"/>
        </w:rPr>
        <w:t>שבשלהן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 </w:t>
      </w:r>
      <w:r>
        <w:rPr>
          <w:rtl w:val="true"/>
        </w:rPr>
        <w:t>דרגת</w:t>
      </w:r>
      <w:r>
        <w:rPr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במיוחד״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המכונה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>
          <w:rtl w:val="true"/>
        </w:rPr>
        <w:t>״פתח</w:t>
      </w:r>
      <w:r>
        <w:rPr>
          <w:rtl w:val="true"/>
        </w:rPr>
        <w:t xml:space="preserve"> </w:t>
      </w:r>
      <w:r>
        <w:rPr>
          <w:rtl w:val="true"/>
        </w:rPr>
        <w:t>המילוט״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הצוות</w:t>
      </w:r>
      <w:r>
        <w:rPr>
          <w:rtl w:val="true"/>
        </w:rPr>
        <w:t xml:space="preserve">, </w:t>
      </w:r>
      <w:r>
        <w:rPr>
          <w:rtl w:val="true"/>
        </w:rPr>
        <w:t>בעמ׳</w:t>
      </w:r>
      <w:r>
        <w:rPr>
          <w:rtl w:val="true"/>
        </w:rPr>
        <w:t xml:space="preserve"> </w:t>
      </w:r>
      <w:r>
        <w:rPr/>
        <w:t>20-18</w:t>
      </w:r>
      <w:r>
        <w:rPr>
          <w:rtl w:val="true"/>
        </w:rPr>
        <w:t xml:space="preserve">), </w:t>
      </w:r>
      <w:r>
        <w:rPr>
          <w:rtl w:val="true"/>
        </w:rPr>
        <w:t>מראה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בגדרי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 </w:t>
      </w:r>
      <w:r>
        <w:rPr>
          <w:rtl w:val="true"/>
        </w:rPr>
        <w:t>מנגנון</w:t>
      </w:r>
      <w:r>
        <w:rPr>
          <w:rtl w:val="true"/>
        </w:rPr>
        <w:t xml:space="preserve"> </w:t>
      </w:r>
      <w:r>
        <w:rPr>
          <w:rtl w:val="true"/>
        </w:rPr>
        <w:t>המאפשר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 xml:space="preserve"> </w:t>
      </w:r>
      <w:r>
        <w:rPr>
          <w:rtl w:val="true"/>
        </w:rPr>
        <w:t>החובה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מבקשת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 </w:t>
      </w:r>
      <w:r>
        <w:rPr>
          <w:rtl w:val="true"/>
        </w:rPr>
        <w:t>ליצור</w:t>
      </w:r>
      <w:r>
        <w:rPr>
          <w:rtl w:val="true"/>
        </w:rPr>
        <w:t xml:space="preserve"> </w:t>
      </w:r>
      <w:r>
        <w:rPr>
          <w:rtl w:val="true"/>
        </w:rPr>
        <w:t>מנגנון</w:t>
      </w:r>
      <w:r>
        <w:rPr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 </w:t>
      </w:r>
      <w:r>
        <w:rPr>
          <w:rtl w:val="true"/>
        </w:rPr>
        <w:t>מבחינה</w:t>
      </w:r>
      <w:r>
        <w:rPr>
          <w:rtl w:val="true"/>
        </w:rPr>
        <w:t xml:space="preserve"> </w:t>
      </w:r>
      <w:r>
        <w:rPr>
          <w:rtl w:val="true"/>
        </w:rPr>
        <w:t>רעיונית</w:t>
      </w:r>
      <w:r>
        <w:rPr>
          <w:rtl w:val="true"/>
        </w:rPr>
        <w:t xml:space="preserve"> – </w:t>
      </w:r>
      <w:r>
        <w:rPr>
          <w:rtl w:val="true"/>
        </w:rPr>
        <w:t>הטלת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למעט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–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טענתה</w:t>
      </w:r>
      <w:r>
        <w:rPr>
          <w:rtl w:val="true"/>
        </w:rPr>
        <w:t xml:space="preserve"> </w:t>
      </w:r>
      <w:r>
        <w:rPr>
          <w:rtl w:val="true"/>
        </w:rPr>
        <w:t>מובילה</w:t>
      </w:r>
      <w:r>
        <w:rPr>
          <w:rtl w:val="true"/>
        </w:rPr>
        <w:t xml:space="preserve"> </w:t>
      </w:r>
      <w:r>
        <w:rPr>
          <w:rtl w:val="true"/>
        </w:rPr>
        <w:t>לטשטוש</w:t>
      </w:r>
      <w:r>
        <w:rPr>
          <w:rtl w:val="true"/>
        </w:rPr>
        <w:t xml:space="preserve"> </w:t>
      </w:r>
      <w:r>
        <w:rPr>
          <w:rtl w:val="true"/>
        </w:rPr>
        <w:t>ההבחנה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tl w:val="true"/>
        </w:rPr>
        <w:t xml:space="preserve"> </w:t>
      </w:r>
      <w:r>
        <w:rPr>
          <w:rtl w:val="true"/>
        </w:rPr>
        <w:t>לכוונת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מלשון</w:t>
      </w:r>
      <w:r>
        <w:rPr>
          <w:rtl w:val="true"/>
        </w:rPr>
        <w:t xml:space="preserve"> </w:t>
      </w:r>
      <w:r>
        <w:rPr>
          <w:rtl w:val="true"/>
        </w:rPr>
        <w:t>החקיקה</w:t>
      </w:r>
      <w:r>
        <w:rPr>
          <w:rtl w:val="true"/>
        </w:rPr>
        <w:t xml:space="preserve"> </w:t>
      </w:r>
      <w:r>
        <w:rPr>
          <w:rtl w:val="true"/>
        </w:rPr>
        <w:t>שנתנה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קושי</w:t>
      </w:r>
      <w:r>
        <w:rPr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 </w:t>
      </w:r>
      <w:r>
        <w:rPr>
          <w:rtl w:val="true"/>
        </w:rPr>
        <w:t>בעמדת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נעוץ</w:t>
      </w:r>
      <w:r>
        <w:rPr>
          <w:rtl w:val="true"/>
        </w:rPr>
        <w:t xml:space="preserve"> </w:t>
      </w:r>
      <w:r>
        <w:rPr>
          <w:rtl w:val="true"/>
        </w:rPr>
        <w:t>בהבחנה</w:t>
      </w:r>
      <w:r>
        <w:rPr>
          <w:rtl w:val="true"/>
        </w:rPr>
        <w:t xml:space="preserve"> </w:t>
      </w:r>
      <w:r>
        <w:rPr>
          <w:rtl w:val="true"/>
        </w:rPr>
        <w:t>הפרשנית</w:t>
      </w:r>
      <w:r>
        <w:rPr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 </w:t>
      </w:r>
      <w:r>
        <w:rPr>
          <w:rtl w:val="true"/>
        </w:rPr>
        <w:t>מבקשת</w:t>
      </w:r>
      <w:r>
        <w:rPr>
          <w:rtl w:val="true"/>
        </w:rPr>
        <w:t xml:space="preserve"> </w:t>
      </w:r>
      <w:r>
        <w:rPr>
          <w:rtl w:val="true"/>
        </w:rPr>
        <w:t>ליצור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״נקודת</w:t>
      </w:r>
      <w:r>
        <w:rPr>
          <w:rtl w:val="true"/>
        </w:rPr>
        <w:t xml:space="preserve"> </w:t>
      </w:r>
      <w:r>
        <w:rPr>
          <w:rtl w:val="true"/>
        </w:rPr>
        <w:t>המוצא״</w:t>
      </w:r>
      <w:r>
        <w:rPr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בטענתה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יהווה</w:t>
      </w:r>
      <w:r>
        <w:rPr>
          <w:rtl w:val="true"/>
        </w:rPr>
        <w:t xml:space="preserve"> </w:t>
      </w:r>
      <w:r>
        <w:rPr>
          <w:rtl w:val="true"/>
        </w:rPr>
        <w:t>נקודת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 </w:t>
      </w:r>
      <w:r>
        <w:rPr>
          <w:rtl w:val="true"/>
        </w:rPr>
        <w:t>לגזירת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הבחנה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מעוגנת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 </w:t>
      </w:r>
      <w:r>
        <w:rPr>
          <w:rtl w:val="true"/>
        </w:rPr>
        <w:t>ועולה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מנוגדת</w:t>
      </w:r>
      <w:r>
        <w:rPr>
          <w:rtl w:val="true"/>
        </w:rPr>
        <w:t xml:space="preserve"> </w:t>
      </w:r>
      <w:r>
        <w:rPr>
          <w:rtl w:val="true"/>
        </w:rPr>
        <w:t>לכוונת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מצא</w:t>
      </w:r>
      <w:r>
        <w:rPr>
          <w:rtl w:val="true"/>
        </w:rPr>
        <w:t xml:space="preserve"> </w:t>
      </w:r>
      <w:r>
        <w:rPr>
          <w:rtl w:val="true"/>
        </w:rPr>
        <w:t>לכלול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–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״הבסיסית</w:t>
      </w:r>
      <w:r>
        <w:rPr>
          <w:rtl w:val="true"/>
        </w:rPr>
        <w:t xml:space="preserve">"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–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וגם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לערוך</w:t>
      </w:r>
      <w:r>
        <w:rPr>
          <w:rtl w:val="true"/>
        </w:rPr>
        <w:t xml:space="preserve"> </w:t>
      </w:r>
      <w:r>
        <w:rPr>
          <w:rtl w:val="true"/>
        </w:rPr>
        <w:t>הבחנה</w:t>
      </w:r>
      <w:r>
        <w:rPr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לכרוך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 </w:t>
      </w:r>
      <w:r>
        <w:rPr>
          <w:rtl w:val="true"/>
        </w:rPr>
        <w:t>והאדישות</w:t>
      </w:r>
      <w:r>
        <w:rPr>
          <w:rtl w:val="true"/>
        </w:rPr>
        <w:t xml:space="preserve"> </w:t>
      </w:r>
      <w:r>
        <w:rPr>
          <w:rtl w:val="true"/>
        </w:rPr>
        <w:t>נעשתה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 </w:t>
      </w:r>
      <w:r>
        <w:rPr>
          <w:rtl w:val="true"/>
        </w:rPr>
        <w:t>וחשיבה</w:t>
      </w:r>
      <w:r>
        <w:rPr>
          <w:rtl w:val="true"/>
        </w:rPr>
        <w:t xml:space="preserve">, </w:t>
      </w:r>
      <w:r>
        <w:rPr>
          <w:rtl w:val="true"/>
        </w:rPr>
        <w:t>ומשקפת</w:t>
      </w:r>
      <w:r>
        <w:rPr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 </w:t>
      </w:r>
      <w:r>
        <w:rPr>
          <w:rtl w:val="true"/>
        </w:rPr>
        <w:t>ערכית</w:t>
      </w:r>
      <w:r>
        <w:rPr>
          <w:rtl w:val="true"/>
        </w:rPr>
        <w:t xml:space="preserve"> </w:t>
      </w:r>
      <w:r>
        <w:rPr>
          <w:rtl w:val="true"/>
        </w:rPr>
        <w:t>מבוססת</w:t>
      </w:r>
      <w:r>
        <w:rPr>
          <w:rtl w:val="true"/>
        </w:rPr>
        <w:t xml:space="preserve"> </w:t>
      </w:r>
      <w:r>
        <w:rPr>
          <w:rtl w:val="true"/>
        </w:rPr>
        <w:t>ומנומקת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, </w:t>
      </w:r>
      <w:r>
        <w:rPr>
          <w:rtl w:val="true"/>
        </w:rPr>
        <w:t>בעמ׳</w:t>
      </w:r>
      <w:r>
        <w:rPr>
          <w:rtl w:val="true"/>
        </w:rPr>
        <w:t xml:space="preserve"> </w:t>
      </w:r>
      <w:r>
        <w:rPr/>
        <w:t>169</w:t>
      </w:r>
      <w:r>
        <w:rPr>
          <w:rtl w:val="true"/>
        </w:rPr>
        <w:t xml:space="preserve">). </w:t>
      </w:r>
      <w:r>
        <w:rPr>
          <w:rtl w:val="true"/>
        </w:rPr>
        <w:t>דומה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ההבחנה</w:t>
      </w:r>
      <w:r>
        <w:rPr>
          <w:rtl w:val="true"/>
        </w:rPr>
        <w:t xml:space="preserve"> </w:t>
      </w:r>
      <w:r>
        <w:rPr>
          <w:rtl w:val="true"/>
        </w:rPr>
        <w:t>שמבקשת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 </w:t>
      </w:r>
      <w:r>
        <w:rPr>
          <w:rtl w:val="true"/>
        </w:rPr>
        <w:t>מושתתת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בנוסחו</w:t>
      </w:r>
      <w:r>
        <w:rPr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הבחין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 xml:space="preserve"> </w:t>
      </w:r>
      <w:r>
        <w:rPr>
          <w:rtl w:val="true"/>
        </w:rPr>
        <w:t>בהתבססות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הנוסח</w:t>
      </w:r>
      <w:r>
        <w:rPr>
          <w:rtl w:val="true"/>
        </w:rPr>
        <w:t xml:space="preserve"> </w:t>
      </w:r>
      <w:r>
        <w:rPr>
          <w:rtl w:val="true"/>
        </w:rPr>
        <w:t>והמבנה</w:t>
      </w:r>
      <w:r>
        <w:rPr>
          <w:rtl w:val="true"/>
        </w:rPr>
        <w:t xml:space="preserve"> </w:t>
      </w:r>
      <w:r>
        <w:rPr>
          <w:rtl w:val="true"/>
        </w:rPr>
        <w:t>הקודמים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 </w:t>
      </w:r>
      <w:r>
        <w:rPr>
          <w:rtl w:val="true"/>
        </w:rPr>
        <w:t>פרשנות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בנוסחו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רפורמה</w:t>
      </w:r>
      <w:r>
        <w:rPr>
          <w:rtl w:val="true"/>
        </w:rPr>
        <w:t xml:space="preserve"> </w:t>
      </w:r>
      <w:r>
        <w:rPr>
          <w:rtl w:val="true"/>
        </w:rPr>
        <w:t>שביקשה</w:t>
      </w:r>
      <w:r>
        <w:rPr>
          <w:rtl w:val="true"/>
        </w:rPr>
        <w:t xml:space="preserve"> </w:t>
      </w:r>
      <w:r>
        <w:rPr>
          <w:rtl w:val="true"/>
        </w:rPr>
        <w:t>לשנות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. </w:t>
      </w:r>
      <w:r>
        <w:rPr>
          <w:rtl w:val="true"/>
        </w:rPr>
        <w:t>ודוקו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בכוונתי</w:t>
      </w:r>
      <w:r>
        <w:rPr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יכולים</w:t>
      </w:r>
      <w:r>
        <w:rPr>
          <w:rtl w:val="true"/>
        </w:rPr>
        <w:t xml:space="preserve"> </w:t>
      </w:r>
      <w:r>
        <w:rPr>
          <w:rtl w:val="true"/>
        </w:rPr>
        <w:t>לשמש</w:t>
      </w:r>
      <w:r>
        <w:rPr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 </w:t>
      </w:r>
      <w:r>
        <w:rPr>
          <w:rtl w:val="true"/>
        </w:rPr>
        <w:t>רלוונטיים</w:t>
      </w:r>
      <w:r>
        <w:rPr>
          <w:rtl w:val="true"/>
        </w:rPr>
        <w:t xml:space="preserve"> </w:t>
      </w:r>
      <w:r>
        <w:rPr>
          <w:rtl w:val="true"/>
        </w:rPr>
        <w:t>לקביעת</w:t>
      </w:r>
      <w:r>
        <w:rPr>
          <w:rtl w:val="true"/>
        </w:rPr>
        <w:t xml:space="preserve"> </w:t>
      </w:r>
      <w:r>
        <w:rPr>
          <w:rtl w:val="true"/>
        </w:rPr>
        <w:t>חומרתו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 </w:t>
      </w:r>
      <w:r>
        <w:rPr>
          <w:rtl w:val="true"/>
        </w:rPr>
        <w:t>והעונש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כוונתי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המבחין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גורף</w:t>
      </w:r>
      <w:r>
        <w:rPr>
          <w:rtl w:val="true"/>
        </w:rPr>
        <w:t xml:space="preserve"> </w:t>
      </w:r>
      <w:r>
        <w:rPr>
          <w:rtl w:val="true"/>
        </w:rPr>
        <w:t>ועקרוני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שמבקשת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אסכם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בנימה</w:t>
      </w:r>
      <w:r>
        <w:rPr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. </w:t>
      </w:r>
      <w:r>
        <w:rPr>
          <w:rtl w:val="true"/>
        </w:rPr>
        <w:t>בתקופת</w:t>
      </w:r>
      <w:r>
        <w:rPr>
          <w:rtl w:val="true"/>
        </w:rPr>
        <w:t xml:space="preserve"> </w:t>
      </w:r>
      <w:r>
        <w:rPr>
          <w:rtl w:val="true"/>
        </w:rPr>
        <w:t>כהונתי</w:t>
      </w:r>
      <w:r>
        <w:rPr>
          <w:rtl w:val="true"/>
        </w:rPr>
        <w:t xml:space="preserve"> </w:t>
      </w:r>
      <w:r>
        <w:rPr>
          <w:rtl w:val="true"/>
        </w:rPr>
        <w:t>כשופט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שמתי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לפער</w:t>
      </w:r>
      <w:r>
        <w:rPr>
          <w:rtl w:val="true"/>
        </w:rPr>
        <w:t xml:space="preserve"> </w:t>
      </w:r>
      <w:r>
        <w:rPr>
          <w:rtl w:val="true"/>
        </w:rPr>
        <w:t>המשמעותי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 </w:t>
      </w:r>
      <w:r>
        <w:rPr>
          <w:rtl w:val="true"/>
        </w:rPr>
        <w:t>הממושך</w:t>
      </w:r>
      <w:r>
        <w:rPr>
          <w:rtl w:val="true"/>
        </w:rPr>
        <w:t xml:space="preserve"> </w:t>
      </w:r>
      <w:r>
        <w:rPr>
          <w:rtl w:val="true"/>
        </w:rPr>
        <w:t>המוקדש</w:t>
      </w:r>
      <w:r>
        <w:rPr>
          <w:rtl w:val="true"/>
        </w:rPr>
        <w:t xml:space="preserve"> </w:t>
      </w:r>
      <w:r>
        <w:rPr>
          <w:rtl w:val="true"/>
        </w:rPr>
        <w:t>לשלב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בתיקי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tl w:val="true"/>
        </w:rPr>
        <w:t xml:space="preserve"> </w:t>
      </w:r>
      <w:r>
        <w:rPr>
          <w:rtl w:val="true"/>
        </w:rPr>
        <w:t>חקירות</w:t>
      </w:r>
      <w:r>
        <w:rPr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שמיעת</w:t>
      </w:r>
      <w:r>
        <w:rPr>
          <w:rtl w:val="true"/>
        </w:rPr>
        <w:t xml:space="preserve"> </w:t>
      </w:r>
      <w:r>
        <w:rPr>
          <w:rtl w:val="true"/>
        </w:rPr>
        <w:t>מומחים</w:t>
      </w:r>
      <w:r>
        <w:rPr>
          <w:rtl w:val="true"/>
        </w:rPr>
        <w:t xml:space="preserve"> </w:t>
      </w:r>
      <w:r>
        <w:rPr>
          <w:rtl w:val="true"/>
        </w:rPr>
        <w:t>וכיוצא</w:t>
      </w:r>
      <w:r>
        <w:rPr>
          <w:rtl w:val="true"/>
        </w:rPr>
        <w:t xml:space="preserve"> </w:t>
      </w:r>
      <w:r>
        <w:rPr>
          <w:rtl w:val="true"/>
        </w:rPr>
        <w:t>באלו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 </w:t>
      </w:r>
      <w:r>
        <w:rPr>
          <w:rtl w:val="true"/>
        </w:rPr>
        <w:t>הקצר</w:t>
      </w:r>
      <w:r>
        <w:rPr>
          <w:rtl w:val="true"/>
        </w:rPr>
        <w:t xml:space="preserve"> </w:t>
      </w:r>
      <w:r>
        <w:rPr>
          <w:rtl w:val="true"/>
        </w:rPr>
        <w:t>המוקדש</w:t>
      </w:r>
      <w:r>
        <w:rPr>
          <w:rtl w:val="true"/>
        </w:rPr>
        <w:t xml:space="preserve"> </w:t>
      </w:r>
      <w:r>
        <w:rPr>
          <w:rtl w:val="true"/>
        </w:rPr>
        <w:t>לשלב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פער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נעוץ</w:t>
      </w:r>
      <w:r>
        <w:rPr>
          <w:rtl w:val="true"/>
        </w:rPr>
        <w:t xml:space="preserve">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בנוסחה</w:t>
      </w:r>
      <w:r>
        <w:rPr>
          <w:rtl w:val="true"/>
        </w:rPr>
        <w:t xml:space="preserve"> </w:t>
      </w:r>
      <w:r>
        <w:rPr>
          <w:rtl w:val="true"/>
        </w:rPr>
        <w:t>טרם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ועונש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בקביעה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הותירה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שיקף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 </w:t>
      </w:r>
      <w:r>
        <w:rPr>
          <w:rtl w:val="true"/>
        </w:rPr>
        <w:t>הערכית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הבדל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 </w:t>
      </w:r>
      <w:r>
        <w:rPr>
          <w:rtl w:val="true"/>
        </w:rPr>
        <w:t>לדם</w:t>
      </w:r>
      <w:r>
        <w:rPr>
          <w:rtl w:val="true"/>
        </w:rPr>
        <w:t xml:space="preserve">;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;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רוצח</w:t>
      </w:r>
      <w:r>
        <w:rPr>
          <w:rtl w:val="true"/>
        </w:rPr>
        <w:t xml:space="preserve"> </w:t>
      </w:r>
      <w:r>
        <w:rPr>
          <w:rtl w:val="true"/>
        </w:rPr>
        <w:t>לרוצח</w:t>
      </w:r>
      <w:r>
        <w:rPr>
          <w:rtl w:val="true"/>
        </w:rPr>
        <w:t xml:space="preserve">;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נרצח</w:t>
      </w:r>
      <w:r>
        <w:rPr>
          <w:rtl w:val="true"/>
        </w:rPr>
        <w:t xml:space="preserve"> </w:t>
      </w:r>
      <w:r>
        <w:rPr>
          <w:rtl w:val="true"/>
        </w:rPr>
        <w:t>לנרצח</w:t>
      </w:r>
      <w:r>
        <w:rPr>
          <w:rtl w:val="true"/>
        </w:rPr>
        <w:t xml:space="preserve">. </w:t>
      </w:r>
      <w:r>
        <w:rPr>
          <w:rtl w:val="true"/>
        </w:rPr>
        <w:t>עמדה</w:t>
      </w:r>
      <w:r>
        <w:rPr>
          <w:rtl w:val="true"/>
        </w:rPr>
        <w:t xml:space="preserve"> </w:t>
      </w:r>
      <w:r>
        <w:rPr>
          <w:rtl w:val="true"/>
        </w:rPr>
        <w:t>ערכית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– </w:t>
      </w:r>
      <w:r>
        <w:rPr>
          <w:rtl w:val="true"/>
        </w:rPr>
        <w:t>המצויה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 </w:t>
      </w:r>
      <w:r>
        <w:rPr>
          <w:rtl w:val="true"/>
        </w:rPr>
        <w:t>טיעוני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 – </w:t>
      </w:r>
      <w:r>
        <w:rPr>
          <w:rtl w:val="true"/>
        </w:rPr>
        <w:t>הגיונה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יופיה</w:t>
      </w:r>
      <w:r>
        <w:rPr>
          <w:rtl w:val="true"/>
        </w:rPr>
        <w:t xml:space="preserve">, </w:t>
      </w:r>
      <w:r>
        <w:rPr>
          <w:rtl w:val="true"/>
        </w:rPr>
        <w:t>בצידה</w:t>
      </w:r>
      <w:r>
        <w:rPr>
          <w:rtl w:val="true"/>
        </w:rPr>
        <w:t xml:space="preserve">, </w:t>
      </w:r>
      <w:r>
        <w:rPr>
          <w:rtl w:val="true"/>
        </w:rPr>
        <w:t>ואלו</w:t>
      </w:r>
      <w:r>
        <w:rPr>
          <w:rtl w:val="true"/>
        </w:rPr>
        <w:t xml:space="preserve"> </w:t>
      </w:r>
      <w:r>
        <w:rPr>
          <w:rtl w:val="true"/>
        </w:rPr>
        <w:t>ניצבים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מול</w:t>
      </w:r>
      <w:r>
        <w:rPr>
          <w:rtl w:val="true"/>
        </w:rPr>
        <w:t xml:space="preserve"> </w:t>
      </w:r>
      <w:r>
        <w:rPr>
          <w:rtl w:val="true"/>
        </w:rPr>
        <w:t>כיעור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התייחסתי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בחוות</w:t>
      </w:r>
      <w:r>
        <w:rPr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13.6.2017</w:t>
      </w:r>
      <w:r>
        <w:rPr>
          <w:rtl w:val="true"/>
        </w:rPr>
        <w:t>):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."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וייעודי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פרופ׳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פרידמן</w:t>
      </w:r>
      <w:r>
        <w:rPr>
          <w:rtl w:val="true"/>
        </w:rPr>
        <w:t xml:space="preserve">, </w:t>
      </w:r>
      <w:r>
        <w:rPr>
          <w:rtl w:val="true"/>
        </w:rPr>
        <w:t>שבראשו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פרופ׳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מרדכי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קרמניצר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מנציגי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המשפטים</w:t>
      </w:r>
      <w:r>
        <w:rPr>
          <w:rtl w:val="true"/>
        </w:rPr>
        <w:t xml:space="preserve">, </w:t>
      </w:r>
      <w:r>
        <w:rPr>
          <w:rtl w:val="true"/>
        </w:rPr>
        <w:t>הפרקליטות</w:t>
      </w:r>
      <w:r>
        <w:rPr>
          <w:rtl w:val="true"/>
        </w:rPr>
        <w:t xml:space="preserve">, </w:t>
      </w:r>
      <w:r>
        <w:rPr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והאקדמיה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וליישם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הספציפיות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נותרה</w:t>
      </w:r>
      <w:r>
        <w:rPr>
          <w:rtl w:val="true"/>
        </w:rPr>
        <w:t xml:space="preserve"> </w:t>
      </w:r>
      <w:r>
        <w:rPr>
          <w:rtl w:val="true"/>
        </w:rPr>
        <w:t>שאלת</w:t>
      </w:r>
      <w:r>
        <w:rPr>
          <w:rtl w:val="true"/>
        </w:rPr>
        <w:t xml:space="preserve"> </w:t>
      </w:r>
      <w:r>
        <w:rPr>
          <w:rtl w:val="true"/>
        </w:rPr>
        <w:t>תחולת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גישת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שמתאפשר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המסלול</w:t>
      </w:r>
      <w:r>
        <w:rPr>
          <w:rtl w:val="true"/>
        </w:rPr>
        <w:t xml:space="preserve"> </w:t>
      </w:r>
      <w:r>
        <w:rPr>
          <w:rtl w:val="true"/>
        </w:rPr>
        <w:t>שמתווה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לטענות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עיגון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דינן</w:t>
      </w:r>
      <w:r>
        <w:rPr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מלשונם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סעיפי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בבירור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חלים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מחויב</w:t>
      </w:r>
      <w:r>
        <w:rPr>
          <w:rtl w:val="true"/>
        </w:rPr>
        <w:t xml:space="preserve"> </w:t>
      </w:r>
      <w:r>
        <w:rPr>
          <w:rtl w:val="true"/>
        </w:rPr>
        <w:t>לפעול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 </w:t>
      </w:r>
      <w:r>
        <w:rPr>
          <w:rtl w:val="true"/>
        </w:rPr>
        <w:t>הקבועה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tl w:val="true"/>
        </w:rPr>
        <w:t xml:space="preserve">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ומיקום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מחוץ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tl w:val="true"/>
        </w:rPr>
        <w:t xml:space="preserve"> </w:t>
      </w:r>
      <w:r>
        <w:rPr>
          <w:rtl w:val="true"/>
        </w:rPr>
        <w:t xml:space="preserve">למשל </w:t>
      </w:r>
      <w:r>
        <w:rPr>
          <w:rtl w:val="true"/>
        </w:rPr>
        <w:t>לשיקולי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בסעיפים</w:t>
      </w:r>
      <w:r>
        <w:rPr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 </w:t>
      </w:r>
      <w:r>
        <w:rPr>
          <w:rtl w:val="true"/>
        </w:rPr>
        <w:t>שנחקקו</w:t>
      </w:r>
      <w:r>
        <w:rPr>
          <w:rtl w:val="true"/>
        </w:rPr>
        <w:t xml:space="preserve"> </w:t>
      </w:r>
      <w:r>
        <w:rPr>
          <w:rtl w:val="true"/>
        </w:rPr>
        <w:t>ברפורמה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 </w:t>
      </w:r>
      <w:r>
        <w:rPr>
          <w:rtl w:val="true"/>
        </w:rPr>
        <w:t>לפרשנות</w:t>
      </w:r>
      <w:r>
        <w:rPr>
          <w:rtl w:val="true"/>
        </w:rPr>
        <w:t xml:space="preserve"> </w:t>
      </w:r>
      <w:r>
        <w:rPr>
          <w:rtl w:val="true"/>
        </w:rPr>
        <w:t>שמציעה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המחריגה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תחולתה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מתיקון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ברפורמה</w:t>
      </w:r>
      <w:r>
        <w:rPr>
          <w:rtl w:val="true"/>
        </w:rPr>
        <w:t xml:space="preserve"> </w:t>
      </w:r>
      <w:r>
        <w:rPr>
          <w:rtl w:val="true"/>
        </w:rPr>
        <w:t>שנעשתה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tl w:val="true"/>
        </w:rPr>
        <w:t xml:space="preserve"> </w:t>
      </w:r>
      <w:r>
        <w:rPr>
          <w:rtl w:val="true"/>
        </w:rPr>
        <w:t>חשיבה</w:t>
      </w:r>
      <w:r>
        <w:rPr>
          <w:rtl w:val="true"/>
        </w:rPr>
        <w:t xml:space="preserve"> </w:t>
      </w:r>
      <w:r>
        <w:rPr>
          <w:rtl w:val="true"/>
        </w:rPr>
        <w:t>ודיונים</w:t>
      </w:r>
      <w:r>
        <w:rPr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שקשה</w:t>
      </w:r>
      <w:r>
        <w:rPr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שנעלם</w:t>
      </w:r>
      <w:r>
        <w:rPr>
          <w:rtl w:val="true"/>
        </w:rPr>
        <w:t xml:space="preserve"> </w:t>
      </w:r>
      <w:r>
        <w:rPr>
          <w:rtl w:val="true"/>
        </w:rPr>
        <w:t>מעינו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לוּ</w:t>
      </w:r>
      <w:r>
        <w:rPr>
          <w:rtl w:val="true"/>
        </w:rPr>
        <w:t xml:space="preserve"> </w:t>
      </w:r>
      <w:r>
        <w:rPr>
          <w:rtl w:val="true"/>
        </w:rPr>
        <w:t>היינו</w:t>
      </w:r>
      <w:r>
        <w:rPr>
          <w:rtl w:val="true"/>
        </w:rPr>
        <w:t xml:space="preserve"> </w:t>
      </w:r>
      <w:r>
        <w:rPr>
          <w:rtl w:val="true"/>
        </w:rPr>
        <w:t>מניחים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לסתור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לשון</w:t>
      </w:r>
      <w:r>
        <w:rPr>
          <w:rtl w:val="true"/>
        </w:rPr>
        <w:t>-</w:t>
      </w:r>
      <w:r>
        <w:rPr>
          <w:rtl w:val="true"/>
        </w:rPr>
        <w:t>החובה</w:t>
      </w:r>
      <w:r>
        <w:rPr>
          <w:rtl w:val="true"/>
        </w:rPr>
        <w:t xml:space="preserve"> </w:t>
      </w:r>
      <w:r>
        <w:rPr>
          <w:rtl w:val="true"/>
        </w:rPr>
        <w:t>הרחבה</w:t>
      </w:r>
      <w:r>
        <w:rPr>
          <w:rtl w:val="true"/>
        </w:rPr>
        <w:t xml:space="preserve"> </w:t>
      </w:r>
      <w:r>
        <w:rPr>
          <w:rtl w:val="true"/>
        </w:rPr>
        <w:t>והמפורשת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. </w:t>
      </w:r>
      <w:r>
        <w:rPr>
          <w:rtl w:val="true"/>
        </w:rPr>
        <w:t>פרשנות</w:t>
      </w:r>
      <w:r>
        <w:rPr>
          <w:rtl w:val="true"/>
        </w:rPr>
        <w:t xml:space="preserve"> </w:t>
      </w:r>
      <w:r>
        <w:rPr>
          <w:rtl w:val="true"/>
        </w:rPr>
        <w:t>לשונית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מתיישבת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תכליתו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להבנות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למנוע</w:t>
      </w:r>
      <w:r>
        <w:rPr>
          <w:rtl w:val="true"/>
        </w:rPr>
        <w:t xml:space="preserve"> </w:t>
      </w:r>
      <w:r>
        <w:rPr>
          <w:rtl w:val="true"/>
        </w:rPr>
        <w:t>פערים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החרגתה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מתחולת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מתיישבת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תכלית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דווקא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שטווח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 –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מינימום</w:t>
      </w:r>
      <w:r>
        <w:rPr>
          <w:rtl w:val="true"/>
        </w:rPr>
        <w:t xml:space="preserve"> – </w:t>
      </w:r>
      <w:r>
        <w:rPr>
          <w:rtl w:val="true"/>
        </w:rPr>
        <w:t>חשוב</w:t>
      </w:r>
      <w:r>
        <w:rPr>
          <w:rtl w:val="true"/>
        </w:rPr>
        <w:t xml:space="preserve"> </w:t>
      </w:r>
      <w:r>
        <w:rPr>
          <w:rtl w:val="true"/>
        </w:rPr>
        <w:t>ביתר</w:t>
      </w:r>
      <w:r>
        <w:rPr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יפעיל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 </w:t>
      </w:r>
      <w:r>
        <w:rPr>
          <w:rtl w:val="true"/>
        </w:rPr>
        <w:t>בגזירת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בגבולות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 </w:t>
      </w:r>
      <w:r>
        <w:rPr>
          <w:rtl w:val="true"/>
        </w:rPr>
        <w:t>והשיקולים</w:t>
      </w:r>
      <w:r>
        <w:rPr>
          <w:rtl w:val="true"/>
        </w:rPr>
        <w:t xml:space="preserve"> </w:t>
      </w:r>
      <w:r>
        <w:rPr>
          <w:rtl w:val="true"/>
        </w:rPr>
        <w:t>המנחים</w:t>
      </w:r>
      <w:r>
        <w:rPr>
          <w:rtl w:val="true"/>
        </w:rPr>
        <w:t xml:space="preserve"> </w:t>
      </w:r>
      <w:r>
        <w:rPr>
          <w:rtl w:val="true"/>
        </w:rPr>
        <w:t>הקבועים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tl w:val="true"/>
        </w:rPr>
        <w:t xml:space="preserve"> </w:t>
      </w:r>
      <w:r>
        <w:rPr>
          <w:rtl w:val="true"/>
        </w:rPr>
        <w:t>שוויוני</w:t>
      </w:r>
      <w:r>
        <w:rPr>
          <w:rtl w:val="true"/>
        </w:rPr>
        <w:t xml:space="preserve"> </w:t>
      </w:r>
      <w:r>
        <w:rPr>
          <w:rtl w:val="true"/>
        </w:rPr>
        <w:t>ואחיד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שיפוטי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בהטלת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מצאנו </w:t>
      </w:r>
      <w:r>
        <w:rPr>
          <w:rtl w:val="true"/>
        </w:rPr>
        <w:t>אפוא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עמדתה</w:t>
      </w:r>
      <w:r>
        <w:rPr>
          <w:rtl w:val="true"/>
        </w:rPr>
        <w:t xml:space="preserve"> </w:t>
      </w:r>
      <w:r>
        <w:rPr>
          <w:rtl w:val="true"/>
        </w:rPr>
        <w:t>העקרונית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בקשתה</w:t>
      </w:r>
      <w:r>
        <w:rPr>
          <w:rtl w:val="true"/>
        </w:rPr>
        <w:t xml:space="preserve"> </w:t>
      </w:r>
      <w:r>
        <w:rPr>
          <w:rtl w:val="true"/>
        </w:rPr>
        <w:t>להחריג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מתחולת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ולראות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נקודת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" </w:t>
      </w:r>
      <w:r>
        <w:rPr>
          <w:rtl w:val="true"/>
        </w:rPr>
        <w:t>לגזירת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התגבשה</w:t>
      </w:r>
      <w:r>
        <w:rPr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שהובהר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, </w:t>
      </w:r>
      <w:r>
        <w:rPr>
          <w:rtl w:val="true"/>
        </w:rPr>
        <w:t>והטלתו</w:t>
      </w:r>
      <w:r>
        <w:rPr>
          <w:rtl w:val="true"/>
        </w:rPr>
        <w:t xml:space="preserve"> </w:t>
      </w:r>
      <w:r>
        <w:rPr>
          <w:rtl w:val="true"/>
        </w:rPr>
        <w:t>נתונה</w:t>
      </w:r>
      <w:r>
        <w:rPr>
          <w:rtl w:val="true"/>
        </w:rPr>
        <w:t xml:space="preserve"> </w:t>
      </w:r>
      <w:r>
        <w:rPr>
          <w:rtl w:val="true"/>
        </w:rPr>
        <w:t>לשיקול</w:t>
      </w:r>
      <w:r>
        <w:rPr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צד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מטבע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שזהו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ברירת</w:t>
      </w:r>
      <w:r>
        <w:rPr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הטלתו</w:t>
      </w:r>
      <w:r>
        <w:rPr>
          <w:rtl w:val="true"/>
        </w:rPr>
        <w:t xml:space="preserve"> </w:t>
      </w:r>
      <w:r>
        <w:rPr>
          <w:rtl w:val="true"/>
        </w:rPr>
        <w:t>כפופה</w:t>
      </w:r>
      <w:r>
        <w:rPr>
          <w:rtl w:val="true"/>
        </w:rPr>
        <w:t xml:space="preserve"> </w:t>
      </w:r>
      <w:r>
        <w:rPr>
          <w:rtl w:val="true"/>
        </w:rPr>
        <w:t>לשיקולים</w:t>
      </w:r>
      <w:r>
        <w:rPr>
          <w:rtl w:val="true"/>
        </w:rPr>
        <w:t xml:space="preserve">, </w:t>
      </w:r>
      <w:r>
        <w:rPr>
          <w:rtl w:val="true"/>
        </w:rPr>
        <w:t>לעקרונות</w:t>
      </w:r>
      <w:r>
        <w:rPr>
          <w:rtl w:val="true"/>
        </w:rPr>
        <w:t xml:space="preserve"> </w:t>
      </w:r>
      <w:r>
        <w:rPr>
          <w:rtl w:val="true"/>
        </w:rPr>
        <w:t>ולדרך</w:t>
      </w:r>
      <w:r>
        <w:rPr>
          <w:rtl w:val="true"/>
        </w:rPr>
        <w:t xml:space="preserve"> </w:t>
      </w:r>
      <w:r>
        <w:rPr>
          <w:rtl w:val="true"/>
        </w:rPr>
        <w:t>גזירת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הקבועים</w:t>
      </w:r>
      <w:r>
        <w:rPr>
          <w:rtl w:val="true"/>
        </w:rPr>
        <w:t xml:space="preserve"> </w:t>
      </w:r>
      <w:r>
        <w:rPr>
          <w:rtl w:val="true"/>
        </w:rPr>
        <w:t>בתיקון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צדו</w:t>
      </w:r>
      <w:r>
        <w:rPr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המטבע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ולדיון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נפנה</w:t>
      </w:r>
      <w:r>
        <w:rPr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משמעה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המורשעים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שיעשה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המרבי</w:t>
      </w:r>
      <w:r>
        <w:rPr>
          <w:rtl w:val="true"/>
        </w:rPr>
        <w:t xml:space="preserve"> </w:t>
      </w:r>
      <w:r>
        <w:rPr>
          <w:rtl w:val="true"/>
        </w:rPr>
        <w:t>הקבוע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משל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אידאה</w:t>
      </w:r>
      <w:r>
        <w:rPr>
          <w:rtl w:val="true"/>
        </w:rPr>
        <w:t xml:space="preserve"> </w:t>
      </w:r>
      <w:r>
        <w:rPr>
          <w:rtl w:val="true"/>
        </w:rPr>
        <w:t>אפלטונית</w:t>
      </w:r>
      <w:r>
        <w:rPr>
          <w:rtl w:val="true"/>
        </w:rPr>
        <w:t xml:space="preserve"> </w:t>
      </w:r>
      <w:r>
        <w:rPr>
          <w:rtl w:val="true"/>
        </w:rPr>
        <w:t>מופשטת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לגעת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הטלת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אפשרות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ודאי</w:t>
      </w:r>
      <w:r>
        <w:rPr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בבואו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יימנעו</w:t>
      </w:r>
      <w:r>
        <w:rPr>
          <w:rtl w:val="true"/>
        </w:rPr>
        <w:t xml:space="preserve"> </w:t>
      </w:r>
      <w:r>
        <w:rPr>
          <w:rtl w:val="true"/>
        </w:rPr>
        <w:t>מהשתת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ויהפכוהו</w:t>
      </w:r>
      <w:r>
        <w:rPr>
          <w:rtl w:val="true"/>
        </w:rPr>
        <w:t xml:space="preserve"> </w:t>
      </w:r>
      <w:r>
        <w:rPr>
          <w:rtl w:val="true"/>
        </w:rPr>
        <w:t>לאות</w:t>
      </w:r>
      <w:r>
        <w:rPr>
          <w:rtl w:val="true"/>
        </w:rPr>
        <w:t xml:space="preserve"> </w:t>
      </w:r>
      <w:r>
        <w:rPr>
          <w:rtl w:val="true"/>
        </w:rPr>
        <w:t>מתה</w:t>
      </w:r>
      <w:r>
        <w:rPr>
          <w:rtl w:val="true"/>
        </w:rPr>
        <w:t xml:space="preserve"> </w:t>
      </w:r>
      <w:r>
        <w:rPr>
          <w:rtl w:val="true"/>
        </w:rPr>
        <w:t>בספר</w:t>
      </w:r>
      <w:r>
        <w:rPr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. </w:t>
      </w:r>
      <w:r>
        <w:rPr>
          <w:rtl w:val="true"/>
        </w:rPr>
        <w:t>ולשם</w:t>
      </w:r>
      <w:r>
        <w:rPr>
          <w:rtl w:val="true"/>
        </w:rPr>
        <w:t xml:space="preserve"> </w:t>
      </w:r>
      <w:r>
        <w:rPr>
          <w:rtl w:val="true"/>
        </w:rPr>
        <w:t>הדיוק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יהפכו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לאות</w:t>
      </w:r>
      <w:r>
        <w:rPr>
          <w:rtl w:val="true"/>
        </w:rPr>
        <w:t xml:space="preserve"> </w:t>
      </w:r>
      <w:r>
        <w:rPr>
          <w:rtl w:val="true"/>
        </w:rPr>
        <w:t>מתה</w:t>
      </w:r>
      <w:r>
        <w:rPr>
          <w:rtl w:val="true"/>
        </w:rPr>
        <w:t xml:space="preserve"> </w:t>
      </w:r>
      <w:r>
        <w:rPr>
          <w:rtl w:val="true"/>
        </w:rPr>
        <w:t>בספר</w:t>
      </w:r>
      <w:r>
        <w:rPr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יוטלו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 </w:t>
      </w:r>
      <w:r>
        <w:rPr>
          <w:rtl w:val="true"/>
        </w:rPr>
        <w:t>משיקול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שהוענק</w:t>
      </w:r>
      <w:r>
        <w:rPr>
          <w:rtl w:val="true"/>
        </w:rPr>
        <w:t xml:space="preserve"> </w:t>
      </w:r>
      <w:r>
        <w:rPr>
          <w:rtl w:val="true"/>
        </w:rPr>
        <w:t>לערכאה</w:t>
      </w:r>
      <w:r>
        <w:rPr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 </w:t>
      </w:r>
      <w:r>
        <w:rPr>
          <w:rtl w:val="true"/>
        </w:rPr>
        <w:t>בבואה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חדד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614</w:t>
      </w:r>
      <w:r>
        <w:rPr>
          <w:rtl w:val="true"/>
        </w:rPr>
        <w:t xml:space="preserve">; </w:t>
      </w:r>
      <w:hyperlink r:id="rId1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175</w:t>
      </w:r>
      <w:r>
        <w:rPr>
          <w:rtl w:val="true"/>
        </w:rPr>
        <w:t xml:space="preserve">, </w:t>
      </w:r>
      <w:r>
        <w:rPr/>
        <w:t>188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); </w:t>
      </w:r>
      <w:hyperlink r:id="rId1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2505/07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8.4.2008</w:t>
      </w:r>
      <w:r>
        <w:rPr>
          <w:rtl w:val="true"/>
        </w:rPr>
        <w:t xml:space="preserve">); </w:t>
      </w:r>
      <w:hyperlink r:id="rId1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14.2.2021</w:t>
      </w:r>
      <w:r>
        <w:rPr>
          <w:rtl w:val="true"/>
        </w:rPr>
        <w:t xml:space="preserve">)).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.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ומדגישים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,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בעולם</w:t>
      </w:r>
      <w:r>
        <w:rPr>
          <w:rtl w:val="true"/>
        </w:rPr>
        <w:t xml:space="preserve">. (...) </w:t>
      </w:r>
    </w:p>
    <w:p>
      <w:pPr>
        <w:pStyle w:val="Ruller5"/>
        <w:ind w:end="1282"/>
        <w:jc w:val="both"/>
        <w:rPr/>
      </w:pP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מגלם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מבטא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החשיבות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המיוחדת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האדם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המיוחדת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שבקיפוחם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וההוקעה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החברתית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ולעושה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(...)</w:t>
      </w:r>
    </w:p>
    <w:p>
      <w:pPr>
        <w:pStyle w:val="Ruller5"/>
        <w:ind w:end="1282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(...)</w:t>
      </w:r>
    </w:p>
    <w:p>
      <w:pPr>
        <w:pStyle w:val="Ruller5"/>
        <w:ind w:end="1282"/>
        <w:jc w:val="both"/>
        <w:rPr/>
      </w:pP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קוהרנטיות</w:t>
      </w:r>
      <w:r>
        <w:rPr>
          <w:rtl w:val="true"/>
        </w:rPr>
        <w:t xml:space="preserve">,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קצובה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ולהותיר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לקציבה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לוועדת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השחרורים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17-16</w:t>
      </w:r>
      <w:r>
        <w:rPr>
          <w:rtl w:val="true"/>
        </w:rPr>
        <w:t xml:space="preserve">;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>)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שבסעיף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מבטא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החשיבות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המיוחדת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המיוחדת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הנלווית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לקיפוח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וההוקעה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החברתית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ולעושה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מאפשרת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גמישות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והטלת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המתאימים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... </w:t>
      </w:r>
      <w:r>
        <w:rPr>
          <w:rtl w:val="true"/>
        </w:rPr>
        <w:t>שהוראות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המשמעות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170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>)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בכתובים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חורב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749</w:t>
      </w:r>
      <w:r>
        <w:rPr>
          <w:rtl w:val="true"/>
        </w:rPr>
        <w:t xml:space="preserve">, </w:t>
      </w:r>
      <w:r>
        <w:rPr/>
        <w:t>751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חבני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49-48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 </w:t>
      </w:r>
      <w:r>
        <w:rPr>
          <w:rtl w:val="true"/>
        </w:rPr>
        <w:t>העולה</w:t>
      </w:r>
      <w:r>
        <w:rPr>
          <w:rtl w:val="true"/>
        </w:rPr>
        <w:t xml:space="preserve"> </w:t>
      </w:r>
      <w:r>
        <w:rPr>
          <w:rtl w:val="true"/>
        </w:rPr>
        <w:t>מדברי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שלפיו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התקיימה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נסיבה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מהרשימה</w:t>
      </w:r>
      <w:r>
        <w:rPr>
          <w:rtl w:val="true"/>
        </w:rPr>
        <w:t xml:space="preserve"> </w:t>
      </w:r>
      <w:r>
        <w:rPr>
          <w:rtl w:val="true"/>
        </w:rPr>
        <w:t>המנויה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tl w:val="true"/>
        </w:rPr>
        <w:t xml:space="preserve"> </w:t>
      </w:r>
      <w:r>
        <w:rPr>
          <w:rtl w:val="true"/>
        </w:rPr>
        <w:t>להידרש</w:t>
      </w:r>
      <w:r>
        <w:rPr>
          <w:rtl w:val="true"/>
        </w:rPr>
        <w:t xml:space="preserve"> </w:t>
      </w:r>
      <w:r>
        <w:rPr>
          <w:rtl w:val="true"/>
        </w:rPr>
        <w:t>לעניינו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קו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סותר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חזיתי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להותיר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אפשרות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התקיימה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מהנסיבות</w:t>
      </w:r>
      <w:r>
        <w:rPr>
          <w:rtl w:val="true"/>
        </w:rPr>
        <w:t xml:space="preserve"> </w:t>
      </w:r>
      <w:r>
        <w:rPr>
          <w:rtl w:val="true"/>
        </w:rPr>
        <w:t>המחמירות</w:t>
      </w:r>
      <w:r>
        <w:rPr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hyperlink r:id="rId1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המנויות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עצם</w:t>
      </w:r>
      <w:r>
        <w:rPr>
          <w:rtl w:val="true"/>
        </w:rPr>
        <w:t xml:space="preserve"> </w:t>
      </w:r>
      <w:r>
        <w:rPr>
          <w:rtl w:val="true"/>
        </w:rPr>
        <w:t>קיומה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האפשרות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ומלמד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יכולות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 </w:t>
      </w:r>
      <w:r>
        <w:rPr>
          <w:rtl w:val="true"/>
        </w:rPr>
        <w:t>המצדיקות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הצוות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נכללו</w:t>
      </w:r>
      <w:r>
        <w:rPr>
          <w:rtl w:val="true"/>
        </w:rPr>
        <w:t xml:space="preserve"> </w:t>
      </w:r>
      <w:r>
        <w:rPr>
          <w:rtl w:val="true"/>
        </w:rPr>
        <w:t>באף</w:t>
      </w:r>
      <w:r>
        <w:rPr>
          <w:rtl w:val="true"/>
        </w:rPr>
        <w:t xml:space="preserve"> </w:t>
      </w:r>
      <w:r>
        <w:rPr>
          <w:rtl w:val="true"/>
        </w:rPr>
        <w:t>וריאציה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נסיבה</w:t>
      </w:r>
      <w:r>
        <w:rPr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משיקה</w:t>
      </w:r>
      <w:r>
        <w:rPr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 </w:t>
      </w:r>
      <w:r>
        <w:rPr>
          <w:rtl w:val="true"/>
        </w:rPr>
        <w:t>כלולה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לסיפא</w:t>
      </w:r>
      <w:r>
        <w:rPr>
          <w:rtl w:val="true"/>
        </w:rPr>
        <w:t xml:space="preserve">, </w:t>
      </w:r>
      <w:r>
        <w:rPr>
          <w:rtl w:val="true"/>
        </w:rPr>
        <w:t>כוונתי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שאכזריותו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כוונתו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 </w:t>
      </w:r>
      <w:r>
        <w:rPr>
          <w:rtl w:val="true"/>
        </w:rPr>
        <w:t>יהוו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המצדיקות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tl w:val="true"/>
        </w:rPr>
        <w:t xml:space="preserve"> </w:t>
      </w:r>
      <w:r>
        <w:rPr>
          <w:rtl w:val="true"/>
        </w:rPr>
        <w:t>מתמונה</w:t>
      </w:r>
      <w:r>
        <w:rPr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המורשע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tl w:val="true"/>
        </w:rPr>
        <w:t xml:space="preserve"> </w:t>
      </w:r>
      <w:r>
        <w:rPr>
          <w:rtl w:val="true"/>
        </w:rPr>
        <w:t>שהאכזריות</w:t>
      </w:r>
      <w:r>
        <w:rPr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אכזריות</w:t>
      </w:r>
      <w:r>
        <w:rPr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" </w:t>
      </w:r>
      <w:r>
        <w:rPr>
          <w:rtl w:val="true"/>
        </w:rPr>
        <w:t>כמשמעה</w:t>
      </w:r>
      <w:r>
        <w:rPr>
          <w:rtl w:val="true"/>
        </w:rPr>
        <w:t xml:space="preserve"> </w:t>
      </w:r>
      <w:r>
        <w:rPr>
          <w:rtl w:val="true"/>
        </w:rPr>
        <w:t>בנסיבה</w:t>
      </w:r>
      <w:r>
        <w:rPr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 </w:t>
      </w:r>
      <w:r>
        <w:rPr>
          <w:rtl w:val="true"/>
        </w:rPr>
        <w:t>המנויה</w:t>
      </w:r>
      <w:r>
        <w:rPr>
          <w:rtl w:val="true"/>
        </w:rPr>
        <w:t xml:space="preserve"> </w:t>
      </w:r>
      <w:hyperlink r:id="rId14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שהכוונה</w:t>
      </w:r>
      <w:r>
        <w:rPr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 </w:t>
      </w:r>
      <w:r>
        <w:rPr>
          <w:rtl w:val="true"/>
        </w:rPr>
        <w:t>וגיבוש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" </w:t>
      </w:r>
      <w:r>
        <w:rPr>
          <w:rtl w:val="true"/>
        </w:rPr>
        <w:t>כמשמעו</w:t>
      </w:r>
      <w:r>
        <w:rPr>
          <w:rtl w:val="true"/>
        </w:rPr>
        <w:t xml:space="preserve"> </w:t>
      </w:r>
      <w:r>
        <w:rPr>
          <w:rtl w:val="true"/>
        </w:rPr>
        <w:t>בנסיבה</w:t>
      </w:r>
      <w:r>
        <w:rPr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 </w:t>
      </w:r>
      <w:r>
        <w:rPr>
          <w:rtl w:val="true"/>
        </w:rPr>
        <w:t>המנויה</w:t>
      </w:r>
      <w:r>
        <w:rPr>
          <w:rtl w:val="true"/>
        </w:rPr>
        <w:t xml:space="preserve"> </w:t>
      </w:r>
      <w:hyperlink r:id="rId14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 </w:t>
      </w:r>
      <w:r>
        <w:rPr>
          <w:rtl w:val="true"/>
        </w:rPr>
        <w:t>בהדגשתן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מעין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כטיעונים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להטלת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hyperlink r:id="rId1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הקובע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אכזריות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התעללות</w:t>
      </w:r>
      <w:r>
        <w:rPr>
          <w:rtl w:val="true"/>
        </w:rPr>
        <w:t xml:space="preserve"> </w:t>
      </w:r>
      <w:r>
        <w:rPr>
          <w:rtl w:val="true"/>
        </w:rPr>
        <w:t>בנפגע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מהווה</w:t>
      </w:r>
      <w:r>
        <w:rPr>
          <w:rtl w:val="true"/>
        </w:rPr>
        <w:t xml:space="preserve"> </w:t>
      </w:r>
      <w:r>
        <w:rPr>
          <w:rtl w:val="true"/>
        </w:rPr>
        <w:t>נסיבה</w:t>
      </w:r>
      <w:r>
        <w:rPr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</w:t>
      </w:r>
      <w:r>
        <w:rPr>
          <w:rtl w:val="true"/>
        </w:rPr>
        <w:t>שעמדנו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שבמקרים</w:t>
      </w:r>
      <w:r>
        <w:rPr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 </w:t>
      </w:r>
      <w:r>
        <w:rPr>
          <w:rtl w:val="true"/>
        </w:rPr>
        <w:t>מוצדק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נותרה</w:t>
      </w:r>
      <w:r>
        <w:rPr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אמות</w:t>
      </w:r>
      <w:r>
        <w:rPr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 </w:t>
      </w:r>
      <w:r>
        <w:rPr>
          <w:rtl w:val="true"/>
        </w:rPr>
        <w:t>לזיהוּיָם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מוגדרות</w:t>
      </w:r>
      <w:r>
        <w:rPr>
          <w:rtl w:val="true"/>
        </w:rPr>
        <w:t xml:space="preserve"> </w:t>
      </w:r>
      <w:r>
        <w:rPr>
          <w:rtl w:val="true"/>
        </w:rPr>
        <w:t>ומדויקות</w:t>
      </w:r>
      <w:r>
        <w:rPr>
          <w:rtl w:val="true"/>
        </w:rPr>
        <w:t xml:space="preserve">. </w:t>
      </w:r>
      <w:r>
        <w:rPr>
          <w:rtl w:val="true"/>
        </w:rPr>
        <w:t>כמבואר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כעונש</w:t>
      </w:r>
      <w:r>
        <w:rPr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שנכנסו</w:t>
      </w:r>
      <w:r>
        <w:rPr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 </w:t>
      </w:r>
      <w:r>
        <w:rPr>
          <w:rtl w:val="true"/>
        </w:rPr>
        <w:t>בגדרי</w:t>
      </w:r>
      <w:r>
        <w:rPr>
          <w:rtl w:val="true"/>
        </w:rPr>
        <w:t xml:space="preserve"> </w:t>
      </w:r>
      <w:hyperlink r:id="rId1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חידוש</w:t>
      </w:r>
      <w:r>
        <w:rPr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 </w:t>
      </w:r>
      <w:r>
        <w:rPr>
          <w:rtl w:val="true"/>
        </w:rPr>
        <w:t>ברפורמה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שנכנסה</w:t>
      </w:r>
      <w:r>
        <w:rPr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 </w:t>
      </w:r>
      <w:r>
        <w:rPr>
          <w:rtl w:val="true"/>
        </w:rPr>
        <w:t>משלוש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חידוש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עודנה</w:t>
      </w:r>
      <w:r>
        <w:rPr>
          <w:rtl w:val="true"/>
        </w:rPr>
        <w:t xml:space="preserve"> </w:t>
      </w:r>
      <w:r>
        <w:rPr>
          <w:rtl w:val="true"/>
        </w:rPr>
        <w:t>בתהליכי</w:t>
      </w:r>
      <w:r>
        <w:rPr>
          <w:rtl w:val="true"/>
        </w:rPr>
        <w:t xml:space="preserve"> </w:t>
      </w:r>
      <w:r>
        <w:rPr>
          <w:rtl w:val="true"/>
        </w:rPr>
        <w:t>גיבוש</w:t>
      </w:r>
      <w:r>
        <w:rPr>
          <w:rtl w:val="true"/>
        </w:rPr>
        <w:t xml:space="preserve">; </w:t>
      </w:r>
      <w:r>
        <w:rPr>
          <w:rtl w:val="true"/>
        </w:rPr>
        <w:t>התפתחותה</w:t>
      </w:r>
      <w:r>
        <w:rPr>
          <w:rtl w:val="true"/>
        </w:rPr>
        <w:t xml:space="preserve"> </w:t>
      </w:r>
      <w:r>
        <w:rPr>
          <w:rtl w:val="true"/>
        </w:rPr>
        <w:t>תיעשה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טבעי</w:t>
      </w:r>
      <w:r>
        <w:rPr>
          <w:rtl w:val="true"/>
        </w:rPr>
        <w:t xml:space="preserve">, </w:t>
      </w:r>
      <w:r>
        <w:rPr>
          <w:rtl w:val="true"/>
        </w:rPr>
        <w:t>ממקרה</w:t>
      </w:r>
      <w:r>
        <w:rPr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, </w:t>
      </w:r>
      <w:r>
        <w:rPr>
          <w:rtl w:val="true"/>
        </w:rPr>
        <w:t>בחלוף</w:t>
      </w:r>
      <w:r>
        <w:rPr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התפתחות</w:t>
      </w:r>
      <w:r>
        <w:rPr>
          <w:rtl w:val="true"/>
        </w:rPr>
        <w:t xml:space="preserve"> </w:t>
      </w:r>
      <w:r>
        <w:rPr>
          <w:rtl w:val="true"/>
        </w:rPr>
        <w:t>קזואיסטית</w:t>
      </w:r>
      <w:r>
        <w:rPr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 </w:t>
      </w:r>
      <w:r>
        <w:rPr>
          <w:rtl w:val="true"/>
        </w:rPr>
        <w:t>תביא</w:t>
      </w:r>
      <w:r>
        <w:rPr>
          <w:rtl w:val="true"/>
        </w:rPr>
        <w:t xml:space="preserve"> </w:t>
      </w:r>
      <w:r>
        <w:rPr>
          <w:rtl w:val="true"/>
        </w:rPr>
        <w:t>לכללים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 </w:t>
      </w:r>
      <w:r>
        <w:rPr>
          <w:rtl w:val="true"/>
        </w:rPr>
        <w:t>למבחני</w:t>
      </w:r>
      <w:r>
        <w:rPr>
          <w:rtl w:val="true"/>
        </w:rPr>
        <w:t xml:space="preserve"> </w:t>
      </w:r>
      <w:r>
        <w:rPr>
          <w:rtl w:val="true"/>
        </w:rPr>
        <w:t>עזר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למהר</w:t>
      </w:r>
      <w:r>
        <w:rPr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 </w:t>
      </w:r>
      <w:r>
        <w:rPr>
          <w:rtl w:val="true"/>
        </w:rPr>
        <w:t>לשלב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זהו תהליך אבולוציוני ולא רבולוציוני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מאפיין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הקבוע</w:t>
      </w:r>
      <w:r>
        <w:rPr>
          <w:rtl w:val="true"/>
        </w:rPr>
        <w:t xml:space="preserve"> </w:t>
      </w:r>
      <w:r>
        <w:rPr>
          <w:rtl w:val="true"/>
        </w:rPr>
        <w:t>בצידה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 </w:t>
      </w:r>
      <w:r>
        <w:rPr>
          <w:rtl w:val="true"/>
        </w:rPr>
        <w:t>רשימה</w:t>
      </w:r>
      <w:r>
        <w:rPr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 </w:t>
      </w:r>
      <w:r>
        <w:rPr>
          <w:rtl w:val="true"/>
        </w:rPr>
        <w:t>ומוגדרת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דו״ח</w:t>
      </w:r>
      <w:r>
        <w:rPr>
          <w:rtl w:val="true"/>
        </w:rPr>
        <w:t xml:space="preserve"> </w:t>
      </w:r>
      <w:r>
        <w:rPr>
          <w:rtl w:val="true"/>
        </w:rPr>
        <w:t>הצוות</w:t>
      </w:r>
      <w:r>
        <w:rPr>
          <w:rtl w:val="true"/>
        </w:rPr>
        <w:t xml:space="preserve">, </w:t>
      </w:r>
      <w:r>
        <w:rPr>
          <w:rtl w:val="true"/>
        </w:rPr>
        <w:t>בעמ׳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כלשון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״</w:t>
      </w:r>
      <w:r>
        <w:rPr>
          <w:rtl w:val="true"/>
        </w:rPr>
        <w:t>...</w:t>
      </w:r>
      <w:r>
        <w:rPr>
          <w:rtl w:val="true"/>
        </w:rPr>
        <w:t>באחת</w:t>
      </w:r>
      <w:r>
        <w:rPr>
          <w:rtl w:val="true"/>
        </w:rPr>
        <w:t xml:space="preserve"> </w:t>
      </w:r>
      <w:r>
        <w:rPr>
          <w:rtl w:val="true"/>
        </w:rPr>
        <w:t>מהנסיבות</w:t>
      </w:r>
      <w:r>
        <w:rPr>
          <w:rtl w:val="true"/>
        </w:rPr>
        <w:t xml:space="preserve"> </w:t>
      </w:r>
      <w:r>
        <w:rPr>
          <w:rtl w:val="true"/>
        </w:rPr>
        <w:t>המפורטות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tl w:val="true"/>
        </w:rPr>
        <w:t xml:space="preserve"> –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ועונש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בלבד״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מופיעות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. </w:t>
      </w:r>
      <w:r>
        <w:rPr>
          <w:rtl w:val="true"/>
        </w:rPr>
        <w:t>יושם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 </w:t>
      </w:r>
      <w:hyperlink r:id="rId15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>-</w:t>
      </w:r>
      <w:r>
        <w:rPr>
          <w:rtl w:val="true"/>
        </w:rPr>
        <w:t>סל</w:t>
      </w:r>
      <w:r>
        <w:rPr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 </w:t>
      </w:r>
      <w:r>
        <w:rPr>
          <w:rtl w:val="true"/>
        </w:rPr>
        <w:t>שמאפשר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שאיננו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 </w:t>
      </w:r>
      <w:r>
        <w:rPr>
          <w:rtl w:val="true"/>
        </w:rPr>
        <w:t>ברשימה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החריג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בכיוון</w:t>
      </w:r>
      <w:r>
        <w:rPr>
          <w:rtl w:val="true"/>
        </w:rPr>
        <w:t xml:space="preserve"> </w:t>
      </w:r>
      <w:r>
        <w:rPr>
          <w:rtl w:val="true"/>
        </w:rPr>
        <w:t>ההפוך</w:t>
      </w:r>
      <w:r>
        <w:rPr>
          <w:rtl w:val="true"/>
        </w:rPr>
        <w:t xml:space="preserve">;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שבמקרה</w:t>
      </w:r>
      <w:r>
        <w:rPr>
          <w:rtl w:val="true"/>
        </w:rPr>
        <w:t xml:space="preserve"> </w:t>
      </w:r>
      <w:r>
        <w:rPr>
          <w:rtl w:val="true"/>
        </w:rPr>
        <w:t>פרטני</w:t>
      </w:r>
      <w:r>
        <w:rPr>
          <w:rtl w:val="true"/>
        </w:rPr>
        <w:t xml:space="preserve"> </w:t>
      </w:r>
      <w:r>
        <w:rPr>
          <w:rtl w:val="true"/>
        </w:rPr>
        <w:t>מתקיימת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מהנסיבות</w:t>
      </w:r>
      <w:r>
        <w:rPr>
          <w:rtl w:val="true"/>
        </w:rPr>
        <w:t xml:space="preserve"> </w:t>
      </w:r>
      <w:r>
        <w:rPr>
          <w:rtl w:val="true"/>
        </w:rPr>
        <w:t>ברשימה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״מתקיימות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 </w:t>
      </w:r>
      <w:r>
        <w:rPr>
          <w:rtl w:val="true"/>
        </w:rPr>
        <w:t>שבשלהן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 </w:t>
      </w:r>
      <w:r>
        <w:rPr>
          <w:rtl w:val="true"/>
        </w:rPr>
        <w:t>דרגת</w:t>
      </w:r>
      <w:r>
        <w:rPr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sz w:val="22"/>
          <w:szCs w:val="24"/>
          <w:rtl w:val="true"/>
        </w:rPr>
        <w:t>[</w:t>
      </w:r>
      <w:r>
        <w:rPr>
          <w:sz w:val="22"/>
          <w:sz w:val="22"/>
          <w:szCs w:val="24"/>
          <w:rtl w:val="true"/>
        </w:rPr>
        <w:t>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] </w:t>
      </w:r>
      <w:r>
        <w:rPr>
          <w:rtl w:val="true"/>
        </w:rPr>
        <w:t>להרשיע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5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</w:hyperlink>
      <w:r>
        <w:rPr>
          <w:rtl w:val="true"/>
        </w:rPr>
        <w:t xml:space="preserve"> </w:t>
      </w:r>
      <w:r>
        <w:rPr>
          <w:sz w:val="22"/>
          <w:szCs w:val="24"/>
          <w:rtl w:val="true"/>
        </w:rPr>
        <w:t>[</w:t>
      </w:r>
      <w:r>
        <w:rPr>
          <w:sz w:val="22"/>
          <w:sz w:val="22"/>
          <w:szCs w:val="24"/>
          <w:rtl w:val="true"/>
        </w:rPr>
        <w:t>עבירת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הבסיסית</w:t>
      </w:r>
      <w:r>
        <w:rPr>
          <w:sz w:val="22"/>
          <w:szCs w:val="24"/>
          <w:rtl w:val="true"/>
        </w:rPr>
        <w:t>]</w:t>
      </w:r>
      <w:r>
        <w:rPr>
          <w:rtl w:val="true"/>
        </w:rPr>
        <w:t>״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ייצא</w:t>
      </w:r>
      <w:r>
        <w:rPr>
          <w:rtl w:val="true"/>
        </w:rPr>
        <w:t xml:space="preserve"> </w:t>
      </w:r>
      <w:r>
        <w:rPr>
          <w:rtl w:val="true"/>
        </w:rPr>
        <w:t>מעבירת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ויועבר</w:t>
      </w:r>
      <w:r>
        <w:rPr>
          <w:rtl w:val="true"/>
        </w:rPr>
        <w:t xml:space="preserve"> </w:t>
      </w:r>
      <w:r>
        <w:rPr>
          <w:rtl w:val="true"/>
        </w:rPr>
        <w:t>לעבירת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כוללת</w:t>
      </w:r>
      <w:r>
        <w:rPr>
          <w:rtl w:val="true"/>
        </w:rPr>
        <w:t xml:space="preserve"> </w:t>
      </w:r>
      <w:r>
        <w:rPr>
          <w:rtl w:val="true"/>
        </w:rPr>
        <w:t>הנחיה</w:t>
      </w:r>
      <w:r>
        <w:rPr>
          <w:rtl w:val="true"/>
        </w:rPr>
        <w:t xml:space="preserve"> </w:t>
      </w:r>
      <w:r>
        <w:rPr>
          <w:rtl w:val="true"/>
        </w:rPr>
        <w:t>מתי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נפנה</w:t>
      </w:r>
      <w:r>
        <w:rPr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 </w:t>
      </w:r>
      <w:r>
        <w:rPr>
          <w:rtl w:val="true"/>
        </w:rPr>
        <w:t>לדברי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״על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, </w:t>
      </w:r>
      <w:r>
        <w:rPr>
          <w:rtl w:val="true"/>
        </w:rPr>
        <w:t>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לחקיקתו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1995</w:t>
      </w:r>
      <w:r>
        <w:rPr>
          <w:rtl w:val="true"/>
        </w:rPr>
        <w:t>. (...)</w:t>
      </w:r>
    </w:p>
    <w:p>
      <w:pPr>
        <w:pStyle w:val="Ruller5"/>
        <w:ind w:end="1282"/>
        <w:jc w:val="both"/>
        <w:rPr/>
      </w:pPr>
      <w:r>
        <w:rPr>
          <w:rtl w:val="true"/>
        </w:rPr>
        <w:t>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שבסעיף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וההוקעה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>.</w:t>
      </w:r>
      <w:r>
        <w:rPr>
          <w:rtl w:val="true"/>
        </w:rPr>
        <w:t>״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בעמ׳</w:t>
      </w:r>
      <w:r>
        <w:rPr>
          <w:rFonts w:eastAsia="Arial TUR;Arial" w:cs="Arial TUR;Arial"/>
          <w:rtl w:val="true"/>
        </w:rPr>
        <w:t xml:space="preserve"> </w:t>
      </w:r>
      <w:r>
        <w:rPr/>
        <w:t>170-169</w:t>
      </w:r>
      <w:r>
        <w:rPr>
          <w:rtl w:val="true"/>
        </w:rPr>
        <w:t>)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המהווים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, </w:t>
      </w:r>
      <w:r>
        <w:rPr>
          <w:rtl w:val="true"/>
        </w:rPr>
        <w:t>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״שבהם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אשמה״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בעמ׳</w:t>
      </w:r>
      <w:r>
        <w:rPr>
          <w:rFonts w:eastAsia="Arial TUR;Arial" w:cs="Arial TUR;Arial"/>
          <w:rtl w:val="true"/>
        </w:rPr>
        <w:t xml:space="preserve"> </w:t>
      </w:r>
      <w:r>
        <w:rPr/>
        <w:t>173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דו״ח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tl w:val="true"/>
        </w:rPr>
        <w:t xml:space="preserve">, </w:t>
      </w:r>
      <w:r>
        <w:rPr>
          <w:rtl w:val="true"/>
        </w:rPr>
        <w:t>בעמ׳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השקפתי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מכוונת</w:t>
      </w:r>
      <w:r>
        <w:rPr>
          <w:rtl w:val="true"/>
        </w:rPr>
        <w:t xml:space="preserve">, </w:t>
      </w:r>
      <w:r>
        <w:rPr>
          <w:rtl w:val="true"/>
        </w:rPr>
        <w:t>ובחר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משתלב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: </w:t>
      </w:r>
      <w:r>
        <w:rPr>
          <w:rtl w:val="true"/>
        </w:rPr>
        <w:t>העיקרון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5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;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5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-</w:t>
      </w:r>
      <w:r>
        <w:rPr>
          <w:rtl w:val="true"/>
        </w:rPr>
        <w:t>שלבית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ושוויוני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מהגשמתן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מקצותיו</w:t>
      </w:r>
      <w:r>
        <w:rPr>
          <w:rtl w:val="true"/>
        </w:rPr>
        <w:t xml:space="preserve">.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57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6755/09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אלמוג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פס׳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16.11.2009</w:t>
      </w:r>
      <w:r>
        <w:rPr>
          <w:rtl w:val="true"/>
        </w:rPr>
        <w:t xml:space="preserve">); </w:t>
      </w:r>
      <w:hyperlink r:id="rId158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קיקס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פס׳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24.2.2019</w:t>
      </w:r>
      <w:r>
        <w:rPr>
          <w:rtl w:val="true"/>
        </w:rPr>
        <w:t xml:space="preserve">)).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.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וטבעו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סטנדרטי</w:t>
      </w:r>
      <w:r>
        <w:rPr>
          <w:rtl w:val="true"/>
        </w:rPr>
        <w:t xml:space="preserve">". </w:t>
      </w:r>
      <w:r>
        <w:rPr>
          <w:rtl w:val="true"/>
        </w:rPr>
        <w:t>כדבריו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חשין</w:t>
      </w:r>
      <w:r>
        <w:rPr>
          <w:rtl w:val="true"/>
        </w:rPr>
        <w:t>, "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הנשמה</w:t>
      </w:r>
      <w:r>
        <w:rPr>
          <w:rtl w:val="true"/>
        </w:rPr>
        <w:t>" (</w:t>
      </w:r>
      <w:hyperlink r:id="rId1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1742/91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/>
        <w:t>307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)).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איכותי</w:t>
      </w:r>
      <w:r>
        <w:rPr>
          <w:rtl w:val="true"/>
        </w:rPr>
        <w:t xml:space="preserve">. </w:t>
      </w:r>
      <w:r>
        <w:rPr>
          <w:rtl w:val="true"/>
        </w:rPr>
        <w:t>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הנייר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המיוחדוּת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הכמותית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והאיכותית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וממשית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והפסיקה</w:t>
      </w:r>
      <w:r>
        <w:rPr>
          <w:rtl w:val="true"/>
        </w:rPr>
        <w:t xml:space="preserve">, </w:t>
      </w:r>
      <w:r>
        <w:rPr>
          <w:rtl w:val="true"/>
        </w:rPr>
        <w:t>ומודעות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ולאמירת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סטטיסטיקה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למשבצת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למשבצת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ולהשוותו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: </w:t>
      </w:r>
      <w:hyperlink r:id="rId1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)).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להיזהר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כמצוות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לנוכח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tl w:val="true"/>
        </w:rPr>
        <w:t xml:space="preserve"> </w:t>
      </w:r>
      <w:r>
        <w:rPr>
          <w:rtl w:val="true"/>
        </w:rPr>
        <w:t>נידון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28.5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לצד הפעלת עונש מאסר על תנאי בן חצי שנה</w:t>
      </w:r>
      <w:r>
        <w:rPr>
          <w:rtl w:val="true"/>
        </w:rPr>
        <w:t>)</w:t>
      </w:r>
      <w:r>
        <w:rPr>
          <w:rtl w:val="true"/>
        </w:rPr>
        <w:t xml:space="preserve">?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סברה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שראוי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הגם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כיום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ההחמרה בעונשו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הנוכחיות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השתנו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ואילו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 </w:t>
      </w:r>
      <w:r>
        <w:rPr>
          <w:rtl w:val="true"/>
        </w:rPr>
        <w:t>נידון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עמדת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מבוססת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כעולה</w:t>
      </w:r>
      <w:r>
        <w:rPr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 </w:t>
      </w:r>
      <w:r>
        <w:rPr>
          <w:rtl w:val="true"/>
        </w:rPr>
        <w:t>מגזרי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 </w:t>
      </w:r>
      <w:r>
        <w:rPr>
          <w:rtl w:val="true"/>
        </w:rPr>
        <w:t>שניתנו</w:t>
      </w:r>
      <w:r>
        <w:rPr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 –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שהיו</w:t>
      </w:r>
      <w:r>
        <w:rPr>
          <w:rtl w:val="true"/>
        </w:rPr>
        <w:t xml:space="preserve"> </w:t>
      </w:r>
      <w:r>
        <w:rPr>
          <w:rtl w:val="true"/>
        </w:rPr>
        <w:t>ידועות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שלשיטתו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מספק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נוצרו</w:t>
      </w:r>
      <w:r>
        <w:rPr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משעבר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מוחי</w:t>
      </w:r>
      <w:r>
        <w:rPr>
          <w:rtl w:val="true"/>
        </w:rPr>
        <w:t xml:space="preserve"> </w:t>
      </w:r>
      <w:r>
        <w:rPr>
          <w:rtl w:val="true"/>
        </w:rPr>
        <w:t>כשבוע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מעלות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שאלות</w:t>
      </w:r>
      <w:r>
        <w:rPr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 </w:t>
      </w:r>
      <w:r>
        <w:rPr>
          <w:rtl w:val="true"/>
        </w:rPr>
        <w:t>ונפרדות</w:t>
      </w:r>
      <w:r>
        <w:rPr>
          <w:rtl w:val="true"/>
        </w:rPr>
        <w:t xml:space="preserve">: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מהו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?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מהו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שראוי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? </w:t>
      </w:r>
      <w:r>
        <w:rPr>
          <w:rtl w:val="true"/>
        </w:rPr>
        <w:t>מוסכם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לתת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התשובה</w:t>
      </w:r>
      <w:r>
        <w:rPr>
          <w:rtl w:val="true"/>
        </w:rPr>
        <w:t xml:space="preserve"> </w:t>
      </w:r>
      <w:r>
        <w:rPr>
          <w:rtl w:val="true"/>
        </w:rPr>
        <w:t>לשתי</w:t>
      </w:r>
      <w:r>
        <w:rPr>
          <w:rtl w:val="true"/>
        </w:rPr>
        <w:t xml:space="preserve"> </w:t>
      </w:r>
      <w:r>
        <w:rPr>
          <w:rtl w:val="true"/>
        </w:rPr>
        <w:t>השאלות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 </w:t>
      </w:r>
      <w:r>
        <w:rPr>
          <w:rtl w:val="true"/>
        </w:rPr>
        <w:t>לתשובה</w:t>
      </w:r>
      <w:r>
        <w:rPr>
          <w:rtl w:val="true"/>
        </w:rPr>
        <w:t xml:space="preserve"> </w:t>
      </w:r>
      <w:r>
        <w:rPr>
          <w:rtl w:val="true"/>
        </w:rPr>
        <w:t>בשאלה</w:t>
      </w:r>
      <w:r>
        <w:rPr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 </w:t>
      </w:r>
      <w:r>
        <w:rPr>
          <w:rtl w:val="true"/>
        </w:rPr>
        <w:t>לעבור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בטרם</w:t>
      </w:r>
      <w:r>
        <w:rPr>
          <w:rtl w:val="true"/>
        </w:rPr>
        <w:t xml:space="preserve"> </w:t>
      </w:r>
      <w:r>
        <w:rPr>
          <w:rtl w:val="true"/>
        </w:rPr>
        <w:t>ניגש</w:t>
      </w:r>
      <w:r>
        <w:rPr>
          <w:rtl w:val="true"/>
        </w:rPr>
        <w:t xml:space="preserve"> </w:t>
      </w:r>
      <w:r>
        <w:rPr>
          <w:rtl w:val="true"/>
        </w:rPr>
        <w:t>לשאלות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תפקידה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 </w:t>
      </w:r>
      <w:r>
        <w:rPr>
          <w:rtl w:val="true"/>
        </w:rPr>
        <w:t>מתפקידה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כשמו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;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לערכאת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בעונש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tl w:val="true"/>
        </w:rPr>
        <w:t xml:space="preserve"> </w:t>
      </w:r>
      <w:r>
        <w:rPr>
          <w:rtl w:val="true"/>
        </w:rPr>
        <w:t>שמלכתחילה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גוזרת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שגזרה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 </w:t>
      </w:r>
      <w:r>
        <w:rPr>
          <w:rtl w:val="true"/>
        </w:rPr>
        <w:t>העקרוני</w:t>
      </w:r>
      <w:r>
        <w:rPr>
          <w:rtl w:val="true"/>
        </w:rPr>
        <w:t xml:space="preserve"> </w:t>
      </w:r>
      <w:r>
        <w:rPr>
          <w:rtl w:val="true"/>
        </w:rPr>
        <w:t>והתקדימי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השאלות</w:t>
      </w:r>
      <w:r>
        <w:rPr>
          <w:rtl w:val="true"/>
        </w:rPr>
        <w:t xml:space="preserve"> </w:t>
      </w:r>
      <w:r>
        <w:rPr>
          <w:rtl w:val="true"/>
        </w:rPr>
        <w:t>שמעורר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tl w:val="true"/>
        </w:rPr>
        <w:t xml:space="preserve"> </w:t>
      </w:r>
      <w:r>
        <w:rPr>
          <w:rtl w:val="true"/>
        </w:rPr>
        <w:t>שמדיניות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כנוסחה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טרם</w:t>
      </w:r>
      <w:r>
        <w:rPr>
          <w:rtl w:val="true"/>
        </w:rPr>
        <w:t xml:space="preserve"> </w:t>
      </w:r>
      <w:r>
        <w:rPr>
          <w:rtl w:val="true"/>
        </w:rPr>
        <w:t>התעצבה</w:t>
      </w:r>
      <w:r>
        <w:rPr>
          <w:rtl w:val="true"/>
        </w:rPr>
        <w:t xml:space="preserve"> </w:t>
      </w:r>
      <w:r>
        <w:rPr>
          <w:rtl w:val="true"/>
        </w:rPr>
        <w:t>ועודנה</w:t>
      </w:r>
      <w:r>
        <w:rPr>
          <w:rtl w:val="true"/>
        </w:rPr>
        <w:t xml:space="preserve"> </w:t>
      </w:r>
      <w:r>
        <w:rPr>
          <w:rtl w:val="true"/>
        </w:rPr>
        <w:t>מצויה</w:t>
      </w:r>
      <w:r>
        <w:rPr>
          <w:rtl w:val="true"/>
        </w:rPr>
        <w:t xml:space="preserve"> </w:t>
      </w:r>
      <w:r>
        <w:rPr>
          <w:rtl w:val="true"/>
        </w:rPr>
        <w:t>בתהליכי</w:t>
      </w:r>
      <w:r>
        <w:rPr>
          <w:rtl w:val="true"/>
        </w:rPr>
        <w:t xml:space="preserve"> </w:t>
      </w:r>
      <w:r>
        <w:rPr>
          <w:rtl w:val="true"/>
        </w:rPr>
        <w:t>גיבוש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לנוכח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הקונקרטיות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– </w:t>
      </w:r>
      <w:r>
        <w:rPr>
          <w:rtl w:val="true"/>
        </w:rPr>
        <w:t>מלאכת</w:t>
      </w:r>
      <w:r>
        <w:rPr>
          <w:rtl w:val="true"/>
        </w:rPr>
        <w:t xml:space="preserve"> </w:t>
      </w:r>
      <w:r>
        <w:rPr>
          <w:rtl w:val="true"/>
        </w:rPr>
        <w:t>הביקורת</w:t>
      </w:r>
      <w:r>
        <w:rPr>
          <w:rtl w:val="true"/>
        </w:rPr>
        <w:t xml:space="preserve"> </w:t>
      </w:r>
      <w:r>
        <w:rPr>
          <w:rtl w:val="true"/>
        </w:rPr>
        <w:t>הערעורית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לחומרת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לקולתו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שיפורט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שראוי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שהערכאה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תגזור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 </w:t>
      </w:r>
      <w:r>
        <w:rPr>
          <w:rtl w:val="true"/>
        </w:rPr>
        <w:t>בטענת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–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שהייתה</w:t>
      </w:r>
      <w:r>
        <w:rPr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 </w:t>
      </w:r>
      <w:r>
        <w:rPr>
          <w:rtl w:val="true"/>
        </w:rPr>
        <w:t>ואם</w:t>
      </w:r>
      <w:r>
        <w:rPr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חמש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tl w:val="true"/>
        </w:rPr>
        <w:t xml:space="preserve"> </w:t>
      </w:r>
      <w:r>
        <w:rPr>
          <w:rtl w:val="true"/>
        </w:rPr>
        <w:t>דקירות</w:t>
      </w:r>
      <w:r>
        <w:rPr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רצונה</w:t>
      </w:r>
      <w:r>
        <w:rPr>
          <w:rtl w:val="true"/>
        </w:rPr>
        <w:t xml:space="preserve"> </w:t>
      </w:r>
      <w:r>
        <w:rPr>
          <w:rtl w:val="true"/>
        </w:rPr>
        <w:t>להתגרש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מצדיק</w:t>
      </w:r>
      <w:r>
        <w:rPr>
          <w:rtl w:val="true"/>
        </w:rPr>
        <w:t xml:space="preserve"> </w:t>
      </w:r>
      <w:r>
        <w:rPr>
          <w:rtl w:val="true"/>
        </w:rPr>
        <w:t>הטלת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</w:t>
      </w:r>
      <w:r>
        <w:rPr>
          <w:rtl w:val="true"/>
        </w:rPr>
        <w:tab/>
      </w:r>
      <w:r>
        <w:rPr>
          <w:rtl w:val="true"/>
        </w:rPr>
        <w:t>נזכיר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28.5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ולהשתלשלות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ולתופעה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מתברר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רגילים</w:t>
      </w:r>
      <w:r>
        <w:rPr>
          <w:rtl w:val="true"/>
        </w:rPr>
        <w:t xml:space="preserve">" </w:t>
      </w:r>
      <w:r>
        <w:rPr>
          <w:rtl w:val="true"/>
        </w:rPr>
        <w:t>למיקום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</w:t>
      </w:r>
      <w:r>
        <w:rPr>
          <w:rtl w:val="true"/>
        </w:rPr>
        <w:t xml:space="preserve">, </w:t>
      </w:r>
      <w:r>
        <w:rPr>
          <w:rtl w:val="true"/>
        </w:rPr>
        <w:t>בהטלת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ויפורטו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והחרטה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ומכאן לפירוט הנסיבות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 המתוקן שבו הודה המערער</w:t>
      </w:r>
      <w:r>
        <w:rPr>
          <w:rtl w:val="true"/>
        </w:rPr>
        <w:t xml:space="preserve">, </w:t>
      </w:r>
      <w:r>
        <w:rPr>
          <w:rtl w:val="true"/>
        </w:rPr>
        <w:t>המערער והמנוחה היו נשואים זה לזו</w:t>
      </w:r>
      <w:r>
        <w:rPr>
          <w:rtl w:val="true"/>
        </w:rPr>
        <w:t xml:space="preserve">, </w:t>
      </w:r>
      <w:r>
        <w:rPr>
          <w:rtl w:val="true"/>
        </w:rPr>
        <w:t>ובמהלך חיי הנישואין התגלעו קשיים ביחסיהם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הביעה המנוחה את רצונה להתגרש מהמערער בעוד הוא ביקש לשמר את חיי הנישואין</w:t>
      </w:r>
      <w:r>
        <w:rPr>
          <w:rtl w:val="true"/>
        </w:rPr>
        <w:t xml:space="preserve">. </w:t>
      </w:r>
      <w:r>
        <w:rPr>
          <w:rtl w:val="true"/>
        </w:rPr>
        <w:t xml:space="preserve">בחודש מאי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עזבה המנוחה את ביתה המשותף עם המערער ועברה לגור עם אחת מבנותיהם</w:t>
      </w:r>
      <w:r>
        <w:rPr>
          <w:rtl w:val="true"/>
        </w:rPr>
        <w:t xml:space="preserve">. </w:t>
      </w:r>
      <w:r>
        <w:rPr>
          <w:rtl w:val="true"/>
        </w:rPr>
        <w:t>באותו החודש חתמו המערער והמנוחה על הסכם גירושין ונקבע מועד לדיון בבית הדין הרבני לצורך מתן הגט</w:t>
      </w:r>
      <w:r>
        <w:rPr>
          <w:rtl w:val="true"/>
        </w:rPr>
        <w:t xml:space="preserve">. </w:t>
      </w:r>
      <w:r>
        <w:rPr>
          <w:rtl w:val="true"/>
        </w:rPr>
        <w:t xml:space="preserve">הדיון נדחה לבקשת המערער ונקבע מחדש ליום </w:t>
      </w:r>
      <w:r>
        <w:rPr/>
        <w:t>24.10.2018</w:t>
      </w:r>
      <w:r>
        <w:rPr>
          <w:rtl w:val="true"/>
        </w:rPr>
        <w:t xml:space="preserve">. </w:t>
      </w:r>
      <w:r>
        <w:rPr>
          <w:rtl w:val="true"/>
        </w:rPr>
        <w:t>המערער הביע שוב ושוב את רצונו להמשיך בקשר הנישואין</w:t>
      </w:r>
      <w:r>
        <w:rPr>
          <w:rtl w:val="true"/>
        </w:rPr>
        <w:t xml:space="preserve">, </w:t>
      </w:r>
      <w:r>
        <w:rPr>
          <w:rtl w:val="true"/>
        </w:rPr>
        <w:t>ואילו המנוחה עמדה על רצונה לסיימו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9.10.2018</w:t>
      </w:r>
      <w:r>
        <w:rPr>
          <w:rtl w:val="true"/>
        </w:rPr>
        <w:t xml:space="preserve">, </w:t>
      </w:r>
      <w:r>
        <w:rPr>
          <w:rtl w:val="true"/>
        </w:rPr>
        <w:t xml:space="preserve">כשבועיים לפני המועד שנקבע למתן הגט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הרבני</w:t>
      </w:r>
      <w:r>
        <w:rPr>
          <w:rtl w:val="true"/>
        </w:rPr>
        <w:t xml:space="preserve">, </w:t>
      </w:r>
      <w:r>
        <w:rPr>
          <w:rtl w:val="true"/>
        </w:rPr>
        <w:t>התפתח ויכוח בין בני הזוג</w:t>
      </w:r>
      <w:r>
        <w:rPr>
          <w:rtl w:val="true"/>
        </w:rPr>
        <w:t xml:space="preserve">, </w:t>
      </w:r>
      <w:r>
        <w:rPr>
          <w:rtl w:val="true"/>
        </w:rPr>
        <w:t>שבמהלכו כעס המערער על המנוחה באמתלה כי אינה מקדישה די מזמנה לבן</w:t>
      </w:r>
      <w:r>
        <w:rPr>
          <w:rtl w:val="true"/>
        </w:rPr>
        <w:t>-</w:t>
      </w:r>
      <w:r>
        <w:rPr>
          <w:rtl w:val="true"/>
        </w:rPr>
        <w:t>האומנה המשותף שלהם</w:t>
      </w:r>
      <w:r>
        <w:rPr>
          <w:rtl w:val="true"/>
        </w:rPr>
        <w:t xml:space="preserve">. </w:t>
      </w:r>
      <w:r>
        <w:rPr>
          <w:rtl w:val="true"/>
        </w:rPr>
        <w:t>בני הזוג המשיכו להתווכח</w:t>
      </w:r>
      <w:r>
        <w:rPr>
          <w:rtl w:val="true"/>
        </w:rPr>
        <w:t xml:space="preserve">, </w:t>
      </w:r>
      <w:r>
        <w:rPr>
          <w:rtl w:val="true"/>
        </w:rPr>
        <w:t>ולמחרת</w:t>
      </w:r>
      <w:r>
        <w:rPr>
          <w:rtl w:val="true"/>
        </w:rPr>
        <w:t xml:space="preserve">, </w:t>
      </w:r>
      <w:r>
        <w:rPr>
          <w:rtl w:val="true"/>
        </w:rPr>
        <w:t xml:space="preserve">יום </w:t>
      </w:r>
      <w:r>
        <w:rPr/>
        <w:t>10.10.2018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20:24</w:t>
      </w:r>
      <w:r>
        <w:rPr>
          <w:rtl w:val="true"/>
        </w:rPr>
        <w:t xml:space="preserve">, </w:t>
      </w:r>
      <w:r>
        <w:rPr>
          <w:rtl w:val="true"/>
        </w:rPr>
        <w:t>שלח המערער למנוחה הודעת טקסט</w:t>
      </w:r>
      <w:r>
        <w:rPr>
          <w:rtl w:val="true"/>
        </w:rPr>
        <w:t xml:space="preserve">, </w:t>
      </w:r>
      <w:r>
        <w:rPr>
          <w:rtl w:val="true"/>
        </w:rPr>
        <w:t>שהמנוחה לא השיבה עליה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20:34</w:t>
      </w:r>
      <w:r>
        <w:rPr>
          <w:rtl w:val="true"/>
        </w:rPr>
        <w:t xml:space="preserve"> </w:t>
      </w:r>
      <w:r>
        <w:rPr>
          <w:rtl w:val="true"/>
        </w:rPr>
        <w:t>התקשר המערער למנוחה</w:t>
      </w:r>
      <w:r>
        <w:rPr>
          <w:rtl w:val="true"/>
        </w:rPr>
        <w:t xml:space="preserve">, </w:t>
      </w:r>
      <w:r>
        <w:rPr>
          <w:rtl w:val="true"/>
        </w:rPr>
        <w:t>אך זו שוחחה אותה עת בטלפון ולא ענתה לשיחתו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20:45</w:t>
      </w:r>
      <w:r>
        <w:rPr>
          <w:rtl w:val="true"/>
        </w:rPr>
        <w:t xml:space="preserve"> </w:t>
      </w:r>
      <w:r>
        <w:rPr>
          <w:rtl w:val="true"/>
        </w:rPr>
        <w:t>הגיע המערער לדירת המנוחה כשעימו מסמכים הנוגעים לבן</w:t>
      </w:r>
      <w:r>
        <w:rPr>
          <w:rtl w:val="true"/>
        </w:rPr>
        <w:t>-</w:t>
      </w:r>
      <w:r>
        <w:rPr>
          <w:rtl w:val="true"/>
        </w:rPr>
        <w:t>האומנה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נכנס לדירה ובמהלך שהותו בה דקר את המנוחה בעוצמה באמצעות סכין בשר חדה באורך כולל של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שאורך להבה</w:t>
      </w:r>
      <w:r>
        <w:rPr>
          <w:rtl w:val="true"/>
        </w:rPr>
        <w:t>ּ</w:t>
      </w:r>
      <w:r>
        <w:rPr>
          <w:rtl w:val="true"/>
        </w:rPr>
        <w:t xml:space="preserve"> </w:t>
      </w:r>
      <w:r>
        <w:rPr>
          <w:rtl w:val="true"/>
        </w:rPr>
        <w:t xml:space="preserve">הוא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חמש</w:t>
      </w:r>
      <w:r>
        <w:rPr>
          <w:rtl w:val="true"/>
        </w:rPr>
        <w:t>-</w:t>
      </w:r>
      <w:r>
        <w:rPr>
          <w:rtl w:val="true"/>
        </w:rPr>
        <w:t>עשרה דקירות בפלג גופה העליון בכוונה לגרום למותה</w:t>
      </w:r>
      <w:r>
        <w:rPr>
          <w:rtl w:val="true"/>
        </w:rPr>
        <w:t xml:space="preserve">. </w:t>
      </w:r>
      <w:r>
        <w:rPr>
          <w:rtl w:val="true"/>
        </w:rPr>
        <w:t>כתוצאה מהדקירות נגרמו למנוחה שמונה פצעי דקירה בחזה ובחלקו העליון של הגב ושבעה פצעי דקירה בחלקו התחתון של הגב</w:t>
      </w:r>
      <w:r>
        <w:rPr>
          <w:rtl w:val="true"/>
        </w:rPr>
        <w:t xml:space="preserve">. </w:t>
      </w:r>
      <w:r>
        <w:rPr>
          <w:rtl w:val="true"/>
        </w:rPr>
        <w:t>הדקירות פגעו באיבריה הפנימיים</w:t>
      </w:r>
      <w:r>
        <w:rPr>
          <w:rtl w:val="true"/>
        </w:rPr>
        <w:t xml:space="preserve">, </w:t>
      </w:r>
      <w:r>
        <w:rPr>
          <w:rtl w:val="true"/>
        </w:rPr>
        <w:t>לרבות בלב</w:t>
      </w:r>
      <w:r>
        <w:rPr>
          <w:rtl w:val="true"/>
        </w:rPr>
        <w:t xml:space="preserve">, </w:t>
      </w:r>
      <w:r>
        <w:rPr>
          <w:rtl w:val="true"/>
        </w:rPr>
        <w:t>בריאות ובכבד</w:t>
      </w:r>
      <w:r>
        <w:rPr>
          <w:rtl w:val="true"/>
        </w:rPr>
        <w:t xml:space="preserve">, </w:t>
      </w:r>
      <w:r>
        <w:rPr>
          <w:rtl w:val="true"/>
        </w:rPr>
        <w:t>וגרמו לה לשברים בצלעות ובחוליות</w:t>
      </w:r>
      <w:r>
        <w:rPr>
          <w:rtl w:val="true"/>
        </w:rPr>
        <w:t xml:space="preserve">. </w:t>
      </w:r>
      <w:r>
        <w:rPr>
          <w:rtl w:val="true"/>
        </w:rPr>
        <w:t>כתוצאה מדימום מסיבי ומהיר ומפצעי הדקירה הפנימיים נגרם למנוחה הלם תת</w:t>
      </w:r>
      <w:r>
        <w:rPr>
          <w:rtl w:val="true"/>
        </w:rPr>
        <w:t>-</w:t>
      </w:r>
      <w:r>
        <w:rPr>
          <w:rtl w:val="true"/>
        </w:rPr>
        <w:t>נפחי אשר הביא למותה במקום</w:t>
      </w:r>
      <w:r>
        <w:rPr>
          <w:rtl w:val="true"/>
        </w:rPr>
        <w:t xml:space="preserve">. </w:t>
      </w:r>
      <w:r>
        <w:rPr>
          <w:rtl w:val="true"/>
        </w:rPr>
        <w:t>משהבין המערער כי המנוחה אינה עוד בין החיים</w:t>
      </w:r>
      <w:r>
        <w:rPr>
          <w:rtl w:val="true"/>
        </w:rPr>
        <w:t xml:space="preserve">, </w:t>
      </w:r>
      <w:r>
        <w:rPr>
          <w:rtl w:val="true"/>
        </w:rPr>
        <w:t>יצא המערער מהדירה</w:t>
      </w:r>
      <w:r>
        <w:rPr>
          <w:rtl w:val="true"/>
        </w:rPr>
        <w:t xml:space="preserve">, </w:t>
      </w:r>
      <w:r>
        <w:rPr>
          <w:rtl w:val="true"/>
        </w:rPr>
        <w:t>נעל אותה באמצעות מפתחותיה של המנוחה והשליכם במקום מסתור סמוך</w:t>
      </w:r>
      <w:r>
        <w:rPr>
          <w:rtl w:val="true"/>
        </w:rPr>
        <w:t xml:space="preserve">. </w:t>
      </w:r>
      <w:r>
        <w:rPr>
          <w:rtl w:val="true"/>
        </w:rPr>
        <w:t>הוא שב לביתו</w:t>
      </w:r>
      <w:r>
        <w:rPr>
          <w:rtl w:val="true"/>
        </w:rPr>
        <w:t xml:space="preserve">, </w:t>
      </w:r>
      <w:r>
        <w:rPr>
          <w:rtl w:val="true"/>
        </w:rPr>
        <w:t>החליף את חולצתו</w:t>
      </w:r>
      <w:r>
        <w:rPr>
          <w:rtl w:val="true"/>
        </w:rPr>
        <w:t xml:space="preserve">, </w:t>
      </w:r>
      <w:r>
        <w:rPr>
          <w:rtl w:val="true"/>
        </w:rPr>
        <w:t>ונסע ברכבו למקום שבו התחבא מפני רשויות החוק עד לאיתורו ומעצרו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יצוין כי הרצח בוצע כשמונה חודשים אחרי שהורשע המערער בעבירות של תקיפה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16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 xml:space="preserve">ואיומים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16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) </w:t>
      </w:r>
      <w:r>
        <w:rPr>
          <w:rtl w:val="true"/>
        </w:rPr>
        <w:t>כלפי המנוחה</w:t>
      </w:r>
      <w:r>
        <w:rPr>
          <w:rtl w:val="true"/>
        </w:rPr>
        <w:t xml:space="preserve">; </w:t>
      </w:r>
      <w:r>
        <w:rPr>
          <w:rtl w:val="true"/>
        </w:rPr>
        <w:t>זאת לאחר שהיכה המערער את המנוחה במכת אגרוף בפניה במועד אחד</w:t>
      </w:r>
      <w:r>
        <w:rPr>
          <w:rtl w:val="true"/>
        </w:rPr>
        <w:t xml:space="preserve">, </w:t>
      </w:r>
      <w:r>
        <w:rPr>
          <w:rtl w:val="true"/>
        </w:rPr>
        <w:t>ואיים עליה בכך שייתן לה אגרוף או יכה אותה במקרה אחר</w:t>
      </w:r>
      <w:r>
        <w:rPr>
          <w:rtl w:val="true"/>
        </w:rPr>
        <w:t xml:space="preserve">. </w:t>
      </w:r>
      <w:r>
        <w:rPr>
          <w:rtl w:val="true"/>
        </w:rPr>
        <w:t>עבירות אלו בוצעו כשנתיים לפני ביצוע הרצח</w:t>
      </w:r>
      <w:r>
        <w:rPr>
          <w:rtl w:val="true"/>
        </w:rPr>
        <w:t xml:space="preserve">, </w:t>
      </w:r>
      <w:r>
        <w:rPr>
          <w:rtl w:val="true"/>
        </w:rPr>
        <w:t>והמערער הורשע בהן במסגרת הסדר טיעון שבו נדון למאסר על תנאי בן שישה חודשים למשך שלוש שנים</w:t>
      </w:r>
      <w:r>
        <w:rPr>
          <w:rtl w:val="true"/>
        </w:rPr>
        <w:t xml:space="preserve">, </w:t>
      </w:r>
      <w:r>
        <w:rPr>
          <w:rtl w:val="true"/>
        </w:rPr>
        <w:t>כאשר התנאי היה כי לא יעבור כל עבירת אלימות לרבות איומים</w:t>
      </w:r>
      <w:r>
        <w:rPr>
          <w:rtl w:val="true"/>
        </w:rPr>
        <w:t xml:space="preserve">. </w:t>
      </w:r>
      <w:r>
        <w:rPr>
          <w:rtl w:val="true"/>
        </w:rPr>
        <w:t xml:space="preserve">בגזר הדין נקבע כי מדובר בעונש מקל יחסית בשים לב לפגיעה שגרם המערער למנוחה </w:t>
      </w:r>
      <w:r>
        <w:rPr>
          <w:rtl w:val="true"/>
        </w:rPr>
        <w:t>(</w:t>
      </w:r>
      <w:hyperlink r:id="rId16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61199-10-17</w:t>
        </w:r>
      </w:hyperlink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פרייז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וההתנהלות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והמתמשכת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הנישואין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אובססיבית</w:t>
      </w:r>
      <w:r>
        <w:rPr>
          <w:rtl w:val="true"/>
        </w:rPr>
        <w:t xml:space="preserve">,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ואכזרית</w:t>
      </w:r>
      <w:r>
        <w:rPr>
          <w:rtl w:val="true"/>
        </w:rPr>
        <w:t xml:space="preserve">,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בלעדיו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מבעית</w:t>
      </w:r>
      <w:r>
        <w:rPr>
          <w:rtl w:val="true"/>
        </w:rPr>
        <w:t xml:space="preserve">, </w:t>
      </w:r>
      <w:r>
        <w:rPr>
          <w:rtl w:val="true"/>
        </w:rPr>
        <w:t>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והמנוחה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; </w:t>
      </w:r>
      <w:r>
        <w:rPr>
          <w:rtl w:val="true"/>
        </w:rPr>
        <w:t>עיתויו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הגט</w:t>
      </w:r>
      <w:r>
        <w:rPr>
          <w:rtl w:val="true"/>
        </w:rPr>
        <w:t xml:space="preserve">; </w:t>
      </w:r>
      <w:r>
        <w:rPr>
          <w:rtl w:val="true"/>
        </w:rPr>
        <w:t>ומעשה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>-</w:t>
      </w:r>
      <w:r>
        <w:rPr>
          <w:rtl w:val="true"/>
        </w:rPr>
        <w:t>האומנה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שגידלו</w:t>
      </w:r>
      <w:r>
        <w:rPr>
          <w:rtl w:val="true"/>
        </w:rPr>
        <w:t xml:space="preserve">; </w:t>
      </w:r>
      <w:r>
        <w:rPr>
          <w:rtl w:val="true"/>
        </w:rPr>
        <w:t>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, </w:t>
      </w:r>
      <w:r>
        <w:rPr>
          <w:rtl w:val="true"/>
        </w:rPr>
        <w:t>המהווים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>-</w:t>
      </w:r>
      <w:r>
        <w:rPr>
          <w:rtl w:val="true"/>
        </w:rPr>
        <w:t>אומנה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מתסמינים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טראומתיים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; </w:t>
      </w:r>
      <w:r>
        <w:rPr>
          <w:rtl w:val="true"/>
        </w:rPr>
        <w:t>וחלה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בהינתן החומרה במעשה עצמו ובנסיבותיו נכון לזכור ולציין גם כי המקרה הקשה והאיום שלפנינו הוא מקרה </w:t>
      </w:r>
      <w:r>
        <w:rPr>
          <w:rtl w:val="true"/>
        </w:rPr>
        <w:t>פרטי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תופעה</w:t>
      </w:r>
      <w:r>
        <w:rPr>
          <w:rtl w:val="true"/>
        </w:rPr>
        <w:t xml:space="preserve"> </w:t>
      </w:r>
      <w:r>
        <w:rPr>
          <w:rtl w:val="true"/>
        </w:rPr>
        <w:t>נפסדת</w:t>
      </w:r>
      <w:r>
        <w:rPr>
          <w:rtl w:val="true"/>
        </w:rPr>
        <w:t xml:space="preserve"> </w:t>
      </w:r>
      <w:r>
        <w:rPr>
          <w:rtl w:val="true"/>
        </w:rPr>
        <w:t>ורחבה</w:t>
      </w:r>
      <w:r>
        <w:rPr>
          <w:rtl w:val="true"/>
        </w:rPr>
        <w:t xml:space="preserve"> </w:t>
      </w:r>
      <w:r>
        <w:rPr>
          <w:rtl w:val="true"/>
        </w:rPr>
        <w:t>הפושה</w:t>
      </w:r>
      <w:r>
        <w:rPr>
          <w:rtl w:val="true"/>
        </w:rPr>
        <w:t xml:space="preserve"> </w:t>
      </w:r>
      <w:r>
        <w:rPr>
          <w:rtl w:val="true"/>
        </w:rPr>
        <w:t>בקרבנו</w:t>
      </w:r>
      <w:r>
        <w:rPr>
          <w:rtl w:val="true"/>
        </w:rPr>
        <w:t xml:space="preserve"> –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 xml:space="preserve"> </w:t>
      </w:r>
      <w:r>
        <w:rPr>
          <w:rtl w:val="true"/>
        </w:rPr>
        <w:t>זוגן</w:t>
      </w:r>
      <w:r>
        <w:rPr>
          <w:rtl w:val="true"/>
        </w:rPr>
        <w:t xml:space="preserve">. </w:t>
      </w:r>
      <w:r>
        <w:rPr>
          <w:rtl w:val="true"/>
        </w:rPr>
        <w:t>התייחסתי</w:t>
      </w:r>
      <w:r>
        <w:rPr>
          <w:rtl w:val="true"/>
        </w:rPr>
        <w:t xml:space="preserve"> </w:t>
      </w:r>
      <w:r>
        <w:rPr>
          <w:rtl w:val="true"/>
        </w:rPr>
        <w:t>לתופעה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 xml:space="preserve">אשר </w:t>
      </w:r>
      <w:r>
        <w:rPr>
          <w:rtl w:val="true"/>
        </w:rPr>
        <w:t>העלה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 </w:t>
      </w:r>
      <w:r>
        <w:rPr>
          <w:rtl w:val="true"/>
        </w:rPr>
        <w:t>פרשנית</w:t>
      </w:r>
      <w:r>
        <w:rPr>
          <w:rtl w:val="true"/>
        </w:rPr>
        <w:t xml:space="preserve"> </w:t>
      </w:r>
      <w:r>
        <w:rPr>
          <w:rtl w:val="true"/>
        </w:rPr>
        <w:t>הנוגעת</w:t>
      </w:r>
      <w:r>
        <w:rPr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וקבוצות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 xml:space="preserve">, </w:t>
      </w:r>
      <w:r>
        <w:rPr>
          <w:rtl w:val="true"/>
        </w:rPr>
        <w:t>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לשנת</w:t>
      </w:r>
      <w:r>
        <w:rPr>
          <w:rFonts w:eastAsia="Arial TUR;Arial" w:cs="Arial TUR;Arial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קפיטל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ריכוז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/>
        <w:t>8-7</w:t>
      </w:r>
      <w:r>
        <w:rPr>
          <w:rtl w:val="true"/>
        </w:rPr>
        <w:t xml:space="preserve"> (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והמידע</w:t>
      </w:r>
      <w:r>
        <w:rPr>
          <w:rtl w:val="true"/>
        </w:rPr>
        <w:t xml:space="preserve">, </w:t>
      </w:r>
      <w:r>
        <w:rPr/>
        <w:t>2021</w:t>
      </w:r>
      <w:r>
        <w:rPr>
          <w:rtl w:val="true"/>
        </w:rPr>
        <w:t xml:space="preserve">)).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שהחמירה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,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בעמ׳</w:t>
      </w:r>
      <w:r>
        <w:rPr>
          <w:rFonts w:eastAsia="Arial TUR;Arial" w:cs="Arial TUR;Arial"/>
          <w:rtl w:val="true"/>
        </w:rPr>
        <w:t xml:space="preserve"> </w:t>
      </w:r>
      <w:r>
        <w:rPr/>
        <w:t>19-16</w:t>
      </w:r>
      <w:r>
        <w:rPr>
          <w:rtl w:val="true"/>
        </w:rPr>
        <w:t xml:space="preserve">).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tl w:val="true"/>
        </w:rPr>
        <w:t>: '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חולפות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ושוויוני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לדאבון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וקרוביהן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tl w:val="true"/>
        </w:rPr>
        <w:t>' (</w:t>
      </w:r>
      <w:hyperlink r:id="rId1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31.1.2019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מגדרי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כישלון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ומטריד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ובהיקפן</w:t>
      </w:r>
      <w:r>
        <w:rPr>
          <w:rtl w:val="true"/>
        </w:rPr>
        <w:t xml:space="preserve">.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היומיומית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גורל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>)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618/06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19.3.2007</w:t>
      </w:r>
      <w:r>
        <w:rPr>
          <w:rtl w:val="true"/>
        </w:rPr>
        <w:t xml:space="preserve">); </w:t>
      </w:r>
      <w:hyperlink r:id="rId1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925/07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חדד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18.6.2008</w:t>
      </w:r>
      <w:r>
        <w:rPr>
          <w:rtl w:val="true"/>
        </w:rPr>
        <w:t xml:space="preserve">); </w:t>
      </w:r>
      <w:hyperlink r:id="rId1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7677/12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נאסר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ג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ובראן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11.6.2014</w:t>
      </w:r>
      <w:r>
        <w:rPr>
          <w:rtl w:val="true"/>
        </w:rPr>
        <w:t xml:space="preserve">); </w:t>
      </w:r>
      <w:hyperlink r:id="rId1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1474/14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ברון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15.12.2015</w:t>
      </w:r>
      <w:r>
        <w:rPr>
          <w:rtl w:val="true"/>
        </w:rPr>
        <w:t xml:space="preserve">); </w:t>
      </w:r>
      <w:hyperlink r:id="rId1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2333/17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אלרון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2.12.2018</w:t>
      </w:r>
      <w:r>
        <w:rPr>
          <w:rtl w:val="true"/>
        </w:rPr>
        <w:t xml:space="preserve">); </w:t>
      </w:r>
      <w:hyperlink r:id="rId17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6464/18</w:t>
        </w:r>
      </w:hyperlink>
      <w:r>
        <w:rPr>
          <w:rtl w:val="true"/>
        </w:rPr>
        <w:t>‏ ‏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14.10.2018</w:t>
      </w:r>
      <w:r>
        <w:rPr>
          <w:rtl w:val="true"/>
        </w:rPr>
        <w:t xml:space="preserve">); </w:t>
      </w:r>
      <w:hyperlink r:id="rId1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2506/20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מינץ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22.12.2021</w:t>
      </w:r>
      <w:r>
        <w:rPr>
          <w:rtl w:val="true"/>
        </w:rPr>
        <w:t xml:space="preserve">)).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הנעברות על רקע החלטתה של אישה להיפרד מבן זוגה </w:t>
      </w:r>
      <w:r>
        <w:rPr>
          <w:rFonts w:ascii="FrankRuehl" w:hAnsi="FrankRuehl"/>
          <w:sz w:val="28"/>
          <w:rtl w:val="true"/>
        </w:rPr>
        <w:t>(</w:t>
      </w:r>
      <w:hyperlink r:id="rId1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6842/14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פלקה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ברק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ארז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24.9.2015</w:t>
      </w:r>
      <w:r>
        <w:rPr>
          <w:rtl w:val="true"/>
        </w:rPr>
        <w:t xml:space="preserve">)).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מפחית את המשקל שניתן לייחס לשיקולי ענישה אחרים</w:t>
      </w:r>
      <w:r>
        <w:rPr>
          <w:rFonts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כדוגמת נסיבותיו האישיות של מבצע 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3011/17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פרץ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גרוסקופף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31.1.2019</w:t>
      </w:r>
      <w:r>
        <w:rPr>
          <w:rtl w:val="true"/>
        </w:rPr>
        <w:t>))</w:t>
      </w:r>
      <w:r>
        <w:rPr>
          <w:rFonts w:ascii="FrankRuehl" w:hAnsi="FrankRuehl"/>
          <w:sz w:val="28"/>
          <w:rtl w:val="true"/>
        </w:rPr>
        <w:t xml:space="preserve">.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המסתיימת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1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9356/09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24.10.2010</w:t>
      </w:r>
      <w:r>
        <w:rPr>
          <w:rtl w:val="true"/>
        </w:rPr>
        <w:t xml:space="preserve">)).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וממשית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שלעמדתי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השתלשלו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והמנוחה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ומרובת</w:t>
      </w:r>
      <w:r>
        <w:rPr>
          <w:rtl w:val="true"/>
        </w:rPr>
        <w:t>-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. </w:t>
      </w:r>
      <w:r>
        <w:rPr>
          <w:rtl w:val="true"/>
        </w:rPr>
        <w:t>תורת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כשם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; </w:t>
      </w:r>
      <w:r>
        <w:rPr>
          <w:rtl w:val="true"/>
        </w:rPr>
        <w:t>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אסביר</w:t>
      </w:r>
      <w:r>
        <w:rPr>
          <w:rtl w:val="true"/>
        </w:rPr>
        <w:t xml:space="preserve">. </w:t>
      </w:r>
      <w:r>
        <w:rPr>
          <w:rtl w:val="true"/>
        </w:rPr>
        <w:t>כמבואר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״נעשה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sz w:val="20"/>
          <w:szCs w:val="24"/>
          <w:rtl w:val="true"/>
        </w:rPr>
        <w:t>[</w:t>
      </w:r>
      <w:r>
        <w:rPr>
          <w:sz w:val="20"/>
          <w:sz w:val="20"/>
          <w:szCs w:val="24"/>
          <w:rtl w:val="true"/>
        </w:rPr>
        <w:t>ב</w:t>
      </w:r>
      <w:r>
        <w:rPr>
          <w:sz w:val="20"/>
          <w:sz w:val="20"/>
          <w:szCs w:val="24"/>
          <w:rtl w:val="true"/>
        </w:rPr>
        <w:t>קרבן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sz w:val="20"/>
          <w:sz w:val="20"/>
          <w:szCs w:val="24"/>
          <w:rtl w:val="true"/>
        </w:rPr>
        <w:t>העבירה</w:t>
      </w:r>
      <w:r>
        <w:rPr>
          <w:sz w:val="20"/>
          <w:szCs w:val="24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גופנית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נפשית״</w:t>
      </w:r>
      <w:r>
        <w:rPr>
          <w:rtl w:val="true"/>
        </w:rPr>
        <w:t xml:space="preserve">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hyperlink r:id="rId17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זוגה</w:t>
      </w:r>
      <w:r>
        <w:rPr>
          <w:rtl w:val="true"/>
        </w:rPr>
        <w:t xml:space="preserve">,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hyperlink r:id="rId17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נותר </w:t>
      </w:r>
      <w:r>
        <w:rPr>
          <w:rtl w:val="true"/>
        </w:rPr>
        <w:t>לבחון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והודייתו</w:t>
      </w:r>
      <w:r>
        <w:rPr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הצדיקו</w:t>
      </w:r>
      <w:r>
        <w:rPr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 </w:t>
      </w:r>
      <w:r>
        <w:rPr>
          <w:rtl w:val="true"/>
        </w:rPr>
        <w:t>ולהעמידו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לעמדתי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tl w:val="true"/>
        </w:rPr>
        <w:t xml:space="preserve"> </w:t>
      </w:r>
      <w:r>
        <w:rPr>
          <w:rtl w:val="true"/>
        </w:rPr>
        <w:t>טיבן</w:t>
      </w:r>
      <w:r>
        <w:rPr>
          <w:rtl w:val="true"/>
        </w:rPr>
        <w:t xml:space="preserve"> </w:t>
      </w:r>
      <w:r>
        <w:rPr>
          <w:rtl w:val="true"/>
        </w:rPr>
        <w:t>ועוצמתן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לחומרת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בהודיה</w:t>
      </w:r>
      <w:r>
        <w:rPr>
          <w:rtl w:val="true"/>
        </w:rPr>
        <w:t xml:space="preserve"> </w:t>
      </w:r>
      <w:r>
        <w:rPr>
          <w:rtl w:val="true"/>
        </w:rPr>
        <w:t>ובחרטה</w:t>
      </w:r>
      <w:r>
        <w:rPr>
          <w:rtl w:val="true"/>
        </w:rPr>
        <w:t xml:space="preserve"> </w:t>
      </w:r>
      <w:r>
        <w:rPr>
          <w:rtl w:val="true"/>
        </w:rPr>
        <w:t>מעין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–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בשים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לעיתוי</w:t>
      </w:r>
      <w:r>
        <w:rPr>
          <w:rtl w:val="true"/>
        </w:rPr>
        <w:t xml:space="preserve"> </w:t>
      </w:r>
      <w:r>
        <w:rPr>
          <w:rtl w:val="true"/>
        </w:rPr>
        <w:t>ולאופן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הובעו</w:t>
      </w:r>
      <w:r>
        <w:rPr>
          <w:rtl w:val="true"/>
        </w:rPr>
        <w:t xml:space="preserve"> –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להוות</w:t>
      </w:r>
      <w:r>
        <w:rPr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 </w:t>
      </w:r>
      <w:r>
        <w:rPr>
          <w:rtl w:val="true"/>
        </w:rPr>
        <w:t>בעלי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לקולת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 </w:t>
      </w:r>
      <w:r>
        <w:rPr>
          <w:rtl w:val="true"/>
        </w:rPr>
        <w:t>ונסיבות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הצדיקו</w:t>
      </w:r>
      <w:r>
        <w:rPr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 xml:space="preserve"> </w:t>
      </w:r>
      <w:r>
        <w:rPr>
          <w:rtl w:val="true"/>
        </w:rPr>
        <w:t>להפחית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מהעונש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ממכלול</w:t>
      </w:r>
      <w:r>
        <w:rPr>
          <w:rtl w:val="true"/>
        </w:rPr>
        <w:t xml:space="preserve"> </w:t>
      </w:r>
      <w:r>
        <w:rPr>
          <w:rtl w:val="true"/>
        </w:rPr>
        <w:t>הטעמים</w:t>
      </w:r>
      <w:r>
        <w:rPr>
          <w:rtl w:val="true"/>
        </w:rPr>
        <w:t xml:space="preserve"> </w:t>
      </w:r>
      <w:r>
        <w:rPr>
          <w:rtl w:val="true"/>
        </w:rPr>
        <w:t>המפורטים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שלדעתי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הנימוק המרכזי לכך ניצב בנסיבות ביצוע הרצח שפורטו בהרחבה לעיל</w:t>
      </w:r>
      <w:r>
        <w:rPr>
          <w:rtl w:val="true"/>
        </w:rPr>
        <w:t xml:space="preserve">. </w:t>
      </w:r>
      <w:r>
        <w:rPr>
          <w:rtl w:val="true"/>
        </w:rPr>
        <w:t>המחוקק קבע עונש מרבי של מאסר עולם במקרה המתאים</w:t>
      </w:r>
      <w:r>
        <w:rPr>
          <w:rtl w:val="true"/>
        </w:rPr>
        <w:t xml:space="preserve">; </w:t>
      </w:r>
      <w:r>
        <w:rPr>
          <w:rtl w:val="true"/>
        </w:rPr>
        <w:t>כזה היה המקרה 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כי ראוי היה כי בית המשפט המחוזי יטיל עונש של מאסר עולם על המערער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לאחר מתן גזר הדין ובסמוך לו חל שינוי משמעותי במצבו של המערער</w:t>
      </w:r>
      <w:r>
        <w:rPr>
          <w:rtl w:val="true"/>
        </w:rPr>
        <w:t xml:space="preserve">. </w:t>
      </w:r>
      <w:r>
        <w:rPr>
          <w:rtl w:val="true"/>
        </w:rPr>
        <w:t>במקרים חריגים יש לתת על כך את הדעת בשלב הערעור</w:t>
      </w:r>
      <w:r>
        <w:rPr>
          <w:rtl w:val="true"/>
        </w:rPr>
        <w:t xml:space="preserve">. </w:t>
      </w:r>
      <w:r>
        <w:rPr>
          <w:rtl w:val="true"/>
        </w:rPr>
        <w:t>נפרט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2.4.2021</w:t>
      </w:r>
      <w:r>
        <w:rPr>
          <w:rtl w:val="true"/>
        </w:rPr>
        <w:t xml:space="preserve">, </w:t>
      </w:r>
      <w:r>
        <w:rPr>
          <w:rtl w:val="true"/>
        </w:rPr>
        <w:t>כשבוע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מוחי</w:t>
      </w:r>
      <w:r>
        <w:rPr>
          <w:rtl w:val="true"/>
        </w:rPr>
        <w:t xml:space="preserve"> </w:t>
      </w:r>
      <w:r>
        <w:rPr>
          <w:rtl w:val="true"/>
        </w:rPr>
        <w:t>איסכמי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שעולה</w:t>
      </w:r>
      <w:r>
        <w:rPr>
          <w:rtl w:val="true"/>
        </w:rPr>
        <w:t xml:space="preserve"> </w:t>
      </w:r>
      <w:r>
        <w:rPr>
          <w:rtl w:val="true"/>
        </w:rPr>
        <w:t>מהמסמכים</w:t>
      </w:r>
      <w:r>
        <w:rPr>
          <w:rtl w:val="true"/>
        </w:rPr>
        <w:t xml:space="preserve"> </w:t>
      </w:r>
      <w:r>
        <w:rPr>
          <w:rtl w:val="true"/>
        </w:rPr>
        <w:t>הרפואיים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11.4.2021</w:t>
      </w:r>
      <w:r>
        <w:rPr>
          <w:rtl w:val="true"/>
        </w:rPr>
        <w:t xml:space="preserve"> </w:t>
      </w:r>
      <w:r>
        <w:rPr>
          <w:rtl w:val="true"/>
        </w:rPr>
        <w:t>שצורפו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ערפול</w:t>
      </w:r>
      <w:r>
        <w:rPr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יכולת</w:t>
      </w:r>
      <w:r>
        <w:rPr>
          <w:rtl w:val="true"/>
        </w:rPr>
        <w:t xml:space="preserve"> </w:t>
      </w:r>
      <w:r>
        <w:rPr>
          <w:rtl w:val="true"/>
        </w:rPr>
        <w:t>דיבור</w:t>
      </w:r>
      <w:r>
        <w:rPr>
          <w:rtl w:val="true"/>
        </w:rPr>
        <w:t xml:space="preserve"> </w:t>
      </w:r>
      <w:r>
        <w:rPr>
          <w:rtl w:val="true"/>
        </w:rPr>
        <w:t>מוחלטת</w:t>
      </w:r>
      <w:r>
        <w:rPr>
          <w:rtl w:val="true"/>
        </w:rPr>
        <w:t xml:space="preserve"> </w:t>
      </w:r>
      <w:r>
        <w:rPr>
          <w:rtl w:val="true"/>
        </w:rPr>
        <w:t>ושיתוק</w:t>
      </w:r>
      <w:r>
        <w:rPr>
          <w:rtl w:val="true"/>
        </w:rPr>
        <w:t xml:space="preserve"> </w:t>
      </w:r>
      <w:r>
        <w:rPr>
          <w:rtl w:val="true"/>
        </w:rPr>
        <w:t>פלג</w:t>
      </w:r>
      <w:r>
        <w:rPr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במהלך הדיון בערעור ביקשנו לקבל מסמכים רפואיים עדכניים</w:t>
      </w:r>
      <w:r>
        <w:rPr>
          <w:rtl w:val="true"/>
        </w:rPr>
        <w:t xml:space="preserve">, </w:t>
      </w:r>
      <w:r>
        <w:rPr>
          <w:rtl w:val="true"/>
        </w:rPr>
        <w:t>וכן ביקשנו כי המדינה תשקול את עמדתה מחדש לאורם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המסמכים</w:t>
      </w:r>
      <w:r>
        <w:rPr>
          <w:rtl w:val="true"/>
        </w:rPr>
        <w:t xml:space="preserve"> </w:t>
      </w:r>
      <w:r>
        <w:rPr>
          <w:rtl w:val="true"/>
        </w:rPr>
        <w:t>העדכניים</w:t>
      </w:r>
      <w:r>
        <w:rPr>
          <w:rtl w:val="true"/>
        </w:rPr>
        <w:t xml:space="preserve"> </w:t>
      </w:r>
      <w:r>
        <w:rPr>
          <w:rtl w:val="true"/>
        </w:rPr>
        <w:t>שצירפה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להודעתה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30.12.2021</w:t>
      </w:r>
      <w:r>
        <w:rPr>
          <w:rtl w:val="true"/>
        </w:rPr>
        <w:t xml:space="preserve"> (</w:t>
      </w:r>
      <w:r>
        <w:rPr>
          <w:rtl w:val="true"/>
        </w:rPr>
        <w:t>מסמכים</w:t>
      </w:r>
      <w:r>
        <w:rPr>
          <w:rtl w:val="true"/>
        </w:rPr>
        <w:t xml:space="preserve"> </w:t>
      </w:r>
      <w:r>
        <w:rPr>
          <w:rtl w:val="true"/>
        </w:rPr>
        <w:t>מימים</w:t>
      </w:r>
      <w:r>
        <w:rPr>
          <w:rtl w:val="true"/>
        </w:rPr>
        <w:t xml:space="preserve"> </w:t>
      </w:r>
      <w:r>
        <w:rPr/>
        <w:t>15.12.2021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23.12.2021</w:t>
      </w:r>
      <w:r>
        <w:rPr>
          <w:rtl w:val="true"/>
        </w:rPr>
        <w:t xml:space="preserve">),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 </w:t>
      </w:r>
      <w:r>
        <w:rPr>
          <w:rtl w:val="true"/>
        </w:rPr>
        <w:t>השתפר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 </w:t>
      </w:r>
      <w:r>
        <w:rPr>
          <w:rtl w:val="true"/>
        </w:rPr>
        <w:t>בהכרה</w:t>
      </w:r>
      <w:r>
        <w:rPr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עודנו</w:t>
      </w:r>
      <w:r>
        <w:rPr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 </w:t>
      </w:r>
      <w:r>
        <w:rPr>
          <w:rtl w:val="true"/>
        </w:rPr>
        <w:t>מחולשה</w:t>
      </w:r>
      <w:r>
        <w:rPr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 </w:t>
      </w:r>
      <w:r>
        <w:rPr>
          <w:rtl w:val="true"/>
        </w:rPr>
        <w:t>וברגל</w:t>
      </w:r>
      <w:r>
        <w:rPr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 ו</w:t>
      </w:r>
      <w:r>
        <w:rPr>
          <w:rtl w:val="true"/>
        </w:rPr>
        <w:t>מהפרעות</w:t>
      </w:r>
      <w:r>
        <w:rPr>
          <w:rtl w:val="true"/>
        </w:rPr>
        <w:t xml:space="preserve"> </w:t>
      </w:r>
      <w:r>
        <w:rPr>
          <w:rtl w:val="true"/>
        </w:rPr>
        <w:t>וקשיים</w:t>
      </w:r>
      <w:r>
        <w:rPr>
          <w:rtl w:val="true"/>
        </w:rPr>
        <w:t xml:space="preserve"> </w:t>
      </w:r>
      <w:r>
        <w:rPr>
          <w:rtl w:val="true"/>
        </w:rPr>
        <w:t>בדיבור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המערער אינו מדבר באופן ברור ומצליח לתקשר רק במילים בודדות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מתנייד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כיסא</w:t>
      </w:r>
      <w:r>
        <w:rPr>
          <w:rtl w:val="true"/>
        </w:rPr>
        <w:t xml:space="preserve"> </w:t>
      </w:r>
      <w:r>
        <w:rPr>
          <w:rtl w:val="true"/>
        </w:rPr>
        <w:t>גלגלים</w:t>
      </w:r>
      <w:r>
        <w:rPr>
          <w:rtl w:val="true"/>
        </w:rPr>
        <w:t xml:space="preserve">, </w:t>
      </w:r>
      <w:r>
        <w:rPr>
          <w:rtl w:val="true"/>
        </w:rPr>
        <w:t>נזקק</w:t>
      </w:r>
      <w:r>
        <w:rPr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 </w:t>
      </w:r>
      <w:r>
        <w:rPr>
          <w:rtl w:val="true"/>
        </w:rPr>
        <w:t>בפעולות</w:t>
      </w:r>
      <w:r>
        <w:rPr>
          <w:rtl w:val="true"/>
        </w:rPr>
        <w:t xml:space="preserve"> </w:t>
      </w:r>
      <w:r>
        <w:rPr>
          <w:rtl w:val="true"/>
        </w:rPr>
        <w:t>יומיומיות</w:t>
      </w:r>
      <w:r>
        <w:rPr>
          <w:rtl w:val="true"/>
        </w:rPr>
        <w:t xml:space="preserve"> כגון הלבשה</w:t>
      </w:r>
      <w:r>
        <w:rPr>
          <w:rtl w:val="true"/>
        </w:rPr>
        <w:t xml:space="preserve">, </w:t>
      </w:r>
      <w:r>
        <w:rPr>
          <w:rtl w:val="true"/>
        </w:rPr>
        <w:t>מקלחת ומעברים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ונמצא</w:t>
      </w:r>
      <w:r>
        <w:rPr>
          <w:rtl w:val="true"/>
        </w:rPr>
        <w:t xml:space="preserve"> </w:t>
      </w:r>
      <w:r>
        <w:rPr>
          <w:rtl w:val="true"/>
        </w:rPr>
        <w:t>במחלקה</w:t>
      </w:r>
      <w:r>
        <w:rPr>
          <w:rtl w:val="true"/>
        </w:rPr>
        <w:t xml:space="preserve"> </w:t>
      </w:r>
      <w:r>
        <w:rPr>
          <w:rtl w:val="true"/>
        </w:rPr>
        <w:t>סיעודית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תומך</w:t>
      </w:r>
      <w:r>
        <w:rPr>
          <w:rtl w:val="true"/>
        </w:rPr>
        <w:t xml:space="preserve"> </w:t>
      </w:r>
      <w:r>
        <w:rPr>
          <w:rtl w:val="true"/>
        </w:rPr>
        <w:t>סיעודי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היומיומי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החיצון</w:t>
      </w:r>
      <w:r>
        <w:rPr>
          <w:rtl w:val="true"/>
        </w:rPr>
        <w:t xml:space="preserve">.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79">
        <w:r>
          <w:rPr>
            <w:rStyle w:val="Hyperlink"/>
            <w:color w:val="0000FF"/>
            <w:u w:val="single"/>
            <w:rtl w:val="true"/>
          </w:rPr>
          <w:t>עת״א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18116-04-21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הסוהר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26.4.2021</w:t>
      </w:r>
      <w:r>
        <w:rPr>
          <w:rtl w:val="true"/>
        </w:rPr>
        <w:t xml:space="preserve"> (</w:t>
      </w:r>
      <w:r>
        <w:rPr>
          <w:rtl w:val="true"/>
        </w:rPr>
        <w:t>כב׳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מ׳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גרינברג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</w:t>
      </w:r>
      <w:r>
        <w:rPr>
          <w:rtl w:val="true"/>
        </w:rPr>
        <w:t>מי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עמ׳</w:t>
      </w:r>
      <w:r>
        <w:rPr>
          <w:rFonts w:eastAsia="Arial TUR;Arial" w:cs="Arial TUR;Arial"/>
          <w:rtl w:val="true"/>
        </w:rPr>
        <w:t xml:space="preserve"> </w:t>
      </w:r>
      <w:r>
        <w:rPr/>
        <w:t>618-617</w:t>
      </w:r>
      <w:r>
        <w:rPr>
          <w:rtl w:val="true"/>
        </w:rPr>
        <w:t xml:space="preserve">, </w:t>
      </w:r>
      <w:r>
        <w:rPr/>
        <w:t>635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29.12.2015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קלנר</w:t>
      </w:r>
      <w:r>
        <w:rPr>
          <w:rtl w:val="true"/>
        </w:rPr>
        <w:t xml:space="preserve">); 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181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פס׳</w:t>
      </w:r>
      <w:r>
        <w:rPr>
          <w:rFonts w:eastAsia="Arial TUR;Arial" w:cs="Arial TUR;Arial"/>
          <w:rtl w:val="true"/>
        </w:rPr>
        <w:t xml:space="preserve"> </w:t>
      </w:r>
      <w:r>
        <w:rPr/>
        <w:t>9-6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12.9.2013</w:t>
      </w:r>
      <w:r>
        <w:rPr>
          <w:rtl w:val="true"/>
        </w:rPr>
        <w:t xml:space="preserve">); </w:t>
      </w:r>
      <w:hyperlink r:id="rId182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5048/09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פס׳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14.2.2010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מהו אפוא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שנכון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בהתחשב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?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 </w:t>
      </w:r>
      <w:r>
        <w:rPr>
          <w:rtl w:val="true"/>
        </w:rPr>
        <w:t>בעבור</w:t>
      </w:r>
      <w:r>
        <w:rPr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אין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בקביעה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hyperlink r:id="rId183">
        <w:r>
          <w:rPr>
            <w:rStyle w:val="Hyperlink"/>
            <w:rtl w:val="true"/>
          </w:rPr>
          <w:t>לסעיפים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4"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לתת</w:t>
      </w:r>
      <w:r>
        <w:rPr>
          <w:rtl w:val="true"/>
        </w:rPr>
        <w:t xml:space="preserve"> </w:t>
      </w:r>
      <w:r>
        <w:rPr>
          <w:rtl w:val="true"/>
        </w:rPr>
        <w:t>במסגרתה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למצבו</w:t>
      </w:r>
      <w:r>
        <w:rPr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הרפואיות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והסבל</w:t>
      </w:r>
      <w:r>
        <w:rPr>
          <w:rtl w:val="true"/>
        </w:rPr>
        <w:t xml:space="preserve"> </w:t>
      </w:r>
      <w:r>
        <w:rPr>
          <w:rtl w:val="true"/>
        </w:rPr>
        <w:t>המיוחד</w:t>
      </w:r>
      <w:r>
        <w:rPr>
          <w:rtl w:val="true"/>
        </w:rPr>
        <w:t xml:space="preserve"> </w:t>
      </w:r>
      <w:r>
        <w:rPr>
          <w:rtl w:val="true"/>
        </w:rPr>
        <w:t>שהן</w:t>
      </w:r>
      <w:r>
        <w:rPr>
          <w:rtl w:val="true"/>
        </w:rPr>
        <w:t xml:space="preserve"> </w:t>
      </w:r>
      <w:r>
        <w:rPr>
          <w:rtl w:val="true"/>
        </w:rPr>
        <w:t>גורמות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כנסיבות</w:t>
      </w:r>
      <w:r>
        <w:rPr>
          <w:rtl w:val="true"/>
        </w:rPr>
        <w:t xml:space="preserve"> </w:t>
      </w:r>
      <w:r>
        <w:rPr>
          <w:rtl w:val="true"/>
        </w:rPr>
        <w:t>לקולת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שיישקלו</w:t>
      </w:r>
      <w:r>
        <w:rPr>
          <w:rtl w:val="true"/>
        </w:rPr>
        <w:t xml:space="preserve"> </w:t>
      </w:r>
      <w:r>
        <w:rPr>
          <w:rtl w:val="true"/>
        </w:rPr>
        <w:t>במיקום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hyperlink r:id="rId186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שעניינו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").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יכולות</w:t>
      </w:r>
      <w:r>
        <w:rPr>
          <w:rtl w:val="true"/>
        </w:rPr>
        <w:t xml:space="preserve"> </w:t>
      </w:r>
      <w:r>
        <w:rPr>
          <w:rtl w:val="true"/>
        </w:rPr>
        <w:t>להצדיק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ממתחם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לטובת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קלנר</w:t>
      </w:r>
      <w:r>
        <w:rPr>
          <w:rtl w:val="true"/>
        </w:rPr>
        <w:t xml:space="preserve">, </w:t>
      </w:r>
      <w:r>
        <w:rPr>
          <w:rtl w:val="true"/>
        </w:rPr>
        <w:t>בעמ׳</w:t>
      </w:r>
      <w:r>
        <w:rPr>
          <w:rtl w:val="true"/>
        </w:rPr>
        <w:t xml:space="preserve"> </w:t>
      </w:r>
      <w:r>
        <w:rPr/>
        <w:t>629-627</w:t>
      </w:r>
      <w:r>
        <w:rPr>
          <w:rtl w:val="true"/>
        </w:rPr>
        <w:t xml:space="preserve">, </w:t>
      </w:r>
      <w:r>
        <w:rPr/>
        <w:t>631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וכאן הדילמה</w:t>
      </w:r>
      <w:r>
        <w:rPr>
          <w:rtl w:val="true"/>
        </w:rPr>
        <w:t xml:space="preserve">. </w:t>
      </w:r>
      <w:r>
        <w:rPr>
          <w:rtl w:val="true"/>
        </w:rPr>
        <w:t>מצד אחד</w:t>
      </w:r>
      <w:r>
        <w:rPr>
          <w:rtl w:val="true"/>
        </w:rPr>
        <w:t xml:space="preserve">, </w:t>
      </w:r>
      <w:r>
        <w:rPr>
          <w:rtl w:val="true"/>
        </w:rPr>
        <w:t>לא יהיה נכון להתעלם מהשינוי במצבו הרפואי של המערער אשר חל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כשבוע לאחר מתן גזר הדין</w:t>
      </w:r>
      <w:r>
        <w:rPr>
          <w:rtl w:val="true"/>
        </w:rPr>
        <w:t xml:space="preserve">. </w:t>
      </w:r>
      <w:r>
        <w:rPr>
          <w:rtl w:val="true"/>
        </w:rPr>
        <w:t>מתברר כי שינוי זה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הוא משמעותי</w:t>
      </w:r>
      <w:r>
        <w:rPr>
          <w:rtl w:val="true"/>
        </w:rPr>
        <w:t xml:space="preserve">. </w:t>
      </w:r>
      <w:r>
        <w:rPr>
          <w:rtl w:val="true"/>
        </w:rPr>
        <w:t>מצד שני</w:t>
      </w:r>
      <w:r>
        <w:rPr>
          <w:rtl w:val="true"/>
        </w:rPr>
        <w:t xml:space="preserve">, </w:t>
      </w:r>
      <w:r>
        <w:rPr>
          <w:rtl w:val="true"/>
        </w:rPr>
        <w:t xml:space="preserve">יש לתת את הדעת למעשה החמור שביצע המערער </w:t>
      </w:r>
      <w:r>
        <w:rPr>
          <w:rtl w:val="true"/>
        </w:rPr>
        <w:t>–</w:t>
      </w:r>
      <w:r>
        <w:rPr>
          <w:rtl w:val="true"/>
        </w:rPr>
        <w:t xml:space="preserve"> רצח אשתו כמפורט בכתב האישום</w:t>
      </w:r>
      <w:r>
        <w:rPr>
          <w:rtl w:val="true"/>
        </w:rPr>
        <w:t xml:space="preserve">. </w:t>
      </w:r>
      <w:r>
        <w:rPr>
          <w:rtl w:val="true"/>
        </w:rPr>
        <w:t>לדעתי האיזון הנכון כיום</w:t>
      </w:r>
      <w:r>
        <w:rPr>
          <w:rtl w:val="true"/>
        </w:rPr>
        <w:t xml:space="preserve">, </w:t>
      </w:r>
      <w:r>
        <w:rPr>
          <w:rtl w:val="true"/>
        </w:rPr>
        <w:t>לנוכח עמדות הצדדים ובנסיבותיו הייחודיות של מקרה זה</w:t>
      </w:r>
      <w:r>
        <w:rPr>
          <w:rtl w:val="true"/>
        </w:rPr>
        <w:t xml:space="preserve">, </w:t>
      </w:r>
      <w:r>
        <w:rPr>
          <w:rtl w:val="true"/>
        </w:rPr>
        <w:t>הוא למקם את העונש במסגרת מתחם העונש ההולם אך בתחתיתו</w:t>
      </w:r>
      <w:r>
        <w:rPr>
          <w:rtl w:val="true"/>
        </w:rPr>
        <w:t xml:space="preserve">, </w:t>
      </w:r>
      <w:r>
        <w:rPr>
          <w:rtl w:val="true"/>
        </w:rPr>
        <w:t xml:space="preserve">ולהעמיד את עונשו הכולל של המערער על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זאת באופן שהמאסר המותנה יופעל בחופף</w:t>
      </w:r>
      <w:r>
        <w:rPr>
          <w:rtl w:val="true"/>
        </w:rPr>
        <w:t xml:space="preserve">, </w:t>
      </w:r>
      <w:r>
        <w:rPr>
          <w:rtl w:val="true"/>
        </w:rPr>
        <w:t>בשל הנסיבות המיוחדות שנוצרו במקרה דנן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כפי שהדגשתי</w:t>
      </w:r>
      <w:r>
        <w:rPr>
          <w:rtl w:val="true"/>
        </w:rPr>
        <w:t xml:space="preserve">, </w:t>
      </w:r>
      <w:r>
        <w:rPr>
          <w:rtl w:val="true"/>
        </w:rPr>
        <w:t>לוּ</w:t>
      </w:r>
      <w:r>
        <w:rPr>
          <w:rtl w:val="true"/>
        </w:rPr>
        <w:t xml:space="preserve"> </w:t>
      </w:r>
      <w:r>
        <w:rPr>
          <w:rtl w:val="true"/>
        </w:rPr>
        <w:t>היה מצבו הרפואי של המערער כפי שהיה במועד מתן גזר הדין</w:t>
      </w:r>
      <w:r>
        <w:rPr>
          <w:rtl w:val="true"/>
        </w:rPr>
        <w:t xml:space="preserve">, </w:t>
      </w:r>
      <w:r>
        <w:rPr>
          <w:rtl w:val="true"/>
        </w:rPr>
        <w:t>נכון היה כי בית המשפט המחוזי יטיל עליו מאסר עולם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בבואי לשקלל את הנסיבות סבורני כי העמדת העונש בתחתית מתחם העונש ולא במרכזו</w:t>
      </w:r>
      <w:r>
        <w:rPr>
          <w:rtl w:val="true"/>
        </w:rPr>
        <w:t xml:space="preserve">, </w:t>
      </w:r>
      <w:r>
        <w:rPr>
          <w:rtl w:val="true"/>
        </w:rPr>
        <w:t>כפי שבית משפט קמא קבע</w:t>
      </w:r>
      <w:r>
        <w:rPr>
          <w:rtl w:val="true"/>
        </w:rPr>
        <w:t xml:space="preserve">, </w:t>
      </w:r>
      <w:r>
        <w:rPr>
          <w:rtl w:val="true"/>
        </w:rPr>
        <w:t>תהא מענה הולם למורכבות של גזירת העונש במקרה הייחודי דנן</w:t>
      </w:r>
      <w:r>
        <w:rPr>
          <w:rtl w:val="true"/>
        </w:rPr>
        <w:t xml:space="preserve">. </w:t>
      </w:r>
      <w:r>
        <w:rPr>
          <w:rtl w:val="true"/>
        </w:rPr>
        <w:t xml:space="preserve">עונש של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 מאסר בפועל הוא עונש חמור</w:t>
      </w:r>
      <w:r>
        <w:rPr>
          <w:rtl w:val="true"/>
        </w:rPr>
        <w:t xml:space="preserve">, </w:t>
      </w:r>
      <w:r>
        <w:rPr>
          <w:rtl w:val="true"/>
        </w:rPr>
        <w:t>ממושך ומשמעותי המשקף את האיזון הנדרש בין חומרת העבירה שביצע המערער על נסיבותיה ובין מצבו הרפואי כיום</w:t>
      </w:r>
      <w:r>
        <w:rPr>
          <w:rtl w:val="true"/>
        </w:rPr>
        <w:t xml:space="preserve">. </w:t>
      </w:r>
      <w:r>
        <w:rPr>
          <w:rtl w:val="true"/>
        </w:rPr>
        <w:t>זה העונש שראוי להשית על המערער</w:t>
      </w:r>
      <w:r>
        <w:rPr>
          <w:rtl w:val="true"/>
        </w:rPr>
        <w:t xml:space="preserve">. </w:t>
      </w:r>
      <w:r>
        <w:rPr>
          <w:rtl w:val="true"/>
        </w:rPr>
        <w:t>זאת גם בשים לב לכך שאף המדינה הסכימה לא לעמוד כעת על הטלת העונש המרבי של מאסר עולם בשל מצבו הבריאותי של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פסק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דן</w:t>
      </w:r>
      <w:r>
        <w:rPr>
          <w:rtl w:val="true"/>
        </w:rPr>
        <w:t xml:space="preserve"> </w:t>
      </w:r>
      <w:r>
        <w:rPr>
          <w:rtl w:val="true"/>
        </w:rPr>
        <w:t>בסוגיית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בנוסחה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8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הקובעת</w:t>
      </w:r>
      <w:r>
        <w:rPr>
          <w:rtl w:val="true"/>
        </w:rPr>
        <w:t xml:space="preserve">, </w:t>
      </w:r>
      <w:r>
        <w:rPr>
          <w:rtl w:val="true"/>
        </w:rPr>
        <w:t>לעבירה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 </w:t>
      </w:r>
      <w:r>
        <w:rPr>
          <w:rtl w:val="true"/>
        </w:rPr>
        <w:t>ולראשונה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כעונש</w:t>
      </w:r>
      <w:r>
        <w:rPr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כעונש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דעתי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לסוגיה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לשמש</w:t>
      </w:r>
      <w:r>
        <w:rPr>
          <w:rtl w:val="true"/>
        </w:rPr>
        <w:t xml:space="preserve"> </w:t>
      </w:r>
      <w:r>
        <w:rPr>
          <w:rtl w:val="true"/>
        </w:rPr>
        <w:t>נקודת</w:t>
      </w:r>
      <w:r>
        <w:rPr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, </w:t>
      </w:r>
      <w:r>
        <w:rPr>
          <w:rtl w:val="true"/>
        </w:rPr>
        <w:t>שממנה יש לסטות רק במקרים חריגים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במסלול</w:t>
      </w:r>
      <w:r>
        <w:rPr>
          <w:rtl w:val="true"/>
        </w:rPr>
        <w:t xml:space="preserve"> </w:t>
      </w:r>
      <w:r>
        <w:rPr>
          <w:rtl w:val="true"/>
        </w:rPr>
        <w:t>גזירת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בהחלט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להוות</w:t>
      </w:r>
      <w:r>
        <w:rPr>
          <w:rtl w:val="true"/>
        </w:rPr>
        <w:t xml:space="preserve"> </w:t>
      </w:r>
      <w:r>
        <w:rPr>
          <w:rtl w:val="true"/>
        </w:rPr>
        <w:t>נקודת</w:t>
      </w:r>
      <w:r>
        <w:rPr>
          <w:rtl w:val="true"/>
        </w:rPr>
        <w:t xml:space="preserve"> </w:t>
      </w:r>
      <w:r>
        <w:rPr>
          <w:rtl w:val="true"/>
        </w:rPr>
        <w:t>הסיום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יוטל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, </w:t>
      </w:r>
      <w:r>
        <w:rPr>
          <w:rtl w:val="true"/>
        </w:rPr>
        <w:t>וזאת מבלי לקבוע אמות מידה מחייבות לסיווג מקרים אלו</w:t>
      </w:r>
      <w:r>
        <w:rPr>
          <w:rtl w:val="true"/>
        </w:rPr>
        <w:t xml:space="preserve">, </w:t>
      </w:r>
      <w:r>
        <w:rPr>
          <w:rtl w:val="true"/>
        </w:rPr>
        <w:t>ודאי לא בשלב זה של התפתחות הפסיקה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משתייך</w:t>
      </w:r>
      <w:r>
        <w:rPr>
          <w:rtl w:val="true"/>
        </w:rPr>
        <w:t xml:space="preserve"> </w:t>
      </w:r>
      <w:r>
        <w:rPr>
          <w:rtl w:val="true"/>
        </w:rPr>
        <w:t>להשקפתי</w:t>
      </w:r>
      <w:r>
        <w:rPr>
          <w:rtl w:val="true"/>
        </w:rPr>
        <w:t xml:space="preserve"> </w:t>
      </w:r>
      <w:r>
        <w:rPr>
          <w:rtl w:val="true"/>
        </w:rPr>
        <w:t>למקרים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משנסיבות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מצדיקות</w:t>
      </w:r>
      <w:r>
        <w:rPr>
          <w:rtl w:val="true"/>
        </w:rPr>
        <w:t xml:space="preserve"> </w:t>
      </w:r>
      <w:r>
        <w:rPr>
          <w:rtl w:val="true"/>
        </w:rPr>
        <w:t>הטלת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 – </w:t>
      </w:r>
      <w:r>
        <w:rPr>
          <w:rtl w:val="true"/>
        </w:rPr>
        <w:t>ובאופן</w:t>
      </w:r>
      <w:r>
        <w:rPr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הרפואיות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שהתפתחו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– </w:t>
      </w:r>
      <w:r>
        <w:rPr>
          <w:rtl w:val="true"/>
        </w:rPr>
        <w:t>מצדיקות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לחרוג</w:t>
      </w:r>
      <w:r>
        <w:rPr>
          <w:rtl w:val="true"/>
        </w:rPr>
        <w:t xml:space="preserve"> </w:t>
      </w:r>
      <w:r>
        <w:rPr>
          <w:rtl w:val="true"/>
        </w:rPr>
        <w:t>מתוצאה זו</w:t>
      </w:r>
      <w:r>
        <w:rPr>
          <w:rtl w:val="true"/>
        </w:rPr>
        <w:t xml:space="preserve"> </w:t>
      </w:r>
      <w:r>
        <w:rPr>
          <w:rtl w:val="true"/>
        </w:rPr>
        <w:t>ולהטיל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כפי שהוצע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שממנה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כללים</w:t>
      </w:r>
      <w:r>
        <w:rPr>
          <w:rtl w:val="true"/>
        </w:rPr>
        <w:t xml:space="preserve">,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. </w:t>
      </w:r>
      <w:r>
        <w:rPr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הדרמטית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, </w:t>
      </w:r>
      <w:r>
        <w:rPr>
          <w:rtl w:val="true"/>
        </w:rPr>
        <w:t>והייתי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לחבריי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ונעמיד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כך שעונש המאסר המותנה שהוטל על המערער ב</w:t>
      </w:r>
      <w:hyperlink r:id="rId19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61199-10-17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ירוצה בחופף לעונש על עבירת הרצח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רכיבי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–</w:t>
      </w:r>
      <w:r>
        <w:rPr>
          <w:rtl w:val="true"/>
        </w:rPr>
        <w:t xml:space="preserve"> הפיצוי והמאסר על תנאי בגין עבירת הרצח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ייוותרו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3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2.3.2022</w:t>
      </w:r>
      <w:r>
        <w:rPr>
          <w:rtl w:val="true"/>
        </w:rPr>
        <w:t xml:space="preserve">). </w:t>
      </w:r>
      <w:bookmarkEnd w:id="23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21032230</w:t>
      </w:r>
      <w:r>
        <w:rPr>
          <w:sz w:val="16"/>
          <w:rtl w:val="true"/>
        </w:rPr>
        <w:t>_</w:t>
      </w:r>
      <w:r>
        <w:rPr>
          <w:sz w:val="16"/>
        </w:rPr>
        <w:t>Z07.docx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נו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ג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קרא </w:t>
      </w:r>
      <w:r>
        <w:rPr>
          <w:rFonts w:cs="David;Times New Roman" w:ascii="David;Times New Roman" w:hAnsi="David;Times New Roman"/>
          <w:color w:val="000000"/>
          <w:szCs w:val="22"/>
        </w:rPr>
        <w:t>54678313-3223/21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93"/>
      <w:footerReference w:type="default" r:id="rId19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3223/21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יצחק שפק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;Times New Roman"/>
      <w:szCs w:val="24"/>
    </w:rPr>
  </w:style>
  <w:style w:type="character" w:styleId="CharChar3">
    <w:name w:val=" Char Char3"/>
    <w:qFormat/>
    <w:rPr>
      <w:rFonts w:cs="David;Times New Roman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130352" TargetMode="External"/><Relationship Id="rId3" Type="http://schemas.openxmlformats.org/officeDocument/2006/relationships/hyperlink" Target="http://www.nevo.co.il/safrut/book/47657" TargetMode="External"/><Relationship Id="rId4" Type="http://schemas.openxmlformats.org/officeDocument/2006/relationships/hyperlink" Target="http://www.nevo.co.il/safrut/book/47657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5" TargetMode="External"/><Relationship Id="rId7" Type="http://schemas.openxmlformats.org/officeDocument/2006/relationships/hyperlink" Target="http://www.nevo.co.il/law/70301/40a" TargetMode="External"/><Relationship Id="rId8" Type="http://schemas.openxmlformats.org/officeDocument/2006/relationships/hyperlink" Target="http://www.nevo.co.il/law/70301/40b" TargetMode="External"/><Relationship Id="rId9" Type="http://schemas.openxmlformats.org/officeDocument/2006/relationships/hyperlink" Target="http://www.nevo.co.il/law/70301/40c" TargetMode="External"/><Relationship Id="rId10" Type="http://schemas.openxmlformats.org/officeDocument/2006/relationships/hyperlink" Target="http://www.nevo.co.il/law/70301/40d" TargetMode="External"/><Relationship Id="rId11" Type="http://schemas.openxmlformats.org/officeDocument/2006/relationships/hyperlink" Target="http://www.nevo.co.il/law/70301/40e" TargetMode="External"/><Relationship Id="rId12" Type="http://schemas.openxmlformats.org/officeDocument/2006/relationships/hyperlink" Target="http://www.nevo.co.il/law/70301/40f" TargetMode="External"/><Relationship Id="rId13" Type="http://schemas.openxmlformats.org/officeDocument/2006/relationships/hyperlink" Target="http://www.nevo.co.il/law/70301/40g" TargetMode="External"/><Relationship Id="rId14" Type="http://schemas.openxmlformats.org/officeDocument/2006/relationships/hyperlink" Target="http://www.nevo.co.il/law/70301/40i" TargetMode="External"/><Relationship Id="rId15" Type="http://schemas.openxmlformats.org/officeDocument/2006/relationships/hyperlink" Target="http://www.nevo.co.il/law/70301/40i.a" TargetMode="External"/><Relationship Id="rId16" Type="http://schemas.openxmlformats.org/officeDocument/2006/relationships/hyperlink" Target="http://www.nevo.co.il/law/70301/40i.a.10" TargetMode="External"/><Relationship Id="rId17" Type="http://schemas.openxmlformats.org/officeDocument/2006/relationships/hyperlink" Target="http://www.nevo.co.il/law/70301/41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01/300" TargetMode="External"/><Relationship Id="rId20" Type="http://schemas.openxmlformats.org/officeDocument/2006/relationships/hyperlink" Target="http://www.nevo.co.il/law/70301/300.a" TargetMode="External"/><Relationship Id="rId21" Type="http://schemas.openxmlformats.org/officeDocument/2006/relationships/hyperlink" Target="http://www.nevo.co.il/law/70301/300a" TargetMode="External"/><Relationship Id="rId22" Type="http://schemas.openxmlformats.org/officeDocument/2006/relationships/hyperlink" Target="http://www.nevo.co.il/law/70301/301a" TargetMode="External"/><Relationship Id="rId23" Type="http://schemas.openxmlformats.org/officeDocument/2006/relationships/hyperlink" Target="http://www.nevo.co.il/law/70301/301a.a" TargetMode="External"/><Relationship Id="rId24" Type="http://schemas.openxmlformats.org/officeDocument/2006/relationships/hyperlink" Target="http://www.nevo.co.il/law/70301/301a.a.1" TargetMode="External"/><Relationship Id="rId25" Type="http://schemas.openxmlformats.org/officeDocument/2006/relationships/hyperlink" Target="http://www.nevo.co.il/law/70301/301a.a.6" TargetMode="External"/><Relationship Id="rId26" Type="http://schemas.openxmlformats.org/officeDocument/2006/relationships/hyperlink" Target="http://www.nevo.co.il/law/70301/301a.a.7" TargetMode="External"/><Relationship Id="rId27" Type="http://schemas.openxmlformats.org/officeDocument/2006/relationships/hyperlink" Target="http://www.nevo.co.il/law/70301/301a.b" TargetMode="External"/><Relationship Id="rId28" Type="http://schemas.openxmlformats.org/officeDocument/2006/relationships/hyperlink" Target="http://www.nevo.co.il/law/70301/301b" TargetMode="External"/><Relationship Id="rId29" Type="http://schemas.openxmlformats.org/officeDocument/2006/relationships/hyperlink" Target="http://www.nevo.co.il/law/70301/301c" TargetMode="External"/><Relationship Id="rId30" Type="http://schemas.openxmlformats.org/officeDocument/2006/relationships/hyperlink" Target="http://www.nevo.co.il/law/70301/304" TargetMode="External"/><Relationship Id="rId31" Type="http://schemas.openxmlformats.org/officeDocument/2006/relationships/hyperlink" Target="http://www.nevo.co.il/law/70301/311a" TargetMode="External"/><Relationship Id="rId32" Type="http://schemas.openxmlformats.org/officeDocument/2006/relationships/hyperlink" Target="http://www.nevo.co.il/law/70301/355" TargetMode="External"/><Relationship Id="rId33" Type="http://schemas.openxmlformats.org/officeDocument/2006/relationships/hyperlink" Target="http://www.nevo.co.il/law/70301/382.b" TargetMode="External"/><Relationship Id="rId34" Type="http://schemas.openxmlformats.org/officeDocument/2006/relationships/hyperlink" Target="http://www.nevo.co.il/law/70301/40ja" TargetMode="External"/><Relationship Id="rId35" Type="http://schemas.openxmlformats.org/officeDocument/2006/relationships/hyperlink" Target="http://www.nevo.co.il/law/70301/40ja.1" TargetMode="External"/><Relationship Id="rId36" Type="http://schemas.openxmlformats.org/officeDocument/2006/relationships/hyperlink" Target="http://www.nevo.co.il/law/70301/fCa1S" TargetMode="External"/><Relationship Id="rId37" Type="http://schemas.openxmlformats.org/officeDocument/2006/relationships/hyperlink" Target="http://www.nevo.co.il/law/75025" TargetMode="External"/><Relationship Id="rId38" Type="http://schemas.openxmlformats.org/officeDocument/2006/relationships/hyperlink" Target="http://www.nevo.co.il/law/141771" TargetMode="External"/><Relationship Id="rId39" Type="http://schemas.openxmlformats.org/officeDocument/2006/relationships/hyperlink" Target="http://www.nevo.co.il/law/70348" TargetMode="External"/><Relationship Id="rId40" Type="http://schemas.openxmlformats.org/officeDocument/2006/relationships/hyperlink" Target="http://www.nevo.co.il/law/70348/25.b" TargetMode="External"/><Relationship Id="rId41" Type="http://schemas.openxmlformats.org/officeDocument/2006/relationships/hyperlink" Target="http://www.nevo.co.il/law/70301/300.a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25130352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00.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301a" TargetMode="External"/><Relationship Id="rId48" Type="http://schemas.openxmlformats.org/officeDocument/2006/relationships/hyperlink" Target="http://www.nevo.co.il/law/70301/300.a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23213888" TargetMode="External"/><Relationship Id="rId51" Type="http://schemas.openxmlformats.org/officeDocument/2006/relationships/hyperlink" Target="http://www.nevo.co.il/law/70301/300.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27418435" TargetMode="External"/><Relationship Id="rId54" Type="http://schemas.openxmlformats.org/officeDocument/2006/relationships/hyperlink" Target="http://www.nevo.co.il/law/70301/fCa1S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311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301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5025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case/26553171" TargetMode="External"/><Relationship Id="rId66" Type="http://schemas.openxmlformats.org/officeDocument/2006/relationships/hyperlink" Target="http://www.nevo.co.il/law/70301/301a" TargetMode="External"/><Relationship Id="rId67" Type="http://schemas.openxmlformats.org/officeDocument/2006/relationships/hyperlink" Target="http://www.nevo.co.il/law/70301/300.a" TargetMode="External"/><Relationship Id="rId68" Type="http://schemas.openxmlformats.org/officeDocument/2006/relationships/hyperlink" Target="http://www.nevo.co.il/law/70301/301b" TargetMode="External"/><Relationship Id="rId69" Type="http://schemas.openxmlformats.org/officeDocument/2006/relationships/hyperlink" Target="http://www.nevo.co.il/law/70301/301c" TargetMode="External"/><Relationship Id="rId70" Type="http://schemas.openxmlformats.org/officeDocument/2006/relationships/hyperlink" Target="http://www.nevo.co.il/law/70301/304" TargetMode="External"/><Relationship Id="rId71" Type="http://schemas.openxmlformats.org/officeDocument/2006/relationships/hyperlink" Target="http://www.nevo.co.il/law/70301/301a" TargetMode="External"/><Relationship Id="rId72" Type="http://schemas.openxmlformats.org/officeDocument/2006/relationships/hyperlink" Target="http://www.nevo.co.il/law/141771" TargetMode="External"/><Relationship Id="rId73" Type="http://schemas.openxmlformats.org/officeDocument/2006/relationships/hyperlink" Target="http://www.nevo.co.il/law/70301/301a.a" TargetMode="External"/><Relationship Id="rId74" Type="http://schemas.openxmlformats.org/officeDocument/2006/relationships/hyperlink" Target="http://www.nevo.co.il/law/70301/301a" TargetMode="External"/><Relationship Id="rId75" Type="http://schemas.openxmlformats.org/officeDocument/2006/relationships/hyperlink" Target="http://www.nevo.co.il/law/70301/300.a" TargetMode="External"/><Relationship Id="rId76" Type="http://schemas.openxmlformats.org/officeDocument/2006/relationships/hyperlink" Target="http://www.nevo.co.il/law/70301/301a.b" TargetMode="External"/><Relationship Id="rId77" Type="http://schemas.openxmlformats.org/officeDocument/2006/relationships/hyperlink" Target="http://www.nevo.co.il/law/70301/35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41" TargetMode="External"/><Relationship Id="rId81" Type="http://schemas.openxmlformats.org/officeDocument/2006/relationships/hyperlink" Target="http://www.nevo.co.il/law/70301/41" TargetMode="External"/><Relationship Id="rId82" Type="http://schemas.openxmlformats.org/officeDocument/2006/relationships/hyperlink" Target="http://www.nevo.co.il/law/70301/311a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48/25.b" TargetMode="External"/><Relationship Id="rId87" Type="http://schemas.openxmlformats.org/officeDocument/2006/relationships/hyperlink" Target="http://www.nevo.co.il/law/70348" TargetMode="External"/><Relationship Id="rId88" Type="http://schemas.openxmlformats.org/officeDocument/2006/relationships/hyperlink" Target="http://www.nevo.co.il/case/5701742" TargetMode="External"/><Relationship Id="rId89" Type="http://schemas.openxmlformats.org/officeDocument/2006/relationships/hyperlink" Target="http://www.nevo.co.il/law/70301/300a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case/5834975" TargetMode="External"/><Relationship Id="rId92" Type="http://schemas.openxmlformats.org/officeDocument/2006/relationships/hyperlink" Target="http://www.nevo.co.il/case/13015521" TargetMode="External"/><Relationship Id="rId93" Type="http://schemas.openxmlformats.org/officeDocument/2006/relationships/hyperlink" Target="http://www.nevo.co.il/law/70301/301b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70301" TargetMode="External"/><Relationship Id="rId97" Type="http://schemas.openxmlformats.org/officeDocument/2006/relationships/hyperlink" Target="http://www.nevo.co.il/law/70301/41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law/70301/fCa1S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case/5573417" TargetMode="External"/><Relationship Id="rId102" Type="http://schemas.openxmlformats.org/officeDocument/2006/relationships/hyperlink" Target="http://www.nevo.co.il/law/70301/40a" TargetMode="External"/><Relationship Id="rId103" Type="http://schemas.openxmlformats.org/officeDocument/2006/relationships/hyperlink" Target="http://www.nevo.co.il/law/70301/40b" TargetMode="External"/><Relationship Id="rId104" Type="http://schemas.openxmlformats.org/officeDocument/2006/relationships/hyperlink" Target="http://www.nevo.co.il/law/70301/40c" TargetMode="External"/><Relationship Id="rId105" Type="http://schemas.openxmlformats.org/officeDocument/2006/relationships/hyperlink" Target="http://www.nevo.co.il/law/70301/40d;40g;40e;40f" TargetMode="External"/><Relationship Id="rId106" Type="http://schemas.openxmlformats.org/officeDocument/2006/relationships/hyperlink" Target="http://www.nevo.co.il/law/70301/40g" TargetMode="External"/><Relationship Id="rId107" Type="http://schemas.openxmlformats.org/officeDocument/2006/relationships/hyperlink" Target="http://www.nevo.co.il/law/70301/40i.a" TargetMode="External"/><Relationship Id="rId108" Type="http://schemas.openxmlformats.org/officeDocument/2006/relationships/hyperlink" Target="http://www.nevo.co.il/law/70301/40ja" TargetMode="External"/><Relationship Id="rId109" Type="http://schemas.openxmlformats.org/officeDocument/2006/relationships/hyperlink" Target="http://www.nevo.co.il/law/70301" TargetMode="External"/><Relationship Id="rId110" Type="http://schemas.openxmlformats.org/officeDocument/2006/relationships/hyperlink" Target="http://www.nevo.co.il/law/70301/40c" TargetMode="External"/><Relationship Id="rId111" Type="http://schemas.openxmlformats.org/officeDocument/2006/relationships/hyperlink" Target="http://www.nevo.co.il/law/70301/300.a" TargetMode="External"/><Relationship Id="rId112" Type="http://schemas.openxmlformats.org/officeDocument/2006/relationships/hyperlink" Target="http://www.nevo.co.il/law/70301" TargetMode="External"/><Relationship Id="rId113" Type="http://schemas.openxmlformats.org/officeDocument/2006/relationships/hyperlink" Target="http://www.nevo.co.il/law/70301/301a" TargetMode="External"/><Relationship Id="rId114" Type="http://schemas.openxmlformats.org/officeDocument/2006/relationships/hyperlink" Target="http://www.nevo.co.il/law/70301" TargetMode="External"/><Relationship Id="rId115" Type="http://schemas.openxmlformats.org/officeDocument/2006/relationships/hyperlink" Target="http://www.nevo.co.il/law/70301/300.a" TargetMode="External"/><Relationship Id="rId116" Type="http://schemas.openxmlformats.org/officeDocument/2006/relationships/hyperlink" Target="http://www.nevo.co.il/law/70301" TargetMode="External"/><Relationship Id="rId117" Type="http://schemas.openxmlformats.org/officeDocument/2006/relationships/hyperlink" Target="http://www.nevo.co.il/law/70301/35" TargetMode="External"/><Relationship Id="rId118" Type="http://schemas.openxmlformats.org/officeDocument/2006/relationships/hyperlink" Target="http://www.nevo.co.il/law/70301/311a" TargetMode="External"/><Relationship Id="rId119" Type="http://schemas.openxmlformats.org/officeDocument/2006/relationships/hyperlink" Target="http://www.nevo.co.il/law/70301" TargetMode="External"/><Relationship Id="rId120" Type="http://schemas.openxmlformats.org/officeDocument/2006/relationships/hyperlink" Target="http://www.nevo.co.il/law/70301" TargetMode="External"/><Relationship Id="rId121" Type="http://schemas.openxmlformats.org/officeDocument/2006/relationships/hyperlink" Target="http://www.nevo.co.il/safrut/book/47657" TargetMode="External"/><Relationship Id="rId122" Type="http://schemas.openxmlformats.org/officeDocument/2006/relationships/hyperlink" Target="http://www.nevo.co.il/law/70301/311a" TargetMode="External"/><Relationship Id="rId123" Type="http://schemas.openxmlformats.org/officeDocument/2006/relationships/hyperlink" Target="http://www.nevo.co.il/law/70301" TargetMode="External"/><Relationship Id="rId124" Type="http://schemas.openxmlformats.org/officeDocument/2006/relationships/hyperlink" Target="http://www.nevo.co.il/case/5770174" TargetMode="External"/><Relationship Id="rId125" Type="http://schemas.openxmlformats.org/officeDocument/2006/relationships/hyperlink" Target="http://www.nevo.co.il/case/25994899" TargetMode="External"/><Relationship Id="rId126" Type="http://schemas.openxmlformats.org/officeDocument/2006/relationships/hyperlink" Target="http://www.nevo.co.il/law/70301/355" TargetMode="External"/><Relationship Id="rId127" Type="http://schemas.openxmlformats.org/officeDocument/2006/relationships/hyperlink" Target="http://www.nevo.co.il/law/70301" TargetMode="External"/><Relationship Id="rId128" Type="http://schemas.openxmlformats.org/officeDocument/2006/relationships/hyperlink" Target="http://www.nevo.co.il/case/6040611" TargetMode="External"/><Relationship Id="rId129" Type="http://schemas.openxmlformats.org/officeDocument/2006/relationships/hyperlink" Target="http://www.nevo.co.il/law/70301/301a.a.1" TargetMode="External"/><Relationship Id="rId130" Type="http://schemas.openxmlformats.org/officeDocument/2006/relationships/hyperlink" Target="http://www.nevo.co.il/law/70301" TargetMode="External"/><Relationship Id="rId131" Type="http://schemas.openxmlformats.org/officeDocument/2006/relationships/hyperlink" Target="http://www.nevo.co.il/case/26205760" TargetMode="External"/><Relationship Id="rId132" Type="http://schemas.openxmlformats.org/officeDocument/2006/relationships/hyperlink" Target="http://www.nevo.co.il/law/70301/301a.b" TargetMode="External"/><Relationship Id="rId133" Type="http://schemas.openxmlformats.org/officeDocument/2006/relationships/hyperlink" Target="http://www.nevo.co.il/law/70301" TargetMode="External"/><Relationship Id="rId134" Type="http://schemas.openxmlformats.org/officeDocument/2006/relationships/hyperlink" Target="http://www.nevo.co.il/case/20000927" TargetMode="External"/><Relationship Id="rId135" Type="http://schemas.openxmlformats.org/officeDocument/2006/relationships/hyperlink" Target="http://www.nevo.co.il/law/70301" TargetMode="External"/><Relationship Id="rId136" Type="http://schemas.openxmlformats.org/officeDocument/2006/relationships/hyperlink" Target="http://www.nevo.co.il/law/70301/300a" TargetMode="External"/><Relationship Id="rId137" Type="http://schemas.openxmlformats.org/officeDocument/2006/relationships/hyperlink" Target="http://www.nevo.co.il/law/70301" TargetMode="External"/><Relationship Id="rId138" Type="http://schemas.openxmlformats.org/officeDocument/2006/relationships/hyperlink" Target="http://www.nevo.co.il/law/70301" TargetMode="External"/><Relationship Id="rId139" Type="http://schemas.openxmlformats.org/officeDocument/2006/relationships/hyperlink" Target="http://www.nevo.co.il/case/6219326" TargetMode="External"/><Relationship Id="rId140" Type="http://schemas.openxmlformats.org/officeDocument/2006/relationships/hyperlink" Target="http://www.nevo.co.il/case/6207199" TargetMode="External"/><Relationship Id="rId141" Type="http://schemas.openxmlformats.org/officeDocument/2006/relationships/hyperlink" Target="http://www.nevo.co.il/case/27309272" TargetMode="External"/><Relationship Id="rId142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law/70301/301a" TargetMode="External"/><Relationship Id="rId144" Type="http://schemas.openxmlformats.org/officeDocument/2006/relationships/hyperlink" Target="http://www.nevo.co.il/law/70301" TargetMode="External"/><Relationship Id="rId145" Type="http://schemas.openxmlformats.org/officeDocument/2006/relationships/hyperlink" Target="http://www.nevo.co.il/law/70301/301a.a.7" TargetMode="External"/><Relationship Id="rId146" Type="http://schemas.openxmlformats.org/officeDocument/2006/relationships/hyperlink" Target="http://www.nevo.co.il/law/70301" TargetMode="External"/><Relationship Id="rId147" Type="http://schemas.openxmlformats.org/officeDocument/2006/relationships/hyperlink" Target="http://www.nevo.co.il/law/70301/301a.a.1" TargetMode="External"/><Relationship Id="rId148" Type="http://schemas.openxmlformats.org/officeDocument/2006/relationships/hyperlink" Target="http://www.nevo.co.il/law/70301/40i.a.10" TargetMode="External"/><Relationship Id="rId149" Type="http://schemas.openxmlformats.org/officeDocument/2006/relationships/hyperlink" Target="http://www.nevo.co.il/law/70301/300a" TargetMode="External"/><Relationship Id="rId150" Type="http://schemas.openxmlformats.org/officeDocument/2006/relationships/hyperlink" Target="http://www.nevo.co.il/law/70301/301a" TargetMode="External"/><Relationship Id="rId151" Type="http://schemas.openxmlformats.org/officeDocument/2006/relationships/hyperlink" Target="http://www.nevo.co.il/law/70301/301a.b" TargetMode="External"/><Relationship Id="rId152" Type="http://schemas.openxmlformats.org/officeDocument/2006/relationships/hyperlink" Target="http://www.nevo.co.il/law/70301/300" TargetMode="External"/><Relationship Id="rId153" Type="http://schemas.openxmlformats.org/officeDocument/2006/relationships/hyperlink" Target="http://www.nevo.co.il/law/70301/300.a" TargetMode="External"/><Relationship Id="rId154" Type="http://schemas.openxmlformats.org/officeDocument/2006/relationships/hyperlink" Target="http://www.nevo.co.il/law/70301/40b" TargetMode="External"/><Relationship Id="rId155" Type="http://schemas.openxmlformats.org/officeDocument/2006/relationships/hyperlink" Target="http://www.nevo.co.il/law/70301" TargetMode="External"/><Relationship Id="rId156" Type="http://schemas.openxmlformats.org/officeDocument/2006/relationships/hyperlink" Target="http://www.nevo.co.il/law/70301/40c" TargetMode="External"/><Relationship Id="rId157" Type="http://schemas.openxmlformats.org/officeDocument/2006/relationships/hyperlink" Target="http://www.nevo.co.il/case/6081536" TargetMode="External"/><Relationship Id="rId158" Type="http://schemas.openxmlformats.org/officeDocument/2006/relationships/hyperlink" Target="http://www.nevo.co.il/case/24152609" TargetMode="External"/><Relationship Id="rId159" Type="http://schemas.openxmlformats.org/officeDocument/2006/relationships/hyperlink" Target="http://www.nevo.co.il/case/5788915" TargetMode="External"/><Relationship Id="rId160" Type="http://schemas.openxmlformats.org/officeDocument/2006/relationships/hyperlink" Target="http://www.nevo.co.il/law/70301" TargetMode="External"/><Relationship Id="rId161" Type="http://schemas.openxmlformats.org/officeDocument/2006/relationships/hyperlink" Target="http://www.nevo.co.il/case/25679793" TargetMode="External"/><Relationship Id="rId162" Type="http://schemas.openxmlformats.org/officeDocument/2006/relationships/hyperlink" Target="http://www.nevo.co.il/law/70301/382.b" TargetMode="External"/><Relationship Id="rId163" Type="http://schemas.openxmlformats.org/officeDocument/2006/relationships/hyperlink" Target="http://www.nevo.co.il/law/70301" TargetMode="External"/><Relationship Id="rId164" Type="http://schemas.openxmlformats.org/officeDocument/2006/relationships/hyperlink" Target="http://www.nevo.co.il/law/70301/192" TargetMode="External"/><Relationship Id="rId165" Type="http://schemas.openxmlformats.org/officeDocument/2006/relationships/hyperlink" Target="http://www.nevo.co.il/case/23213888" TargetMode="External"/><Relationship Id="rId166" Type="http://schemas.openxmlformats.org/officeDocument/2006/relationships/hyperlink" Target="http://www.nevo.co.il/case/22516536" TargetMode="External"/><Relationship Id="rId167" Type="http://schemas.openxmlformats.org/officeDocument/2006/relationships/hyperlink" Target="http://www.nevo.co.il/case/6193167" TargetMode="External"/><Relationship Id="rId168" Type="http://schemas.openxmlformats.org/officeDocument/2006/relationships/hyperlink" Target="http://www.nevo.co.il/case/5734605" TargetMode="External"/><Relationship Id="rId169" Type="http://schemas.openxmlformats.org/officeDocument/2006/relationships/hyperlink" Target="http://www.nevo.co.il/case/5589927" TargetMode="External"/><Relationship Id="rId170" Type="http://schemas.openxmlformats.org/officeDocument/2006/relationships/hyperlink" Target="http://www.nevo.co.il/case/13070531" TargetMode="External"/><Relationship Id="rId171" Type="http://schemas.openxmlformats.org/officeDocument/2006/relationships/hyperlink" Target="http://www.nevo.co.il/case/22505617" TargetMode="External"/><Relationship Id="rId172" Type="http://schemas.openxmlformats.org/officeDocument/2006/relationships/hyperlink" Target="http://www.nevo.co.il/case/24975719" TargetMode="External"/><Relationship Id="rId173" Type="http://schemas.openxmlformats.org/officeDocument/2006/relationships/hyperlink" Target="http://www.nevo.co.il/case/26600490" TargetMode="External"/><Relationship Id="rId174" Type="http://schemas.openxmlformats.org/officeDocument/2006/relationships/hyperlink" Target="http://www.nevo.co.il/case/18119170" TargetMode="External"/><Relationship Id="rId175" Type="http://schemas.openxmlformats.org/officeDocument/2006/relationships/hyperlink" Target="http://www.nevo.co.il/case/22516536" TargetMode="External"/><Relationship Id="rId176" Type="http://schemas.openxmlformats.org/officeDocument/2006/relationships/hyperlink" Target="http://www.nevo.co.il/case/6249109" TargetMode="External"/><Relationship Id="rId177" Type="http://schemas.openxmlformats.org/officeDocument/2006/relationships/hyperlink" Target="http://www.nevo.co.il/law/70301/301a.a.6" TargetMode="External"/><Relationship Id="rId178" Type="http://schemas.openxmlformats.org/officeDocument/2006/relationships/hyperlink" Target="http://www.nevo.co.il/law/70301/301a.a.7" TargetMode="External"/><Relationship Id="rId179" Type="http://schemas.openxmlformats.org/officeDocument/2006/relationships/hyperlink" Target="http://www.nevo.co.il/case/27530850" TargetMode="External"/><Relationship Id="rId180" Type="http://schemas.openxmlformats.org/officeDocument/2006/relationships/hyperlink" Target="http://www.nevo.co.il/case/17015235" TargetMode="External"/><Relationship Id="rId181" Type="http://schemas.openxmlformats.org/officeDocument/2006/relationships/hyperlink" Target="http://www.nevo.co.il/case/5591978" TargetMode="External"/><Relationship Id="rId182" Type="http://schemas.openxmlformats.org/officeDocument/2006/relationships/hyperlink" Target="http://www.nevo.co.il/case/6246087" TargetMode="External"/><Relationship Id="rId183" Type="http://schemas.openxmlformats.org/officeDocument/2006/relationships/hyperlink" Target="http://www.nevo.co.il/law/70301/40c" TargetMode="External"/><Relationship Id="rId184" Type="http://schemas.openxmlformats.org/officeDocument/2006/relationships/hyperlink" Target="http://www.nevo.co.il/law/70301/40i" TargetMode="External"/><Relationship Id="rId185" Type="http://schemas.openxmlformats.org/officeDocument/2006/relationships/hyperlink" Target="http://www.nevo.co.il/law/70301" TargetMode="External"/><Relationship Id="rId186" Type="http://schemas.openxmlformats.org/officeDocument/2006/relationships/hyperlink" Target="http://www.nevo.co.il/law/70301/40ja.1" TargetMode="External"/><Relationship Id="rId187" Type="http://schemas.openxmlformats.org/officeDocument/2006/relationships/hyperlink" Target="http://www.nevo.co.il/law/70301" TargetMode="External"/><Relationship Id="rId188" Type="http://schemas.openxmlformats.org/officeDocument/2006/relationships/hyperlink" Target="http://www.nevo.co.il/law/70301/300.a" TargetMode="External"/><Relationship Id="rId189" Type="http://schemas.openxmlformats.org/officeDocument/2006/relationships/hyperlink" Target="http://www.nevo.co.il/law/70301" TargetMode="External"/><Relationship Id="rId190" Type="http://schemas.openxmlformats.org/officeDocument/2006/relationships/hyperlink" Target="http://www.nevo.co.il/case/23213888" TargetMode="External"/><Relationship Id="rId191" Type="http://schemas.openxmlformats.org/officeDocument/2006/relationships/hyperlink" Target="https://supreme.court.gov.il/" TargetMode="External"/><Relationship Id="rId192" Type="http://schemas.openxmlformats.org/officeDocument/2006/relationships/hyperlink" Target="http://www.nevo.co.il/advertisements/nevo-100.doc" TargetMode="External"/><Relationship Id="rId193" Type="http://schemas.openxmlformats.org/officeDocument/2006/relationships/header" Target="header1.xml"/><Relationship Id="rId194" Type="http://schemas.openxmlformats.org/officeDocument/2006/relationships/footer" Target="footer1.xml"/><Relationship Id="rId195" Type="http://schemas.openxmlformats.org/officeDocument/2006/relationships/numbering" Target="numbering.xml"/><Relationship Id="rId196" Type="http://schemas.openxmlformats.org/officeDocument/2006/relationships/fontTable" Target="fontTable.xml"/><Relationship Id="rId197" Type="http://schemas.openxmlformats.org/officeDocument/2006/relationships/settings" Target="settings.xml"/><Relationship Id="rId19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2022-03-03T10:40:00Z</dcterms:created>
  <dc:creator>h4</dc:creator>
  <dc:description/>
  <cp:keywords/>
  <dc:language>en-IL</dc:language>
  <cp:lastModifiedBy>orly</cp:lastModifiedBy>
  <cp:lastPrinted>2022-03-02T10:32:00Z</cp:lastPrinted>
  <dcterms:modified xsi:type="dcterms:W3CDTF">2022-03-03T10:40:00Z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יצחק שפק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47657</vt:lpwstr>
  </property>
  <property fmtid="{D5CDD505-2E9C-101B-9397-08002B2CF9AE}" pid="9" name="CASESLISTTMP1">
    <vt:lpwstr>25130352:2;23213888:3;27418435;26553171;5701742;5834975;13015521;5573417;5770174;25994899;6040611;26205760;20000927;6219326;6207199;27309272;6081536;24152609;5788915;25679793;22516536:2;6193167;5734605;5589927;13070531;22505617;24975719;26600490</vt:lpwstr>
  </property>
  <property fmtid="{D5CDD505-2E9C-101B-9397-08002B2CF9AE}" pid="10" name="CASESLISTTMP2">
    <vt:lpwstr>18119170;6249109;27530850;17015235;5591978;6246087</vt:lpwstr>
  </property>
  <property fmtid="{D5CDD505-2E9C-101B-9397-08002B2CF9AE}" pid="11" name="CITY">
    <vt:lpwstr/>
  </property>
  <property fmtid="{D5CDD505-2E9C-101B-9397-08002B2CF9AE}" pid="12" name="DATE">
    <vt:lpwstr>20220302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ג' קרא;ד' מינץ;נ' הנדל</vt:lpwstr>
  </property>
  <property fmtid="{D5CDD505-2E9C-101B-9397-08002B2CF9AE}" pid="16" name="LAWLISTTMP1">
    <vt:lpwstr>70301/300.a:10;301a:8;fCa1S:2;311a:4;301b:2;301c;304;301a.a;301a.b:3;035:2;041:3;300a:3;040a;040b:2;040c:4;040d;040g:2;040e;040f;040i.a;40ja;355;301a.a.1:2;301a.a.7:2;040i.a.10;300;382.b;192;301a.a.6;040i;40ja.1</vt:lpwstr>
  </property>
  <property fmtid="{D5CDD505-2E9C-101B-9397-08002B2CF9AE}" pid="17" name="LAWLISTTMP2">
    <vt:lpwstr>75025</vt:lpwstr>
  </property>
  <property fmtid="{D5CDD505-2E9C-101B-9397-08002B2CF9AE}" pid="18" name="LAWLISTTMP3">
    <vt:lpwstr>141771</vt:lpwstr>
  </property>
  <property fmtid="{D5CDD505-2E9C-101B-9397-08002B2CF9AE}" pid="19" name="LAWLISTTMP4">
    <vt:lpwstr>70348/025.b</vt:lpwstr>
  </property>
  <property fmtid="{D5CDD505-2E9C-101B-9397-08002B2CF9AE}" pid="20" name="LAWYER">
    <vt:lpwstr>גיל גבאי;קרן אבלין הרץ;רחל מטר;רחלי זוארץ לוי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פאני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>עונשין</vt:lpwstr>
  </property>
  <property fmtid="{D5CDD505-2E9C-101B-9397-08002B2CF9AE}" pid="35" name="NOSE14">
    <vt:lpwstr>עונשין</vt:lpwstr>
  </property>
  <property fmtid="{D5CDD505-2E9C-101B-9397-08002B2CF9AE}" pid="36" name="NOSE15">
    <vt:lpwstr>עונשין</vt:lpwstr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77;77;77;77;77</vt:lpwstr>
  </property>
  <property fmtid="{D5CDD505-2E9C-101B-9397-08002B2CF9AE}" pid="42" name="NOSE21">
    <vt:lpwstr>עבירת הרצח</vt:lpwstr>
  </property>
  <property fmtid="{D5CDD505-2E9C-101B-9397-08002B2CF9AE}" pid="43" name="NOSE210">
    <vt:lpwstr/>
  </property>
  <property fmtid="{D5CDD505-2E9C-101B-9397-08002B2CF9AE}" pid="44" name="NOSE22">
    <vt:lpwstr>ענישה</vt:lpwstr>
  </property>
  <property fmtid="{D5CDD505-2E9C-101B-9397-08002B2CF9AE}" pid="45" name="NOSE23">
    <vt:lpwstr>ענישה</vt:lpwstr>
  </property>
  <property fmtid="{D5CDD505-2E9C-101B-9397-08002B2CF9AE}" pid="46" name="NOSE24">
    <vt:lpwstr>ענישה</vt:lpwstr>
  </property>
  <property fmtid="{D5CDD505-2E9C-101B-9397-08002B2CF9AE}" pid="47" name="NOSE25">
    <vt:lpwstr>ענישה</vt:lpwstr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12455;1446;1446;1446;1446</vt:lpwstr>
  </property>
  <property fmtid="{D5CDD505-2E9C-101B-9397-08002B2CF9AE}" pid="53" name="NOSE31">
    <vt:lpwstr>תיקון 137</vt:lpwstr>
  </property>
  <property fmtid="{D5CDD505-2E9C-101B-9397-08002B2CF9AE}" pid="54" name="NOSE310">
    <vt:lpwstr/>
  </property>
  <property fmtid="{D5CDD505-2E9C-101B-9397-08002B2CF9AE}" pid="55" name="NOSE32">
    <vt:lpwstr>תיקון 113</vt:lpwstr>
  </property>
  <property fmtid="{D5CDD505-2E9C-101B-9397-08002B2CF9AE}" pid="56" name="NOSE33">
    <vt:lpwstr>מדיניות ענישה: עבירת רצח</vt:lpwstr>
  </property>
  <property fmtid="{D5CDD505-2E9C-101B-9397-08002B2CF9AE}" pid="57" name="NOSE34">
    <vt:lpwstr>מאסר עולם</vt:lpwstr>
  </property>
  <property fmtid="{D5CDD505-2E9C-101B-9397-08002B2CF9AE}" pid="58" name="NOSE35">
    <vt:lpwstr>מדיניות ענישה: שיקולים לקולה</vt:lpwstr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18905;15240;14615;15651;8996</vt:lpwstr>
  </property>
  <property fmtid="{D5CDD505-2E9C-101B-9397-08002B2CF9AE}" pid="64" name="PADIDATE">
    <vt:lpwstr>20220303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עפ;עפ</vt:lpwstr>
  </property>
  <property fmtid="{D5CDD505-2E9C-101B-9397-08002B2CF9AE}" pid="69" name="PROCNUM">
    <vt:lpwstr>3223;3734</vt:lpwstr>
  </property>
  <property fmtid="{D5CDD505-2E9C-101B-9397-08002B2CF9AE}" pid="70" name="PROCYEAR">
    <vt:lpwstr>21;21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410120220302</vt:lpwstr>
  </property>
  <property fmtid="{D5CDD505-2E9C-101B-9397-08002B2CF9AE}" pid="74" name="TYPE_N_DATE">
    <vt:lpwstr>41020220302</vt:lpwstr>
  </property>
  <property fmtid="{D5CDD505-2E9C-101B-9397-08002B2CF9AE}" pid="75" name="VOLUME">
    <vt:lpwstr/>
  </property>
  <property fmtid="{D5CDD505-2E9C-101B-9397-08002B2CF9AE}" pid="76" name="WORDNUMPAGES">
    <vt:lpwstr>39</vt:lpwstr>
  </property>
</Properties>
</file>