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3235/22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3379/22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3235/22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3379/22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אללו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3235/22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3379/22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04.04.2022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56670-11-20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30.10.2022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3235/22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3379/22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3235/22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3379/22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קנפו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דחה את ערעורי הצדדים על עונש המאסר בפועל בן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שהושת על המערער בגין הרשעתו בביצוע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במרחב הווירטואלי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כוונו לסוכנת משטרתית שהציגה עצמה כילדה בת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עבירות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יש להשית עונש מאסר לריצוי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נפסק כי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אלמלא המלצת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תסקיר הערכת המסוכנות המינית ומצבו הבריאותי הירוד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היה מקום </w:t>
      </w:r>
      <w:r>
        <w:rPr>
          <w:rFonts w:ascii="Times New Roman" w:hAnsi="Times New Roman" w:cs="Times New Roman"/>
          <w:spacing w:val="0"/>
          <w:szCs w:val="26"/>
          <w:rtl w:val="true"/>
        </w:rPr>
        <w:t>להחמיר במידה 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באמצעות האינטרנט‏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עקרון ההלימה‏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3235/22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והמשיב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3379/22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בביצוע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במרחב הווירטואלי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 כוונו לסוכנת משטרתית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הציגה עצמה כילדה בת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העמיד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מתחם העונש ההולם על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נסבים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גזר הדין בגדרו נגזרו על המערער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ושני מאסרים מותנים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כבוב ובהסכמת השופטים אלרון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הערעור נסב אודות ה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 הגלומה בביצוע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הפגם החברתי והמוסרי שבהן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הנזקים שהן גורמות והצורך לבטא את הוקעתן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עבירות מין הן מהעבירות החמורות </w:t>
      </w:r>
      <w:r>
        <w:rPr>
          <w:rFonts w:ascii="Times New Roman" w:hAnsi="Times New Roman" w:cs="Times New Roman"/>
          <w:spacing w:val="0"/>
          <w:szCs w:val="26"/>
          <w:rtl w:val="true"/>
        </w:rPr>
        <w:t>שבחוק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משום שיש בעבירות מין משום חילול הגוף וכבוד האדם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הפשטת אדם מאנושיותו וחֵרוּב האוטונומיה 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עבריין מין משתמש בזולתו ככלי לסיפוק צרכיו ויצריו המיניים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הופך אותו מסובייקט לאובייקט שתכלית קיומו מתמצית בריצוי צרכיו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במקרים בהם מעורבים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הפגיעות המיניות מובילות לצלקות עמוקות בנפש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שמוצאות ביטוי בפגיעה בתפקוד השוטף במסגרות החיים השונות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ברי כי על העונש שנגזר בעבירות מין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מין אינטרנטיות ואונס מרחוק בפרט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או ביתר דיוק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גרם אונס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לשקף את הסלידה ממעשים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ואת הוקעתם של המעשים והעושים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שליחת מסר מרתיע ליחיד ולרבים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העיקרון המנחה בקביעת מתחם העונש הוא עיקרון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שמשמעותו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בעת קביעת המתחם על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להתחשב בערך החברתי שנפגע מביצוע העבירה ובמידת הפגיעה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במדיניות הענישה הנהוגה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ובנסיבות הקשורות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 האיזון שנערך בין מכלול השיקולים הנדרשים נערך כדבעי והתוצאה איננה חריגה באופן קיצוני המצדיק 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ערכאת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בצד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רעורים עמדה מסכת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אנושיים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עונשיים וטכנולוגיים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לכאן ולכאן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שכל 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כשהוא עומד לבדו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כבד ונכבד הוא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מצד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לקחת בחשבון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מכלול השיקולים לקולא בפרט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מצבו הבריאותי של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המצטרף לחוות הדעת שניתנו בעניינו והמלצות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אלו היוו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הטעמים המיוחדים לקביעת רף תחתון נמוך מהעונש המזערי שנקבע לעבירת האינוס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שחל גם ביחס לניסיון לאינוס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בפרשה שנפרסה על פני כעשרה 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במהלכה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קיים שיחות חוזרות ונשנות תחת זהויות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עם סוכנת שהציגה עצמה כקטינה בת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למימוש מאווייו המיניים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מפעם לפעם מעשיו הסלימו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עבירות כ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יש להשית עונש מאסר לריצוי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לתת את הדעת לעובדה שאמנם מדובר בעבירות ניסיון כלפי סוכנת משטרתית ואין נפגעת עבירה ב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אך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כבר נפסק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העיקר הוא שהנאשם קיים במעשיו את כל יסודות נסיון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ראוי להכיר בחשיבות פעילויות משטרתיות מעין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 לא בוצעו מעשים מיניים בנפגעת עבירה ולא נגרם נזק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המטרה המרכזית היא למנוע מראש ביצוע עבירות מעין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ובמיוחד נכונים הדברים ביחס לעבירות שקשה לגלותן בעת 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אלמלא המלצת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תסקיר הערכת המסוכנות המינית והתיעוד על אודות מצבו הבריאותי הירוד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היה מקום </w:t>
      </w:r>
      <w:r>
        <w:rPr>
          <w:rFonts w:ascii="Times New Roman" w:hAnsi="Times New Roman" w:cs="Times New Roman"/>
          <w:spacing w:val="0"/>
          <w:szCs w:val="26"/>
          <w:rtl w:val="true"/>
        </w:rPr>
        <w:t>להחמיר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במידה 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ותחת המגבלות שלוקחת על עצמה ערכאת הערעור 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לא אלה פני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3"/>
        <w:numPr>
          <w:ilvl w:val="0"/>
          <w:numId w:val="3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>והשופטים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קובו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04</w:t>
      </w:r>
      <w:r>
        <w:rPr/>
        <w:t>.</w:t>
      </w:r>
      <w:r>
        <w:rPr/>
        <w:t>04</w:t>
      </w:r>
      <w:r>
        <w:rPr/>
        <w:t>.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56670-11-20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בגדרו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נגזרו על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ב</w:t>
      </w:r>
      <w:r>
        <w:rPr>
          <w:rFonts w:ascii="Century" w:hAnsi="Century" w:cs="Century"/>
          <w:sz w:val="22"/>
          <w:sz w:val="22"/>
          <w:rtl w:val="true"/>
        </w:rPr>
        <w:t>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3235/22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והמשיב</w:t>
      </w:r>
      <w:r>
        <w:rPr>
          <w:rFonts w:ascii="Century" w:hAnsi="Century" w:cs="Century"/>
          <w:sz w:val="22"/>
          <w:sz w:val="22"/>
          <w:rtl w:val="true"/>
        </w:rPr>
        <w:t xml:space="preserve"> ב</w:t>
      </w:r>
      <w:hyperlink r:id="rId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3379/22</w:t>
        </w:r>
      </w:hyperlink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אללו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בניכוי ימי מעצרו מיום </w:t>
      </w:r>
      <w:r>
        <w:rPr>
          <w:rFonts w:cs="Century" w:ascii="Century" w:hAnsi="Century"/>
          <w:sz w:val="22"/>
        </w:rPr>
        <w:t>09.11.2020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ועד ליום </w:t>
      </w:r>
      <w:r>
        <w:rPr>
          <w:rFonts w:cs="Century" w:ascii="Century" w:hAnsi="Century"/>
          <w:sz w:val="22"/>
        </w:rPr>
        <w:t>16.02.2021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על תנאי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לבל יעבור </w:t>
      </w:r>
      <w:r>
        <w:rPr>
          <w:rFonts w:ascii="Century" w:hAnsi="Century" w:cs="Century"/>
          <w:sz w:val="22"/>
          <w:sz w:val="22"/>
          <w:rtl w:val="true"/>
        </w:rPr>
        <w:t xml:space="preserve">במשך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שנים מיום שחרורו </w:t>
      </w:r>
      <w:r>
        <w:rPr>
          <w:rFonts w:ascii="Century" w:hAnsi="Century" w:cs="Century"/>
          <w:sz w:val="22"/>
          <w:sz w:val="22"/>
          <w:rtl w:val="true"/>
        </w:rPr>
        <w:t>מ</w:t>
      </w:r>
      <w:r>
        <w:rPr>
          <w:rFonts w:ascii="Century" w:hAnsi="Century" w:cs="Century"/>
          <w:sz w:val="22"/>
          <w:sz w:val="22"/>
          <w:rtl w:val="true"/>
        </w:rPr>
        <w:t>המאסר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עבירת מין מסוג פשע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על תנאי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לבל יעבור במשך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מיום שחרורו מהמאסר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עבירת מין מסוג עוון או עבירה לפי ה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למניעת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הטרדה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מינית</w:t>
        </w:r>
      </w:hyperlink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עניינו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במרחב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הווירטואלי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בפלטפורמת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וואלה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ביישומון</w:t>
      </w:r>
      <w:r>
        <w:rPr>
          <w:rFonts w:eastAsia="Garamond" w:cs="Garamond"/>
          <w:rtl w:val="true"/>
        </w:rPr>
        <w:t xml:space="preserve"> </w:t>
      </w:r>
      <w:r>
        <w:rPr/>
        <w:t>What'sapp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וואטסאפ</w:t>
      </w:r>
      <w:r>
        <w:rPr>
          <w:rtl w:val="true"/>
        </w:rPr>
        <w:t xml:space="preserve">)). </w:t>
      </w:r>
      <w:r>
        <w:rPr>
          <w:rtl w:val="true"/>
        </w:rPr>
        <w:t>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סוכנת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ילדה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והזדהתה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בכינוי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שיר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יזומה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מִרְשֶׁתֶת</w:t>
      </w:r>
      <w:r>
        <w:rPr>
          <w:rtl w:val="true"/>
        </w:rPr>
        <w:t xml:space="preserve">, </w:t>
      </w:r>
      <w:r>
        <w:rPr>
          <w:rtl w:val="true"/>
        </w:rPr>
        <w:t>ומחוצה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ותוארו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השמטת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שאיננו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eastAsia="Garamond" w:cs="Garamond"/>
          <w:rtl w:val="true"/>
        </w:rPr>
        <w:t xml:space="preserve"> </w:t>
      </w:r>
      <w:r>
        <w:rPr/>
        <w:t>20.</w:t>
      </w:r>
      <w:r>
        <w:rPr/>
        <w:t>08</w:t>
      </w:r>
      <w:r>
        <w:rPr/>
        <w:t>.</w:t>
      </w:r>
      <w:r>
        <w:rPr/>
        <w:t>2020</w:t>
      </w:r>
      <w:r>
        <w:rPr>
          <w:rtl w:val="true"/>
        </w:rPr>
        <w:t xml:space="preserve">, </w:t>
      </w:r>
      <w:r>
        <w:rPr/>
        <w:t>23.</w:t>
      </w:r>
      <w:r>
        <w:rPr/>
        <w:t>08</w:t>
      </w:r>
      <w:r>
        <w:rPr/>
        <w:t>.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27.</w:t>
      </w:r>
      <w:r>
        <w:rPr/>
        <w:t>08</w:t>
      </w:r>
      <w:r>
        <w:rPr/>
        <w:t>.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הכינוי</w:t>
      </w:r>
      <w:r>
        <w:rPr>
          <w:rtl w:val="true"/>
        </w:rPr>
        <w:t>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זקן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ילדדד</w:t>
      </w:r>
      <w:r>
        <w:rPr>
          <w:rtl w:val="true"/>
        </w:rPr>
        <w:t>"</w:t>
      </w:r>
      <w:r>
        <w:rPr>
          <w:rtl w:val="true"/>
        </w:rPr>
        <w:t>,</w:t>
      </w:r>
      <w:r>
        <w:rPr>
          <w:rtl w:val="true"/>
        </w:rPr>
        <w:t xml:space="preserve"> "</w:t>
      </w:r>
      <w:r>
        <w:rPr>
          <w:rtl w:val="true"/>
        </w:rPr>
        <w:t>ראובןןן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המנענע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מוטי</w:t>
      </w:r>
      <w:r>
        <w:rPr>
          <w:rtl w:val="true"/>
        </w:rPr>
        <w:t xml:space="preserve">". </w:t>
      </w:r>
      <w:r>
        <w:rPr>
          <w:rtl w:val="true"/>
        </w:rPr>
        <w:t>בשיחות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לגילה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יחסיה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מתנות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פיתח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</w:t>
      </w:r>
      <w:r>
        <w:rPr>
          <w:rtl w:val="true"/>
        </w:rPr>
        <w:t>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בוטים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. </w:t>
      </w:r>
      <w:r>
        <w:rPr>
          <w:rtl w:val="true"/>
        </w:rPr>
        <w:t>בשיחות</w:t>
      </w:r>
      <w:r>
        <w:rPr>
          <w:rtl w:val="true"/>
        </w:rPr>
        <w:t xml:space="preserve">,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מגיבה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מחמאה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לפנטזיות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גברים</w:t>
      </w:r>
      <w:r>
        <w:rPr>
          <w:rtl w:val="true"/>
        </w:rPr>
        <w:t xml:space="preserve">;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ו</w:t>
      </w:r>
      <w:r>
        <w:rPr>
          <w:rtl w:val="true"/>
        </w:rPr>
        <w:t>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התחתונים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בפרט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חדירת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זכרי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בזקפה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לעזרתה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שהכווין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ווידא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תכתוב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גסות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ומיניות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השיחות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Garamond" w:cs="Garamond"/>
          <w:rtl w:val="true"/>
        </w:rPr>
        <w:t xml:space="preserve"> </w:t>
      </w:r>
      <w:r>
        <w:rPr/>
        <w:t>IPhone</w:t>
      </w:r>
      <w:r>
        <w:rPr>
          <w:rtl w:val="true"/>
        </w:rPr>
        <w:t xml:space="preserve"> </w:t>
      </w:r>
      <w:r>
        <w:rPr>
          <w:rtl w:val="true"/>
        </w:rPr>
        <w:t>הסיט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תכנים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בוטים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תייחסות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מגעים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IPhone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סייע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Garamond" w:cs="Garamond"/>
          <w:rtl w:val="true"/>
        </w:rPr>
        <w:t xml:space="preserve"> </w:t>
      </w:r>
      <w:r>
        <w:rPr/>
        <w:t>IPhone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יאוננו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25.</w:t>
      </w:r>
      <w:r>
        <w:rPr/>
        <w:t>08.2020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אט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הכינוי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מוטייי</w:t>
      </w:r>
      <w:r>
        <w:rPr>
          <w:rtl w:val="true"/>
        </w:rPr>
        <w:t>"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פתוח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החמיא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בוטה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בתחתוניו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להפשיל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מוודא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מבצעת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הוראותיו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הדריך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כמצוותו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ובוטה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הערותיה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מכאיב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משאמרה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ניתוקים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אט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ישוחחו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וו</w:t>
      </w:r>
      <w:r>
        <w:rPr>
          <w:rtl w:val="true"/>
        </w:rPr>
        <w:t>א</w:t>
      </w:r>
      <w:r>
        <w:rPr>
          <w:rtl w:val="true"/>
        </w:rPr>
        <w:t>טסאפ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התכתבות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בוואטסאפ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וידיאו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בציינה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מתביישת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קטנה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כואב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סליחתה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שתעזור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01.09.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פנה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אט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הכינוי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לבת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25.08.2020</w:t>
      </w:r>
      <w:r>
        <w:rPr>
          <w:rtl w:val="true"/>
        </w:rPr>
        <w:t xml:space="preserve">, </w:t>
      </w:r>
      <w:r>
        <w:rPr>
          <w:rtl w:val="true"/>
        </w:rPr>
        <w:t>ההתכתבות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התדרדרה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תכנים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ובוטים</w:t>
      </w:r>
      <w:r>
        <w:rPr>
          <w:rtl w:val="true"/>
        </w:rPr>
        <w:t xml:space="preserve">; </w:t>
      </w:r>
      <w:r>
        <w:rPr>
          <w:rtl w:val="true"/>
        </w:rPr>
        <w:t>ולכך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והדריך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מבהירה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כמצוותו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תרצה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תרצה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ו</w:t>
      </w:r>
      <w:r>
        <w:rPr>
          <w:rtl w:val="true"/>
        </w:rPr>
        <w:t>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משעברו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בוו</w:t>
      </w:r>
      <w:r>
        <w:rPr>
          <w:rtl w:val="true"/>
        </w:rPr>
        <w:t>א</w:t>
      </w:r>
      <w:r>
        <w:rPr>
          <w:rtl w:val="true"/>
        </w:rPr>
        <w:t>טסאפ</w:t>
      </w:r>
      <w:r>
        <w:rPr>
          <w:rtl w:val="true"/>
        </w:rPr>
        <w:t xml:space="preserve">,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וידיאו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תצפה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לפורקן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לאונן</w:t>
      </w:r>
      <w:r>
        <w:rPr>
          <w:rtl w:val="true"/>
        </w:rPr>
        <w:t xml:space="preserve">. </w:t>
      </w:r>
      <w:r>
        <w:rPr>
          <w:rtl w:val="true"/>
        </w:rPr>
        <w:t>מש</w:t>
      </w:r>
      <w:r>
        <w:rPr>
          <w:rtl w:val="true"/>
        </w:rPr>
        <w:t>ציינה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זכרי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תראה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נועזת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.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נואש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וידיאו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סירובה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קטנה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הפציר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מצלמה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וידיאו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בתוכנת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הוואטסאפ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ווידא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צופה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סיפוקו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להטרדה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לאינוס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04</w:t>
      </w:r>
      <w:r>
        <w:rPr/>
        <w:t>.</w:t>
      </w:r>
      <w:r>
        <w:rPr/>
        <w:t>04</w:t>
      </w:r>
      <w:r>
        <w:rPr/>
        <w:t>.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יָרוּד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כולן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מדובר בעבירות שנעשו כלפי סוכנת אחת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ברצף של זמן וכחלק מתכנית עבריינית אחת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גם הצדדים התייחסו בטיעוניהם למתחם אחד</w:t>
      </w:r>
      <w:r>
        <w:rPr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בטרם ניגש למלאכת קביעת המתחם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סקר בית המשפט את הערכת המסוכנות המינית שניתנה בעניינו של אללו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שהצביעה על מסוכנות נמוכה להישנות ביצוע עבירות 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משכך אף לא הומלץ על טיפול ייעודי לעברייני מין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הביא בית משפט קמא את תסקירי שירות המבחן שניתנו בעניינו של אללו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מהם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אללו נטל אחריות והביע צער ובושה על מעשיו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וכי שיתף פעולה בקבוצה טיפולית של נאשמים בעבירות מין בתנאים מגבילים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אך בצד האמור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קיימת נזקקות להמשך התערבות טיפולית לשיפור דימויו העצמי והגברי הנמוכים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בסופו של דבר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בא שירות המבחן בהמלצה על </w:t>
      </w:r>
      <w:r>
        <w:rPr>
          <w:rFonts w:ascii="Century" w:hAnsi="Century" w:cs="Century"/>
          <w:sz w:val="22"/>
          <w:sz w:val="22"/>
          <w:rtl w:val="true"/>
        </w:rPr>
        <w:t>הֲשָׁתַת</w:t>
      </w:r>
      <w:r>
        <w:rPr>
          <w:rFonts w:ascii="Century" w:hAnsi="Century" w:cs="Century"/>
          <w:sz w:val="22"/>
          <w:sz w:val="22"/>
          <w:rtl w:val="true"/>
        </w:rPr>
        <w:t xml:space="preserve"> מאסר בפועל למשך תקופה שתאפשר את ריצויו בדרך של עבודות שירות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לצד צו מבחן למשך 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במהלך תקופה זו ישתלב אללו בהליך טיפולי התואם את צרכיו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תחת פיקוחו של שירות המבחן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יוער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הן בפני מעריכי המסוכנות המינית והן בפני שירות המבחן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טען אללו כי לא באמת סבר כי הוא אכן משוחח עם בת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אחר דברים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סקר 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בצורה מעמיקה ומפורטת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מדיניות הענישה הנוהגת בעבירות מין במרחב האינטרנטי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והנפש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ובזכויות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לכבוד</w:t>
      </w:r>
      <w:r>
        <w:rPr>
          <w:rtl w:val="true"/>
        </w:rPr>
        <w:t xml:space="preserve">, </w:t>
      </w:r>
      <w:r>
        <w:rPr>
          <w:rtl w:val="true"/>
        </w:rPr>
        <w:t>פרטיות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ולאוטונומיה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פגיעה משמעותית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לכך ש</w:t>
      </w:r>
      <w:r>
        <w:rPr>
          <w:rFonts w:ascii="Century" w:hAnsi="Century" w:cs="Century"/>
          <w:sz w:val="22"/>
          <w:sz w:val="22"/>
          <w:rtl w:val="true"/>
        </w:rPr>
        <w:t>הפסיקה מ</w:t>
      </w:r>
      <w:r>
        <w:rPr>
          <w:rFonts w:ascii="Century" w:hAnsi="Century" w:cs="Century"/>
          <w:sz w:val="22"/>
          <w:sz w:val="22"/>
          <w:rtl w:val="true"/>
        </w:rPr>
        <w:t xml:space="preserve">דגישה </w:t>
      </w:r>
      <w:r>
        <w:rPr>
          <w:rFonts w:ascii="Century" w:hAnsi="Century" w:cs="Century"/>
          <w:sz w:val="22"/>
          <w:sz w:val="22"/>
          <w:rtl w:val="true"/>
        </w:rPr>
        <w:t>את החומרה של עבירות המין בכלל וחומרתן היתרה נגד קטינים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בעיניי בית המשפט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בנוסף הוטעם כי גם המחוקק נתן לכך דעתו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קבע עונש מזערי בעבירת אונס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זו אף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אין בעובדה שהעבירות בוצעו במרחב הווירטואלי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להפחית מחומרתן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אשר לנסיבות ביצוע העבירה הוער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אללו סבר שמדובר בקטינה בת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בלבד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כן הוזכר הקושי בגילוי עבירות אשר מבוצעות במרחב הווירטואלי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בנוסף הובהר כי אין מדובר באירוע ספונטני אליו נקלע אללו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מפעם לפעם אללו הסלים במעשיו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כמפורט לעיל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משנקבע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66</w:t>
      </w:r>
      <w:r>
        <w:rPr>
          <w:rtl w:val="true"/>
        </w:rPr>
        <w:t xml:space="preserve">), </w:t>
      </w:r>
      <w:r>
        <w:rPr>
          <w:rtl w:val="true"/>
        </w:rPr>
        <w:t>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המשופרים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מוחי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eastAsia="Garamond" w:cs="Garamond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; </w:t>
      </w:r>
      <w:r>
        <w:rPr>
          <w:rtl w:val="true"/>
        </w:rPr>
        <w:t>להיעדר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שקלו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הנמוכה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הנכונות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שיידרש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כשלושה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ושהותו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שייתרה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ושמיעת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נזקפה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נעלמו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tl w:val="true"/>
        </w:rPr>
        <w:t xml:space="preserve">, </w:t>
      </w:r>
      <w:r>
        <w:rPr>
          <w:rtl w:val="true"/>
        </w:rPr>
        <w:t>המעיבות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משוחח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חריגה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בריאותיים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בתוחלת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tl w:val="true"/>
        </w:rPr>
        <w:t xml:space="preserve">, </w:t>
      </w:r>
      <w:r>
        <w:rPr>
          <w:rtl w:val="true"/>
        </w:rPr>
        <w:t>כמצוות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Fonts w:ascii="Century" w:hAnsi="Century" w:cs="Century"/>
          <w:sz w:val="22"/>
          <w:sz w:val="22"/>
          <w:rtl w:val="true"/>
        </w:rPr>
        <w:t xml:space="preserve">בצד </w:t>
      </w:r>
      <w:r>
        <w:rPr>
          <w:rtl w:val="true"/>
        </w:rPr>
        <w:t>האמור</w:t>
      </w:r>
      <w:r>
        <w:rPr>
          <w:rFonts w:ascii="Century" w:hAnsi="Century" w:cs="Century"/>
          <w:sz w:val="22"/>
          <w:sz w:val="22"/>
          <w:rtl w:val="true"/>
        </w:rPr>
        <w:t xml:space="preserve"> מצא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לאור </w:t>
      </w:r>
      <w:r>
        <w:rPr>
          <w:rFonts w:ascii="Century" w:hAnsi="Century" w:cs="Century"/>
          <w:sz w:val="22"/>
          <w:sz w:val="22"/>
          <w:rtl w:val="true"/>
        </w:rPr>
        <w:t>מכלול השיקולים</w:t>
      </w:r>
      <w:r>
        <w:rPr>
          <w:rFonts w:ascii="Century" w:hAnsi="Century" w:cs="Century"/>
          <w:sz w:val="22"/>
          <w:sz w:val="22"/>
          <w:rtl w:val="true"/>
        </w:rPr>
        <w:t xml:space="preserve"> לקולא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Garamond" w:cs="Garamond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בצירוף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המאסרים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המותנים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שיוטלו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המזערי</w:t>
      </w:r>
      <w:r>
        <w:rPr>
          <w:rFonts w:ascii="Century" w:hAnsi="Century" w:cs="Century"/>
          <w:sz w:val="22"/>
          <w:sz w:val="22"/>
          <w:rtl w:val="true"/>
        </w:rPr>
        <w:t xml:space="preserve"> הנקוב בצד עבירת האינוס 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הדגשה במקור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ח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כ</w:t>
      </w:r>
      <w:r>
        <w:rPr>
          <w:rFonts w:cs="Century" w:ascii="Century" w:hAnsi="Century"/>
          <w:sz w:val="22"/>
          <w:rtl w:val="true"/>
        </w:rPr>
        <w:t xml:space="preserve">'). </w:t>
      </w:r>
      <w:r>
        <w:rPr>
          <w:rFonts w:ascii="Century" w:hAnsi="Century" w:cs="Century"/>
          <w:sz w:val="22"/>
          <w:sz w:val="22"/>
          <w:rtl w:val="true"/>
        </w:rPr>
        <w:t>לא זו אף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המחוזי לא שוכנע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ascii="Century" w:hAnsi="Century" w:cs="Century"/>
          <w:sz w:val="22"/>
          <w:sz w:val="22"/>
          <w:rtl w:val="true"/>
        </w:rPr>
        <w:t xml:space="preserve">קיימת הצדקה להטיל על </w:t>
      </w:r>
      <w:r>
        <w:rPr>
          <w:rFonts w:ascii="Century" w:hAnsi="Century" w:cs="Century"/>
          <w:sz w:val="22"/>
          <w:sz w:val="22"/>
          <w:rtl w:val="true"/>
        </w:rPr>
        <w:t>אללו</w:t>
      </w:r>
      <w:r>
        <w:rPr>
          <w:rFonts w:ascii="Century" w:hAnsi="Century" w:cs="Century"/>
          <w:sz w:val="22"/>
          <w:sz w:val="22"/>
          <w:rtl w:val="true"/>
        </w:rPr>
        <w:t xml:space="preserve"> קנס כספי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חרף בקשת המדינה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בניכוי ימי מעצרו מיום </w:t>
      </w:r>
      <w:r>
        <w:rPr>
          <w:rFonts w:cs="Century" w:ascii="Century" w:hAnsi="Century"/>
          <w:sz w:val="22"/>
        </w:rPr>
        <w:t>09.11.2020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ועד ליום </w:t>
      </w:r>
      <w:r>
        <w:rPr>
          <w:rFonts w:cs="Century" w:ascii="Century" w:hAnsi="Century"/>
          <w:sz w:val="22"/>
        </w:rPr>
        <w:t>16.02.2021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חתימה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נעל</w:t>
      </w:r>
      <w:r>
        <w:rPr>
          <w:rtl w:val="true"/>
        </w:rPr>
        <w:t>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מעינ</w:t>
      </w:r>
      <w:r>
        <w:rPr>
          <w:rtl w:val="true"/>
        </w:rPr>
        <w:t>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מאפשרת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ריצויה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המותב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Garamond" w:cs="Garamond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Garamond" w:cs="Garamond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שהומלץ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בקבעו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מטעמי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התכתבויותיו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התכתבויות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מעוררות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וסלידה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בבגירה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שמתחזה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לבגירים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בסוכנת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שהתחזתה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לקטינה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ליזום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והרפואי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והערכת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מנגד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בִּקְצִירַת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הָאֹמֶר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, </w:t>
      </w:r>
      <w:r>
        <w:rPr>
          <w:rtl w:val="true"/>
        </w:rPr>
        <w:t>שנקבע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עברייני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במרחב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הדיגיטלי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שבחסות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האנונימיות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ומאחורי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המסך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בנוחות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נותנים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לסטיותיהם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ודפוסיהם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העברייניים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בנוסף </w:t>
      </w:r>
      <w:r>
        <w:rPr>
          <w:rFonts w:ascii="Century" w:hAnsi="Century" w:cs="Century"/>
          <w:sz w:val="22"/>
          <w:sz w:val="22"/>
          <w:rtl w:val="true"/>
        </w:rPr>
        <w:t>טענה</w:t>
      </w:r>
      <w:r>
        <w:rPr>
          <w:rFonts w:ascii="Century" w:hAnsi="Century" w:cs="Century"/>
          <w:sz w:val="22"/>
          <w:sz w:val="22"/>
          <w:rtl w:val="true"/>
        </w:rPr>
        <w:t xml:space="preserve"> המדינה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ascii="Century" w:hAnsi="Century" w:cs="Century"/>
          <w:sz w:val="22"/>
          <w:sz w:val="22"/>
          <w:rtl w:val="true"/>
        </w:rPr>
        <w:t xml:space="preserve">מעשיו של אללו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שנחשפו כחלק מפעילות ייזומה של משטרת ישראל תוך הפעלת סוכנת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פעילות שהובילה להגשת </w:t>
      </w:r>
      <w:r>
        <w:rPr>
          <w:rFonts w:cs="Century" w:ascii="Century" w:hAnsi="Century"/>
          <w:sz w:val="22"/>
        </w:rPr>
        <w:t>27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כתבי אישום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מהם לבית המשפט המחוזי מרכז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לוד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לבית משפט השלום בראשון לציון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כאשר עניינו של אללו הוא הראשון שהגיע לכדי גזר דין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מתופעה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מדאיגים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תקיפות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במרחב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האינטרנטי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מרחב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לסיפוק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דחפים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ומאווים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". </w:t>
      </w:r>
      <w:r>
        <w:rPr>
          <w:rtl w:val="true"/>
        </w:rPr>
        <w:t>לעמדת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באיתור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ואכיפה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יצוין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הודענו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, </w:t>
      </w:r>
      <w:r>
        <w:rPr>
          <w:rtl w:val="true"/>
        </w:rPr>
        <w:t>ולמשוך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הודיע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שנועץ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בממונים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ערעורה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למלאכת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ההכרעה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שוב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הפגם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והמוסרי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, </w:t>
      </w:r>
      <w:r>
        <w:rPr>
          <w:rtl w:val="true"/>
        </w:rPr>
        <w:t>הנזקים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גורמות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הוקעתן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עבירות מין הן מהעבירות החמורות שב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בכדי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בכלל ועבירת האונס בפרט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שיש בעבירות מין משום חילול הגוף וכבוד האדם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הפשטת אדם מאנושיותו ו</w:t>
      </w:r>
      <w:r>
        <w:rPr>
          <w:rFonts w:ascii="Century" w:hAnsi="Century" w:cs="Century"/>
          <w:sz w:val="22"/>
          <w:sz w:val="22"/>
          <w:rtl w:val="true"/>
        </w:rPr>
        <w:t>חֵרוּב</w:t>
      </w:r>
      <w:r>
        <w:rPr>
          <w:rFonts w:ascii="Century" w:hAnsi="Century" w:cs="Century"/>
          <w:rtl w:val="true"/>
        </w:rPr>
        <w:t xml:space="preserve"> האוטונומיה 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עבריין מין משתמש בזולתו ככלי לסיפוק צרכיו ויצריו המיניים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הוא הופך אותו מסובייקט לאובייקט שתכלית קיומו מתמצית בריצוי צרכיו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לעמדתי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בפרשות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6934/21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30.06.2022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7880/19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רפפורט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02.08.2022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11.08.2022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21.08.2022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6038/21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05.01.2023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הפגיעות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צלקות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עמוקות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מוצאות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השוטף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והאישית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המקצועיות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והזוגיות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6092/10</w:t>
        </w:r>
      </w:hyperlink>
      <w:r>
        <w:rPr>
          <w:rFonts w:cs="Century" w:ascii="Century" w:hAnsi="Century"/>
          <w:sz w:val="22"/>
          <w:rtl w:val="true"/>
        </w:rPr>
        <w:t xml:space="preserve"> ‏‏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18.07.2012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color w:val="000000"/>
          <w:rtl w:val="true"/>
        </w:rPr>
        <w:t>אשר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ברי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מין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בכלל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לרבות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מין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אינטרנטיות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אונס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מרחוק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בפרט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או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ביתר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דיוק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גרם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אונס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לשקף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הסלידה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ממעשים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ואת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הוקעתם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המעשים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והעושים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שליחת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מסר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מרתיע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ליחיד</w:t>
      </w:r>
      <w:r>
        <w:rPr>
          <w:rFonts w:eastAsia="Garamond" w:cs="Garamond"/>
          <w:color w:val="000000"/>
          <w:rtl w:val="true"/>
        </w:rPr>
        <w:t xml:space="preserve"> </w:t>
      </w:r>
      <w:r>
        <w:rPr>
          <w:color w:val="000000"/>
          <w:rtl w:val="true"/>
        </w:rPr>
        <w:t>ולרבים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4537/20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hyperlink r:id="rId3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6703/13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16.01.2014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השמיע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6391/20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בטיטו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01.08.2021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בטיטו</w:t>
      </w:r>
      <w:r>
        <w:rPr>
          <w:rtl w:val="true"/>
        </w:rPr>
        <w:t xml:space="preserve">), </w:t>
      </w:r>
      <w:r>
        <w:rPr>
          <w:rtl w:val="true"/>
        </w:rPr>
        <w:t>בנוגע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לעבריינות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באינטרנט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וצלול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עבריינות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האינטרנט</w:t>
      </w:r>
      <w:r>
        <w:rPr>
          <w:rtl w:val="true"/>
        </w:rPr>
        <w:t xml:space="preserve">.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נסבלת</w:t>
      </w:r>
      <w:r>
        <w:rPr>
          <w:rtl w:val="true"/>
        </w:rPr>
        <w:t xml:space="preserve">, </w:t>
      </w:r>
      <w:r>
        <w:rPr>
          <w:rtl w:val="true"/>
        </w:rPr>
        <w:t>בחסות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האנונימיות</w:t>
      </w:r>
      <w:r>
        <w:rPr>
          <w:rtl w:val="true"/>
        </w:rPr>
        <w:t xml:space="preserve">, </w:t>
      </w:r>
      <w:r>
        <w:rPr>
          <w:rtl w:val="true"/>
        </w:rPr>
        <w:t>ובזמינות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אט</w:t>
      </w:r>
      <w:r>
        <w:rPr>
          <w:rtl w:val="true"/>
        </w:rPr>
        <w:t xml:space="preserve">, </w:t>
      </w:r>
      <w:r>
        <w:rPr>
          <w:rtl w:val="true"/>
        </w:rPr>
        <w:t>יוצרים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אישיותם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מגובשת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. </w:t>
      </w:r>
      <w:r>
        <w:rPr>
          <w:rtl w:val="true"/>
        </w:rPr>
        <w:t>עברייני</w:t>
      </w:r>
      <w:r>
        <w:rPr>
          <w:rtl w:val="true"/>
        </w:rPr>
        <w:t>-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מוּנעים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מפעילים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וקטינות</w:t>
      </w:r>
      <w:r>
        <w:rPr>
          <w:rtl w:val="true"/>
        </w:rPr>
        <w:t xml:space="preserve">, </w:t>
      </w:r>
      <w:r>
        <w:rPr>
          <w:rtl w:val="true"/>
        </w:rPr>
        <w:t>משכנעים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, </w:t>
      </w:r>
      <w:r>
        <w:rPr>
          <w:rtl w:val="true"/>
        </w:rPr>
        <w:t>להפיץ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עירום</w:t>
      </w:r>
      <w:r>
        <w:rPr>
          <w:rtl w:val="true"/>
        </w:rPr>
        <w:t xml:space="preserve">, </w:t>
      </w:r>
      <w:r>
        <w:rPr>
          <w:rtl w:val="true"/>
        </w:rPr>
        <w:t>וכיוצא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בישין</w:t>
      </w:r>
      <w:r>
        <w:rPr>
          <w:rtl w:val="true"/>
        </w:rPr>
        <w:t xml:space="preserve">. [...]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להֵחלץ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'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וירטואליים</w:t>
      </w:r>
      <w:r>
        <w:rPr>
          <w:rtl w:val="true"/>
        </w:rPr>
        <w:t xml:space="preserve">;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וייראו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במעטפת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האינטרנט</w:t>
      </w:r>
      <w:r>
        <w:rPr>
          <w:rtl w:val="true"/>
        </w:rPr>
        <w:t>".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בענייננו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ושקילת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שקיימנו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היסוס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המושרשת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קיצונית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אלעוקבי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01.01.2014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מעורר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בקהלם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העיקרון המנחה בקביעת מתחם העונש הוא עיקרון ההלימה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שמשמעותו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3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</w:t>
      </w:r>
      <w:hyperlink r:id="rId3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וכי בעת </w:t>
      </w:r>
      <w:r>
        <w:rPr>
          <w:rtl w:val="true"/>
        </w:rPr>
        <w:t>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במדיניות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; </w:t>
      </w:r>
      <w:r>
        <w:rPr>
          <w:rtl w:val="true"/>
        </w:rPr>
        <w:t>ובנסיבות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3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ג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ascii="Century" w:hAnsi="Century" w:cs="Century"/>
          <w:sz w:val="22"/>
          <w:sz w:val="22"/>
          <w:rtl w:val="true"/>
        </w:rPr>
        <w:t>חוק העונשין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; </w:t>
      </w:r>
      <w:r>
        <w:rPr>
          <w:rtl w:val="true"/>
        </w:rPr>
        <w:t>והתוצאה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בטיטו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). </w:t>
      </w:r>
      <w:r>
        <w:rPr>
          <w:rtl w:val="true"/>
        </w:rPr>
        <w:t>בצד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אכחד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מסועפת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אנושיים</w:t>
      </w:r>
      <w:r>
        <w:rPr>
          <w:rtl w:val="true"/>
        </w:rPr>
        <w:t xml:space="preserve">, </w:t>
      </w:r>
      <w:r>
        <w:rPr>
          <w:rtl w:val="true"/>
        </w:rPr>
        <w:t>עונשיים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וטכנולוגיים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ולכאן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ואחד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כבד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ונכבד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מלאכת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השקלול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טרדה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מנוחת</w:t>
      </w:r>
      <w:r>
        <w:rPr>
          <w:rtl w:val="true"/>
        </w:rPr>
        <w:t>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ולמקרא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בבואם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793" w:leader="none"/>
        </w:tabs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עיננו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שפורטו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tl w:val="true"/>
        </w:rPr>
        <w:t xml:space="preserve">, </w:t>
      </w:r>
      <w:r>
        <w:rPr>
          <w:rtl w:val="true"/>
        </w:rPr>
        <w:t>המצטרף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והמלצות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תחתון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שחל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לאינוס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03.12.2015</w:t>
      </w:r>
      <w:r>
        <w:rPr>
          <w:rtl w:val="true"/>
        </w:rPr>
        <w:t xml:space="preserve">)).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סְפּוֹרָדִי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כעשרה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סוכנת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כקטינה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מימוש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מאווייו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הסלימו</w:t>
      </w:r>
      <w:r>
        <w:rPr>
          <w:rtl w:val="true"/>
        </w:rPr>
        <w:t xml:space="preserve">. </w:t>
      </w:r>
      <w:r>
        <w:rPr>
          <w:rtl w:val="true"/>
        </w:rPr>
        <w:t>במכלול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תמים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שאמנם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סוכנת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פועל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ראוי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משטרתיות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בנפגעת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לגלותן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>" 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4537/20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14.09.2021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793" w:leader="none"/>
        </w:tabs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והתיעוד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הירוד</w:t>
      </w:r>
      <w:r>
        <w:rPr>
          <w:rtl w:val="true"/>
        </w:rPr>
        <w:t xml:space="preserve">, </w:t>
      </w:r>
      <w:r>
        <w:rPr>
          <w:rtl w:val="true"/>
        </w:rPr>
        <w:t>ובכללו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המוחי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eastAsia="Garamond" w:cs="Garamond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להחמיר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המגבלות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שלוקחת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אללו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תשמע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Times New Roman"/>
          <w:rtl w:val="true"/>
        </w:rPr>
        <w:t xml:space="preserve">                                                                                                                                           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אלרון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ind w:end="0"/>
        <w:jc w:val="start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                                                                                                           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כשר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ind w:end="0"/>
        <w:jc w:val="start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                                                                                                           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כבוב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cs="Times New Roman"/>
          <w:szCs w:val="20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 xml:space="preserve">מר אללו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22.02.2023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/>
        <w:t>074-7831077</w:t>
      </w:r>
      <w:r>
        <w:rPr>
          <w:rtl w:val="true"/>
        </w:rPr>
        <w:t xml:space="preserve">, </w:t>
      </w:r>
      <w:r>
        <w:rPr/>
        <w:t>074-7831078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Century" w:hAnsi="Century" w:cs="Times New Roman"/>
          <w:spacing w:val="10"/>
          <w:sz w:val="22"/>
          <w:szCs w:val="24"/>
        </w:rPr>
      </w:pPr>
      <w:r>
        <w:rPr>
          <w:rFonts w:cs="Times New Roman" w:ascii="Century" w:hAnsi="Century"/>
          <w:spacing w:val="10"/>
          <w:sz w:val="22"/>
          <w:szCs w:val="24"/>
          <w:rtl w:val="true"/>
        </w:rPr>
      </w:r>
    </w:p>
    <w:p>
      <w:pPr>
        <w:pStyle w:val="Normal"/>
        <w:ind w:end="0"/>
        <w:jc w:val="start"/>
        <w:rPr>
          <w:rFonts w:cs="Times New Roman"/>
          <w:szCs w:val="24"/>
        </w:rPr>
      </w:pPr>
      <w:r>
        <w:rPr>
          <w:rFonts w:cs="Times New Roman"/>
          <w:szCs w:val="24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18" w:name="Nitan"/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(‏</w:t>
      </w:r>
      <w:r>
        <w:rPr/>
        <w:t>22.1.2023</w:t>
      </w:r>
      <w:r>
        <w:rPr>
          <w:rtl w:val="true"/>
        </w:rPr>
        <w:t xml:space="preserve">). </w:t>
      </w:r>
      <w:bookmarkEnd w:id="1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                                          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                                     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                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color w:val="FFFFFF"/>
          <w:spacing w:val="10"/>
          <w:sz w:val="2"/>
          <w:szCs w:val="2"/>
        </w:rPr>
      </w:pPr>
      <w:r>
        <w:rPr>
          <w:rFonts w:cs="FrankRuehl" w:ascii="Century" w:hAnsi="Century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Century" w:hAnsi="Century" w:cs="FrankRuehl"/>
          <w:color w:val="FFFFFF"/>
          <w:spacing w:val="10"/>
          <w:sz w:val="2"/>
          <w:szCs w:val="2"/>
        </w:rPr>
      </w:pPr>
      <w:r>
        <w:rPr>
          <w:rFonts w:cs="FrankRuehl" w:ascii="Century" w:hAnsi="Century"/>
          <w:color w:val="FFFFFF"/>
          <w:spacing w:val="10"/>
          <w:sz w:val="2"/>
          <w:szCs w:val="2"/>
        </w:rPr>
        <w:t>54678313</w:t>
      </w:r>
    </w:p>
    <w:p>
      <w:pPr>
        <w:pStyle w:val="Ruller42"/>
        <w:ind w:end="0"/>
        <w:jc w:val="both"/>
        <w:rPr>
          <w:rFonts w:ascii="Century" w:hAnsi="Century" w:cs="FrankRuehl"/>
          <w:color w:val="FFFFFF"/>
          <w:spacing w:val="10"/>
          <w:sz w:val="2"/>
          <w:szCs w:val="2"/>
        </w:rPr>
      </w:pPr>
      <w:r>
        <w:rPr>
          <w:rFonts w:cs="FrankRuehl" w:ascii="Century" w:hAnsi="Century"/>
          <w:color w:val="FFFFFF"/>
          <w:spacing w:val="10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22032350</w:t>
      </w:r>
      <w:r>
        <w:rPr>
          <w:sz w:val="16"/>
          <w:rtl w:val="true"/>
        </w:rPr>
        <w:t>_</w:t>
      </w:r>
      <w:r>
        <w:rPr>
          <w:sz w:val="16"/>
        </w:rPr>
        <w:t>C04.docx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54678313-3235/22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3235/22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מרדכי אללו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Normal"/>
    <w:next w:val="Normal"/>
    <w:qFormat/>
    <w:pPr>
      <w:numPr>
        <w:ilvl w:val="0"/>
        <w:numId w:val="1"/>
      </w:numPr>
      <w:spacing w:lineRule="auto" w:line="360"/>
      <w:jc w:val="both"/>
    </w:pPr>
    <w:rPr>
      <w:rFonts w:ascii="Garamond" w:hAnsi="Garamond" w:cs="FrankRuehl"/>
      <w:spacing w:val="10"/>
      <w:sz w:val="24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329968" TargetMode="External"/><Relationship Id="rId3" Type="http://schemas.openxmlformats.org/officeDocument/2006/relationships/hyperlink" Target="http://www.nevo.co.il/law/72507" TargetMode="External"/><Relationship Id="rId4" Type="http://schemas.openxmlformats.org/officeDocument/2006/relationships/hyperlink" Target="http://www.nevo.co.il/law/72507/3.a.3" TargetMode="External"/><Relationship Id="rId5" Type="http://schemas.openxmlformats.org/officeDocument/2006/relationships/hyperlink" Target="http://www.nevo.co.il/law/72507/5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40b" TargetMode="External"/><Relationship Id="rId9" Type="http://schemas.openxmlformats.org/officeDocument/2006/relationships/hyperlink" Target="http://www.nevo.co.il/law/70301/40c.a" TargetMode="External"/><Relationship Id="rId10" Type="http://schemas.openxmlformats.org/officeDocument/2006/relationships/hyperlink" Target="http://www.nevo.co.il/law/70301/345.a.3" TargetMode="External"/><Relationship Id="rId11" Type="http://schemas.openxmlformats.org/officeDocument/2006/relationships/hyperlink" Target="http://www.nevo.co.il/law/70301/348.a" TargetMode="External"/><Relationship Id="rId12" Type="http://schemas.openxmlformats.org/officeDocument/2006/relationships/hyperlink" Target="http://www.nevo.co.il/case/29329968" TargetMode="External"/><Relationship Id="rId13" Type="http://schemas.openxmlformats.org/officeDocument/2006/relationships/hyperlink" Target="http://www.nevo.co.il/case/28619478" TargetMode="External"/><Relationship Id="rId14" Type="http://schemas.openxmlformats.org/officeDocument/2006/relationships/hyperlink" Target="http://www.nevo.co.il/law/72507" TargetMode="External"/><Relationship Id="rId15" Type="http://schemas.openxmlformats.org/officeDocument/2006/relationships/hyperlink" Target="http://www.nevo.co.il/law/70301/348.a" TargetMode="External"/><Relationship Id="rId16" Type="http://schemas.openxmlformats.org/officeDocument/2006/relationships/hyperlink" Target="http://www.nevo.co.il/law/70301/345.a.3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2507/5.a" TargetMode="External"/><Relationship Id="rId20" Type="http://schemas.openxmlformats.org/officeDocument/2006/relationships/hyperlink" Target="http://www.nevo.co.il/law/72507/3.a.3" TargetMode="External"/><Relationship Id="rId21" Type="http://schemas.openxmlformats.org/officeDocument/2006/relationships/hyperlink" Target="http://www.nevo.co.il/law/72507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/345.a.3" TargetMode="External"/><Relationship Id="rId24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7980952" TargetMode="External"/><Relationship Id="rId27" Type="http://schemas.openxmlformats.org/officeDocument/2006/relationships/hyperlink" Target="http://www.nevo.co.il/case/26226475" TargetMode="External"/><Relationship Id="rId28" Type="http://schemas.openxmlformats.org/officeDocument/2006/relationships/hyperlink" Target="http://www.nevo.co.il/case/27446607" TargetMode="External"/><Relationship Id="rId29" Type="http://schemas.openxmlformats.org/officeDocument/2006/relationships/hyperlink" Target="http://www.nevo.co.il/case/27555147" TargetMode="External"/><Relationship Id="rId30" Type="http://schemas.openxmlformats.org/officeDocument/2006/relationships/hyperlink" Target="http://www.nevo.co.il/case/27915723" TargetMode="External"/><Relationship Id="rId31" Type="http://schemas.openxmlformats.org/officeDocument/2006/relationships/hyperlink" Target="http://www.nevo.co.il/case/6246845" TargetMode="External"/><Relationship Id="rId32" Type="http://schemas.openxmlformats.org/officeDocument/2006/relationships/hyperlink" Target="http://www.nevo.co.il/case/26814459" TargetMode="External"/><Relationship Id="rId33" Type="http://schemas.openxmlformats.org/officeDocument/2006/relationships/hyperlink" Target="http://www.nevo.co.il/case/10442769" TargetMode="External"/><Relationship Id="rId34" Type="http://schemas.openxmlformats.org/officeDocument/2006/relationships/hyperlink" Target="http://www.nevo.co.il/case/27000407" TargetMode="External"/><Relationship Id="rId35" Type="http://schemas.openxmlformats.org/officeDocument/2006/relationships/hyperlink" Target="http://www.nevo.co.il/case/7765894" TargetMode="External"/><Relationship Id="rId36" Type="http://schemas.openxmlformats.org/officeDocument/2006/relationships/hyperlink" Target="http://www.nevo.co.il/law/70301/40b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c.a" TargetMode="External"/><Relationship Id="rId39" Type="http://schemas.openxmlformats.org/officeDocument/2006/relationships/hyperlink" Target="http://www.nevo.co.il/case/20513526" TargetMode="External"/><Relationship Id="rId40" Type="http://schemas.openxmlformats.org/officeDocument/2006/relationships/hyperlink" Target="http://www.nevo.co.il/case/26814459" TargetMode="External"/><Relationship Id="rId41" Type="http://schemas.openxmlformats.org/officeDocument/2006/relationships/hyperlink" Target="https://supreme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2023-01-23T05:32:00Z</dcterms:created>
  <dc:creator>h4</dc:creator>
  <dc:description/>
  <cp:keywords/>
  <dc:language>en-IL</dc:language>
  <cp:lastModifiedBy>orly</cp:lastModifiedBy>
  <cp:lastPrinted>2023-01-22T09:00:00Z</cp:lastPrinted>
  <dcterms:modified xsi:type="dcterms:W3CDTF">2023-01-23T05:32:00Z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מרדכי אללו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29329968:2;28619478;27980952;26226475;27446607;27555147;27915723;6246845;26814459:2;10442769;27000407;7765894;20513526</vt:lpwstr>
  </property>
  <property fmtid="{D5CDD505-2E9C-101B-9397-08002B2CF9AE}" pid="9" name="CITY">
    <vt:lpwstr/>
  </property>
  <property fmtid="{D5CDD505-2E9C-101B-9397-08002B2CF9AE}" pid="10" name="DATE">
    <vt:lpwstr>20230122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אלרון;ח' כבוב;י' כשר</vt:lpwstr>
  </property>
  <property fmtid="{D5CDD505-2E9C-101B-9397-08002B2CF9AE}" pid="14" name="LAWLISTTMP1">
    <vt:lpwstr>72507/005.a;003.a.3</vt:lpwstr>
  </property>
  <property fmtid="{D5CDD505-2E9C-101B-9397-08002B2CF9AE}" pid="15" name="LAWLISTTMP2">
    <vt:lpwstr>70301/348.a;345.a.3:2;025:3;040b;040c.a</vt:lpwstr>
  </property>
  <property fmtid="{D5CDD505-2E9C-101B-9397-08002B2CF9AE}" pid="16" name="LAWYER">
    <vt:lpwstr>יוסף קנפו;אבי כהן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מדיניות ענישה: עבירות מין באמצעות האינטרנט‏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מין בקטינים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>מדיניות ענישה: שיקולים לחומרה</vt:lpwstr>
  </property>
  <property fmtid="{D5CDD505-2E9C-101B-9397-08002B2CF9AE}" pid="54" name="NOSE35">
    <vt:lpwstr>עקרון ההלימה‏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19184;16970;8982;8995;14799</vt:lpwstr>
  </property>
  <property fmtid="{D5CDD505-2E9C-101B-9397-08002B2CF9AE}" pid="60" name="PADIDATE">
    <vt:lpwstr>20230123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3235;3379</vt:lpwstr>
  </property>
  <property fmtid="{D5CDD505-2E9C-101B-9397-08002B2CF9AE}" pid="66" name="PROCYEAR">
    <vt:lpwstr>22;22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410120230122</vt:lpwstr>
  </property>
  <property fmtid="{D5CDD505-2E9C-101B-9397-08002B2CF9AE}" pid="70" name="TYPE_N_DATE">
    <vt:lpwstr>41020230122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