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3244/22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63172-11-20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07.09.2022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גלאובך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_Hlk114577702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עבירות השחיתות השלטונית ניצבת עבירת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וככלל העונש בגינה יהא מאסר בפועל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השוחד מחייבת מתן משקל ממשי לשיקול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הקושי באיתור ותפיסת מבצעי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מתאימים ביתר שאת כאשר עסקינן בעבירת שוחד בה מעורבים סוהר ואסירים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הנחזות כשכיחות בימים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של ממש נודעת אף לעבירות החדרת סמים וחומרים מסוכנים אסורים לבין כותלי בית הכלא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וביתר שאת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כשזו נעשית בידי סוהרים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ישנה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ציפייה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יתמודד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המופעלים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האסירים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השחתת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הקירבה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והזמינות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רובץ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לפתח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שוחד ושחיתות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הבניית שיקול הדעת השיפוטי בענישה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 סוהר – סוהרים – עבירות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כסוהר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עסקה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להעברת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אסורים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מסוכנים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לאסיר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ידוע הוא שאין זו מדרכה של ערכאת הערעור להתערב בעונש שהושת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 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כי עניינו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חומרת המעשים ונסיבות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 על המקרים המצדיקים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אשר הושת על המשיב מקל עמו יתר על המידה באופן שאינו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בראש עבירות השחיתות השלטונית ניצבת עבירת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זו פוגעת בשלטון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בטוהר המידות של עובדי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בתקינות המנהל הציבורי ובאמון הציבור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פגיעתה של עבירה זו חמורה משעה שמשרת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שם תפקידו מלמד על האחריות הנלווית למשרתו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מועל באמון הציבור ומשתמש בתפקידו לשם רווח 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על חשבון רווחת הציבור בשמו הוא נושא במשרה ציבורית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העונש בגין עבירת השוחד יהא מאסר בפועל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 של ממש נודעת אף לעבירות החדרת סמים וחומרים מסוכנים אסורים לבין כותלי בית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וביתר שאת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כשזו נעשית בידי סוהרים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אחוז משמעותי מהאסירים בבתי הכלא מרצים את עונשם בגין עבירות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וחלק ניכר מהאסירים מכורים לסמים בעודם בבית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הברחת והחדרת חומרים מעין אלו לבתי הכלא פוגעת בהליך שיקומם של האסירים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משפיעה לרעה על הסדר והמשמעת הדרושים בבית הסוהר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העלול לפגוע בזכויות האסירים עצמם ובאיכות החיים שלהם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מייצרת ומגבירה פשיעה בתוככי הכלא – ומחוצה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ומסכנת הלכה למעשה את הסוהרים והאסירים גם יחד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 עובד ימים כלילות כדי למגר הברחות של סמים וחומרים מסוכנים אסורים לבתי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שבעתיים פגיעתן של עבירות אלו כאשר בשר מבשרו של 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 משמש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דלת כניסה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נסתרת להברחת והחדרת סמים וחומרים מסוכנים אסורים לבין כותלי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להקל ראש באיומים המפורשים של האסירים כלפי המשיב ומשפחתו ואכן ראוי כי יינתן משקל במידת מה לאיומים אלו בגזר דינו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התבוננות בנסיבות המקרה דרך הקשרן הייחודי – סוהר המקבל שוחד עבור הברחת סמים וחומרים מסוכנים אסורים לבית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צובעת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אחרת את משקלם של האיומים במלאכת גזירת דינו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עבודתו המורכבת של סוהר בבית הכלא כרוכה מטיבה בחיכוך יומיומי עם עבריינים מורשעים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שגרת יומו של הסוהר רוויה בהתנהגויות שוליות והוא נדרש לעמוד איתן במשימתו לתפקוד תקין ומיטבי של בית הכלא חרף האתגרים החריגים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ישנה ציפייה גבוהה מסוהר כי יתמודד עם לחצים ואיומים המופעלים כלפיו מטעם האסירים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ובד בבד פוטנציאל השחתת המידות בשל הקירבה והזמינות לעולם הפשע – רובץ לפתח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האיומים שהופנו כלפי המשיב לא היו מוחשיים ומידיים באופן הכובל את ידיו ואת שיקול 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היה ביכולתו לפעול לסיכולם בדרך של פנייה לגורמי מקצוע בשירות בתי הסוהר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בצומת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בחר לילך בדרך של שוחד והברחת סמים ומעל בתפקידו ובאמון הציבורי שניתן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את העובדה שהמעשים נעשו מספר פעמים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והתפרסו על תקופה ממושכת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שבמהלכה המשיב לא פנה לממונים עליו כדי להסיר את עול איומי האסירים ולשוב לדרך הישר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ריצויו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היבט נוסף שיש ליתן עליו את הדעת עניינו חשיבות הרתעת הרבים בעבירת השוחד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כשבאלו מעורבים סוהרים ואסירים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זה מכבר כי </w:t>
      </w:r>
      <w:bookmarkStart w:id="9" w:name="_Hlk114579130"/>
      <w:r>
        <w:rPr>
          <w:rFonts w:ascii="Times New Roman" w:hAnsi="Times New Roman" w:cs="Times New Roman"/>
          <w:spacing w:val="0"/>
          <w:szCs w:val="26"/>
          <w:rtl w:val="true"/>
        </w:rPr>
        <w:t>עבירת השוחד מחייבת מתן משקל ממשי לשיקול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הקושי באיתור ותפיסת מבצעי עבירה זו הנובע מכך שכל המעורבים הם עושי עבירה אשר אין להם עניין בחשיפת מעלליהם לעיני 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קורבן העבירה האמיתי הוא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מתאימים ביתר שאת כאשר עסקינן בעבירת שוחד בה מעורבים סוהר ואסירים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הנחזות כשכיחות בימים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End w:id="9"/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 בתי הסוהר פועל ללא לאות כדי למגר הברחות של סמים וחפצים מסוכנים אסורים לכותלי הכלא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כשאלו מתבצעים באמצעות סוהרים בתמורה לשוחד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לגזור ענישה מרתיעה ואפקטיבית אשר המסר ממנה הוא כי כל המעורב בעבירת שוחד – יצא שכרו בהפסדו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נועד להוביל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לאחידות בענישה ולעצב בצורה תחומה וברורה את מלאכת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בלב מלאכה זו המחוקק מורה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יקבע מתחם עונש הולם לעבירה לאור עיקרון ההלימה ובהתחשב בנסיבות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הבא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יגזור על הנאשם את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 בגדרי המתחם שנקבע בהתחשב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ובמקרים חריגים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לסטות ממתחם העונש לחומרה או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בבוא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לגזור את העונש בגדרי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נדרש לשקול שיקולים שונים בהתאם למצוות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נעה נקודת האיזון בתוך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שהיא מתייצבת על העונש המדויק שייגזר על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כשם שכדי לגזור עונש בקצה העליון של המתחם נדרש הצטברות נסיבות חמורות המקהות את משקל הנסיבות המקלות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שייגזר עונש בקצה התחתון של המתחם נדרשות נסיבות מקלות לזכות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הגוברות על הנסיבות החמורות הקיימות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מוצדק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למכביר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בעוצמתן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השפעת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העונש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בעניינו של המשיב מקל עמו במידה ניכרת משאינו הולם את חומרת העבירות ונסיבות ביצוען כמפורט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העונש שנגזר על המשיב בחלקו התחתון של המתחם מקל עמו משביהמ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התחשב באופן מיטבי בנסיבות הרלוונטיות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מכתימים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משרתיו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המורכבת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במקצועיות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ובצניעות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הוחלט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_Hlk114577702"/>
      <w:bookmarkStart w:id="11" w:name="ABSTRACT_END"/>
      <w:bookmarkStart w:id="12" w:name="_Hlk114577702"/>
      <w:bookmarkStart w:id="13" w:name="ABSTRACT_END"/>
      <w:bookmarkEnd w:id="12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63172-11-20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31.3.2022</w:t>
      </w:r>
      <w:r>
        <w:rPr>
          <w:rtl w:val="true"/>
        </w:rPr>
        <w:t xml:space="preserve">, </w:t>
      </w:r>
      <w:r>
        <w:rPr>
          <w:rtl w:val="true"/>
        </w:rPr>
        <w:t>בגדרו נגזר על המשיב</w:t>
      </w:r>
      <w:r>
        <w:rPr>
          <w:rtl w:val="true"/>
        </w:rPr>
        <w:t xml:space="preserve">, </w:t>
      </w:r>
      <w:r>
        <w:rPr>
          <w:rtl w:val="true"/>
        </w:rPr>
        <w:t xml:space="preserve">אשר שירת כסוהר בכלא </w:t>
      </w:r>
      <w:r>
        <w:rPr>
          <w:rtl w:val="true"/>
        </w:rPr>
        <w:t>"</w:t>
      </w:r>
      <w:r>
        <w:rPr>
          <w:rtl w:val="true"/>
        </w:rPr>
        <w:t>אלה</w:t>
      </w:r>
      <w:r>
        <w:rPr>
          <w:rtl w:val="true"/>
        </w:rPr>
        <w:t xml:space="preserve">", </w:t>
      </w:r>
      <w:r>
        <w:rPr>
          <w:rtl w:val="true"/>
        </w:rPr>
        <w:t xml:space="preserve">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בדרך של עבודות שירות 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 בעבירות שוחד</w:t>
      </w:r>
      <w:r>
        <w:rPr>
          <w:rtl w:val="true"/>
        </w:rPr>
        <w:t xml:space="preserve">, </w:t>
      </w:r>
      <w:r>
        <w:rPr>
          <w:rtl w:val="true"/>
        </w:rPr>
        <w:t>ניסיון עסקה בסם מסוכן וניסיון להעברת חפצים אסורים מסוכנים לאסיר</w:t>
      </w:r>
      <w:r>
        <w:rPr>
          <w:rtl w:val="true"/>
        </w:rPr>
        <w:t xml:space="preserve">. </w:t>
      </w:r>
      <w:r>
        <w:rPr>
          <w:rtl w:val="true"/>
        </w:rPr>
        <w:t>הערעור נסוב על קולת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האסיר 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אשר היה כלוא באגף בו שירת המשיב כסוהר</w:t>
      </w:r>
      <w:r>
        <w:rPr>
          <w:rtl w:val="true"/>
        </w:rPr>
        <w:t xml:space="preserve">, </w:t>
      </w:r>
      <w:r>
        <w:rPr>
          <w:rtl w:val="true"/>
        </w:rPr>
        <w:t>פנה למשיב והציע לו להכניס עבורו לכלא בתמורה לתשלום כספי</w:t>
      </w:r>
      <w:r>
        <w:rPr>
          <w:rtl w:val="true"/>
        </w:rPr>
        <w:t xml:space="preserve">, </w:t>
      </w:r>
      <w:r>
        <w:rPr>
          <w:rtl w:val="true"/>
        </w:rPr>
        <w:t xml:space="preserve">תחליף סם מסוכן מסוג </w:t>
      </w:r>
      <w:r>
        <w:rPr>
          <w:rtl w:val="true"/>
        </w:rPr>
        <w:t>"</w:t>
      </w:r>
      <w:r>
        <w:rPr>
          <w:rtl w:val="true"/>
        </w:rPr>
        <w:t>סבוטקס</w:t>
      </w:r>
      <w:r>
        <w:rPr>
          <w:rtl w:val="true"/>
        </w:rPr>
        <w:t xml:space="preserve">". </w:t>
      </w:r>
      <w:r>
        <w:rPr>
          <w:rtl w:val="true"/>
        </w:rPr>
        <w:t>המשיב סרב תחילה</w:t>
      </w:r>
      <w:r>
        <w:rPr>
          <w:rtl w:val="true"/>
        </w:rPr>
        <w:t xml:space="preserve">, </w:t>
      </w:r>
      <w:r>
        <w:rPr>
          <w:rtl w:val="true"/>
        </w:rPr>
        <w:t>אך משג</w:t>
      </w:r>
      <w:r>
        <w:rPr>
          <w:rtl w:val="true"/>
        </w:rPr>
        <w:t>'</w:t>
      </w:r>
      <w:r>
        <w:rPr>
          <w:rtl w:val="true"/>
        </w:rPr>
        <w:t>בר פנה אליו פעמים נוספות בהדגישו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הוא יודע היכן הוא מתגורר</w:t>
      </w:r>
      <w:r>
        <w:rPr>
          <w:rtl w:val="true"/>
        </w:rPr>
        <w:t xml:space="preserve">, </w:t>
      </w:r>
      <w:r>
        <w:rPr>
          <w:rtl w:val="true"/>
        </w:rPr>
        <w:t>היכן גן הילדים של בתו ואיזה רכב הוא מחזיק ברשותו</w:t>
      </w:r>
      <w:r>
        <w:rPr>
          <w:rtl w:val="true"/>
        </w:rPr>
        <w:t xml:space="preserve">, </w:t>
      </w:r>
      <w:r>
        <w:rPr>
          <w:rtl w:val="true"/>
        </w:rPr>
        <w:t>נענה להצעתו</w:t>
      </w:r>
      <w:r>
        <w:rPr>
          <w:rtl w:val="true"/>
        </w:rPr>
        <w:t xml:space="preserve">. </w:t>
      </w:r>
      <w:r>
        <w:rPr>
          <w:rtl w:val="true"/>
        </w:rPr>
        <w:t>במועד מסוים</w:t>
      </w:r>
      <w:r>
        <w:rPr>
          <w:rtl w:val="true"/>
        </w:rPr>
        <w:t xml:space="preserve">, </w:t>
      </w:r>
      <w:r>
        <w:rPr>
          <w:rtl w:val="true"/>
        </w:rPr>
        <w:t>כאשר המשיב שב לביתו לאחר העבודה</w:t>
      </w:r>
      <w:r>
        <w:rPr>
          <w:rtl w:val="true"/>
        </w:rPr>
        <w:t xml:space="preserve">, </w:t>
      </w:r>
      <w:r>
        <w:rPr>
          <w:rtl w:val="true"/>
        </w:rPr>
        <w:t>מסר לו אדם אחר הקשור לג</w:t>
      </w:r>
      <w:r>
        <w:rPr>
          <w:rtl w:val="true"/>
        </w:rPr>
        <w:t>'</w:t>
      </w:r>
      <w:r>
        <w:rPr>
          <w:rtl w:val="true"/>
        </w:rPr>
        <w:t xml:space="preserve">בר קופסת סיגריות ובה כדורים וסכום של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המשיב העריך כי מדובר בכדורי </w:t>
      </w:r>
      <w:r>
        <w:rPr>
          <w:rtl w:val="true"/>
        </w:rPr>
        <w:t>"</w:t>
      </w:r>
      <w:r>
        <w:rPr>
          <w:rtl w:val="true"/>
        </w:rPr>
        <w:t>סבוטקס</w:t>
      </w:r>
      <w:r>
        <w:rPr>
          <w:rtl w:val="true"/>
        </w:rPr>
        <w:t xml:space="preserve">" </w:t>
      </w:r>
      <w:r>
        <w:rPr>
          <w:rtl w:val="true"/>
        </w:rPr>
        <w:t>וכי בקופסה היו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הוא נטל את הכסף לעצמו ובמהלך עבודתו בכלא מסר את הכדורים לג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המסוכנים</w:t>
      </w:r>
      <w:r>
        <w:rPr>
          <w:rtl w:val="true"/>
        </w:rPr>
        <w:t xml:space="preserve">),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כשבוע לאחר האירועים מושא האישום הראשון</w:t>
      </w:r>
      <w:r>
        <w:rPr>
          <w:rtl w:val="true"/>
        </w:rPr>
        <w:t xml:space="preserve">, </w:t>
      </w:r>
      <w:r>
        <w:rPr>
          <w:rtl w:val="true"/>
        </w:rPr>
        <w:t>המשיב נענה לפניה נוספת של ג</w:t>
      </w:r>
      <w:r>
        <w:rPr>
          <w:rtl w:val="true"/>
        </w:rPr>
        <w:t>'</w:t>
      </w:r>
      <w:r>
        <w:rPr>
          <w:rtl w:val="true"/>
        </w:rPr>
        <w:t xml:space="preserve">בר כי יכניס עבורו לכלא </w:t>
      </w:r>
      <w:r>
        <w:rPr>
          <w:rtl w:val="true"/>
        </w:rPr>
        <w:t>"</w:t>
      </w:r>
      <w:r>
        <w:rPr>
          <w:rtl w:val="true"/>
        </w:rPr>
        <w:t>דברים</w:t>
      </w:r>
      <w:r>
        <w:rPr>
          <w:rtl w:val="true"/>
        </w:rPr>
        <w:t xml:space="preserve">" </w:t>
      </w:r>
      <w:r>
        <w:rPr>
          <w:rtl w:val="true"/>
        </w:rPr>
        <w:t>תמורת תשלום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כאשר המשיב שב לביתו מעבודתו</w:t>
      </w:r>
      <w:r>
        <w:rPr>
          <w:rtl w:val="true"/>
        </w:rPr>
        <w:t xml:space="preserve">, </w:t>
      </w:r>
      <w:r>
        <w:rPr>
          <w:rtl w:val="true"/>
        </w:rPr>
        <w:t>המתינו בסמוך אלמוני ואדם אחר בשם אמיר אחמד אבו</w:t>
      </w:r>
      <w:r>
        <w:rPr>
          <w:rtl w:val="true"/>
        </w:rPr>
        <w:t>-</w:t>
      </w:r>
      <w:r>
        <w:rPr>
          <w:rtl w:val="true"/>
        </w:rPr>
        <w:t xml:space="preserve">עסא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הקשורים לג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 xml:space="preserve">ואלמוני מסר למשיב שקית ובה כדורים וסכום של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המשיב העריך כי בשקית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>
          <w:rtl w:val="true"/>
        </w:rPr>
        <w:t>"</w:t>
      </w:r>
      <w:r>
        <w:rPr>
          <w:rtl w:val="true"/>
        </w:rPr>
        <w:t>העלולים לסכן חייו של אדם או בריאותו</w:t>
      </w:r>
      <w:r>
        <w:rPr>
          <w:rtl w:val="true"/>
        </w:rPr>
        <w:t xml:space="preserve">". </w:t>
      </w:r>
      <w:r>
        <w:rPr>
          <w:rtl w:val="true"/>
        </w:rPr>
        <w:t>המשיב השאיר את הכסף ברשותו</w:t>
      </w:r>
      <w:r>
        <w:rPr>
          <w:rtl w:val="true"/>
        </w:rPr>
        <w:t xml:space="preserve">, </w:t>
      </w:r>
      <w:r>
        <w:rPr>
          <w:rtl w:val="true"/>
        </w:rPr>
        <w:t>ובהמשך מסר את הכדורים לג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הסוהר</w:t>
      </w:r>
      <w:r>
        <w:rPr>
          <w:rtl w:val="true"/>
        </w:rPr>
        <w:t xml:space="preserve">),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לאחר האירועים המפורטים באישום השני</w:t>
      </w:r>
      <w:r>
        <w:rPr>
          <w:rtl w:val="true"/>
        </w:rPr>
        <w:t xml:space="preserve">, </w:t>
      </w:r>
      <w:r>
        <w:rPr>
          <w:rtl w:val="true"/>
        </w:rPr>
        <w:t>אמיר נכלא ושהה בכלא בו שירת המשיב</w:t>
      </w:r>
      <w:r>
        <w:rPr>
          <w:rtl w:val="true"/>
        </w:rPr>
        <w:t xml:space="preserve">. </w:t>
      </w:r>
      <w:r>
        <w:rPr>
          <w:rtl w:val="true"/>
        </w:rPr>
        <w:t>המשיב לא זכר את היכרותו עם אמיר</w:t>
      </w:r>
      <w:r>
        <w:rPr>
          <w:rtl w:val="true"/>
        </w:rPr>
        <w:t xml:space="preserve">, </w:t>
      </w:r>
      <w:r>
        <w:rPr>
          <w:rtl w:val="true"/>
        </w:rPr>
        <w:t>וזה האחרון הפנה אותו לשוחח עם 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אשר שוחרר מהכלא בינתיים</w:t>
      </w:r>
      <w:r>
        <w:rPr>
          <w:rtl w:val="true"/>
        </w:rPr>
        <w:t xml:space="preserve">. </w:t>
      </w:r>
      <w:r>
        <w:rPr>
          <w:rtl w:val="true"/>
        </w:rPr>
        <w:t xml:space="preserve">המשיב סרב תחילה להצעותיו של אמיר כי יכניס עבורו לכלא </w:t>
      </w:r>
      <w:r>
        <w:rPr>
          <w:rtl w:val="true"/>
        </w:rPr>
        <w:t>"</w:t>
      </w:r>
      <w:r>
        <w:rPr>
          <w:rtl w:val="true"/>
        </w:rPr>
        <w:t>סבוטקס</w:t>
      </w:r>
      <w:r>
        <w:rPr>
          <w:rtl w:val="true"/>
        </w:rPr>
        <w:t xml:space="preserve">", </w:t>
      </w:r>
      <w:r>
        <w:rPr>
          <w:rtl w:val="true"/>
        </w:rPr>
        <w:t>תמורת תשלום</w:t>
      </w:r>
      <w:r>
        <w:rPr>
          <w:rtl w:val="true"/>
        </w:rPr>
        <w:t xml:space="preserve">, </w:t>
      </w:r>
      <w:r>
        <w:rPr>
          <w:rtl w:val="true"/>
        </w:rPr>
        <w:t>אך לבסוף נענה להצעה</w:t>
      </w:r>
      <w:r>
        <w:rPr>
          <w:rtl w:val="true"/>
        </w:rPr>
        <w:t xml:space="preserve">. </w:t>
      </w:r>
      <w:r>
        <w:rPr>
          <w:rtl w:val="true"/>
        </w:rPr>
        <w:t>במועד מסוים</w:t>
      </w:r>
      <w:r>
        <w:rPr>
          <w:rtl w:val="true"/>
        </w:rPr>
        <w:t xml:space="preserve">, </w:t>
      </w:r>
      <w:r>
        <w:rPr>
          <w:rtl w:val="true"/>
        </w:rPr>
        <w:t>לאחר שהמשיב שב לביתו מעבודתו</w:t>
      </w:r>
      <w:r>
        <w:rPr>
          <w:rtl w:val="true"/>
        </w:rPr>
        <w:t xml:space="preserve">, </w:t>
      </w:r>
      <w:r>
        <w:rPr>
          <w:rtl w:val="true"/>
        </w:rPr>
        <w:t xml:space="preserve">מסר לו אדם אחר שקית ובה כדורים וסכום כסף בסך של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המשיב העריך כי בשקית ישנם עשרות כדורים מסוג </w:t>
      </w:r>
      <w:r>
        <w:rPr>
          <w:rtl w:val="true"/>
        </w:rPr>
        <w:t>"</w:t>
      </w:r>
      <w:r>
        <w:rPr>
          <w:rtl w:val="true"/>
        </w:rPr>
        <w:t>סבוטקס</w:t>
      </w:r>
      <w:r>
        <w:rPr>
          <w:rtl w:val="true"/>
        </w:rPr>
        <w:t xml:space="preserve">", </w:t>
      </w:r>
      <w:r>
        <w:rPr>
          <w:rtl w:val="true"/>
        </w:rPr>
        <w:t>שמר אצלו את הכסף</w:t>
      </w:r>
      <w:r>
        <w:rPr>
          <w:rtl w:val="true"/>
        </w:rPr>
        <w:t xml:space="preserve">, </w:t>
      </w:r>
      <w:r>
        <w:rPr>
          <w:rtl w:val="true"/>
        </w:rPr>
        <w:t>והעביר בהמשך את הכדורים לאמיר בכלא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האסיר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מהעבודה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סבוטקס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ואספקת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הרשיע את המשיב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באישומים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והשלישי</w:t>
      </w:r>
      <w:r>
        <w:rPr>
          <w:rtl w:val="true"/>
        </w:rPr>
        <w:t xml:space="preserve"> כפי שיוחסו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בו המערערת </w:t>
      </w:r>
      <w:r>
        <w:rPr>
          <w:rtl w:val="true"/>
        </w:rPr>
        <w:t>"</w:t>
      </w:r>
      <w:r>
        <w:rPr>
          <w:rtl w:val="true"/>
        </w:rPr>
        <w:t>ויתרה</w:t>
      </w:r>
      <w:r>
        <w:rPr>
          <w:rtl w:val="true"/>
        </w:rPr>
        <w:t xml:space="preserve">" </w:t>
      </w:r>
      <w:r>
        <w:rPr>
          <w:rtl w:val="true"/>
        </w:rPr>
        <w:t xml:space="preserve">על הוכחת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tl w:val="true"/>
        </w:rPr>
        <w:t xml:space="preserve"> נגד המשיב</w:t>
      </w:r>
      <w:r>
        <w:rPr>
          <w:rtl w:val="true"/>
        </w:rPr>
        <w:t xml:space="preserve">, </w:t>
      </w:r>
      <w:r>
        <w:rPr>
          <w:rtl w:val="true"/>
        </w:rPr>
        <w:t>ואשר לא כלל הסכמה לעניין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הערכים שנפגעו בביצוע העבירות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השוחד </w:t>
      </w:r>
      <w:r>
        <w:rPr>
          <w:rtl w:val="true"/>
        </w:rPr>
        <w:t>–</w:t>
      </w:r>
      <w:r>
        <w:rPr>
          <w:rtl w:val="true"/>
        </w:rPr>
        <w:t xml:space="preserve"> ערכי טוהר המידות ואמון הציבור ברשויות</w:t>
      </w:r>
      <w:r>
        <w:rPr>
          <w:rtl w:val="true"/>
        </w:rPr>
        <w:t xml:space="preserve">; </w:t>
      </w:r>
      <w:r>
        <w:rPr>
          <w:rtl w:val="true"/>
        </w:rPr>
        <w:t xml:space="preserve">בעבירת הניסיון לעסקה בסם מסוכן </w:t>
      </w:r>
      <w:r>
        <w:rPr>
          <w:rtl w:val="true"/>
        </w:rPr>
        <w:t>–</w:t>
      </w:r>
      <w:r>
        <w:rPr>
          <w:rtl w:val="true"/>
        </w:rPr>
        <w:t xml:space="preserve"> שמירה על הסדר החברתי ושלום הציבור</w:t>
      </w:r>
      <w:r>
        <w:rPr>
          <w:rtl w:val="true"/>
        </w:rPr>
        <w:t xml:space="preserve">; </w:t>
      </w:r>
      <w:r>
        <w:rPr>
          <w:rtl w:val="true"/>
        </w:rPr>
        <w:t xml:space="preserve">ובעבירת ניסיון להעברת חפצים אסורים מסוכנים לאסיר </w:t>
      </w:r>
      <w:r>
        <w:rPr>
          <w:rtl w:val="true"/>
        </w:rPr>
        <w:t>–</w:t>
      </w:r>
      <w:r>
        <w:rPr>
          <w:rtl w:val="true"/>
        </w:rPr>
        <w:t xml:space="preserve"> שלטון החוק ושמירה על התפקוד התקין של מתקני הכליאה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איומים</w:t>
      </w:r>
      <w:r>
        <w:rPr>
          <w:rtl w:val="true"/>
        </w:rPr>
        <w:t xml:space="preserve">" </w:t>
      </w:r>
      <w:r>
        <w:rPr>
          <w:rtl w:val="true"/>
        </w:rPr>
        <w:t>המפורשים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מכרעת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המשיב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שקל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נסיבותיו האישיות ובהן אורח חייו הנורמטיבי</w:t>
      </w:r>
      <w:r>
        <w:rPr>
          <w:rtl w:val="true"/>
        </w:rPr>
        <w:t xml:space="preserve">; </w:t>
      </w:r>
      <w:r>
        <w:rPr>
          <w:rtl w:val="true"/>
        </w:rPr>
        <w:t>העובדה שאין הרשעות קודמות לחובתו</w:t>
      </w:r>
      <w:r>
        <w:rPr>
          <w:rtl w:val="true"/>
        </w:rPr>
        <w:t xml:space="preserve">; </w:t>
      </w:r>
      <w:r>
        <w:rPr>
          <w:rtl w:val="true"/>
        </w:rPr>
        <w:t>תחושות החשש וחוסר המוגנות על חייו וחיי משפחתו נוכח דברי האסירים</w:t>
      </w:r>
      <w:r>
        <w:rPr>
          <w:rtl w:val="true"/>
        </w:rPr>
        <w:t xml:space="preserve">; </w:t>
      </w:r>
      <w:r>
        <w:rPr>
          <w:rtl w:val="true"/>
        </w:rPr>
        <w:t>האופן בו קיבל אחריות על המעשים</w:t>
      </w:r>
      <w:r>
        <w:rPr>
          <w:rtl w:val="true"/>
        </w:rPr>
        <w:t xml:space="preserve">, </w:t>
      </w:r>
      <w:r>
        <w:rPr>
          <w:rtl w:val="true"/>
        </w:rPr>
        <w:t>והחרטה על ביצועם</w:t>
      </w:r>
      <w:r>
        <w:rPr>
          <w:rtl w:val="true"/>
        </w:rPr>
        <w:t xml:space="preserve">; </w:t>
      </w:r>
      <w:r>
        <w:rPr>
          <w:rtl w:val="true"/>
        </w:rPr>
        <w:t>המלצת שירות המבחן להטלת צו מבחן לשנה</w:t>
      </w:r>
      <w:r>
        <w:rPr>
          <w:rtl w:val="true"/>
        </w:rPr>
        <w:t xml:space="preserve">, </w:t>
      </w:r>
      <w:r>
        <w:rPr>
          <w:rtl w:val="true"/>
        </w:rPr>
        <w:t>לצד מאסר לריצוי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>ושיקולי הרתעת הרבים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בית המשפט המחוזי הקל בעונשו של המשיב במידה חריגה ובלתי מוצדקת</w:t>
      </w:r>
      <w:r>
        <w:rPr>
          <w:rtl w:val="true"/>
        </w:rPr>
        <w:t xml:space="preserve">, </w:t>
      </w:r>
      <w:r>
        <w:rPr>
          <w:rtl w:val="true"/>
        </w:rPr>
        <w:t>נוכח חומרת העבירות בהן הורשע ונסיבות ביצוען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מתחם העונש שנקבע אינו הולם את חומרת מעשי המשיב</w:t>
      </w:r>
      <w:r>
        <w:rPr>
          <w:rtl w:val="true"/>
        </w:rPr>
        <w:t xml:space="preserve">, </w:t>
      </w:r>
      <w:r>
        <w:rPr>
          <w:rtl w:val="true"/>
        </w:rPr>
        <w:t>בהתחשב בפגיעתה הקשה של עבירת השוחד בתקינות המנהל הציבורי ובאמון הציבור בו</w:t>
      </w:r>
      <w:r>
        <w:rPr>
          <w:rtl w:val="true"/>
        </w:rPr>
        <w:t xml:space="preserve">; </w:t>
      </w:r>
      <w:r>
        <w:rPr>
          <w:rtl w:val="true"/>
        </w:rPr>
        <w:t>בסיכון הרב הגלום בהחדרת סמים וחומרים מסוכנים אסורים לכלא</w:t>
      </w:r>
      <w:r>
        <w:rPr>
          <w:rtl w:val="true"/>
        </w:rPr>
        <w:t xml:space="preserve">; </w:t>
      </w:r>
      <w:r>
        <w:rPr>
          <w:rtl w:val="true"/>
        </w:rPr>
        <w:t>ובמדיניות הענישה המחמירה הנוהגת בעבירות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לשיטת המשיב</w:t>
      </w:r>
      <w:r>
        <w:rPr>
          <w:rtl w:val="true"/>
        </w:rPr>
        <w:t xml:space="preserve">, </w:t>
      </w:r>
      <w:r>
        <w:rPr>
          <w:rtl w:val="true"/>
        </w:rPr>
        <w:t>בעניינו ישנן נסיבות חריגות אשר בגינן אין להחמיר בעונשו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נוכח העובדה שבמוקד וברקע למעשיו ניצבים האיומים המפורשים מצד ג</w:t>
      </w:r>
      <w:r>
        <w:rPr>
          <w:rtl w:val="true"/>
        </w:rPr>
        <w:t>'</w:t>
      </w:r>
      <w:r>
        <w:rPr>
          <w:rtl w:val="true"/>
        </w:rPr>
        <w:t>בר ואמיר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סרב להצעות השוחד</w:t>
      </w:r>
      <w:r>
        <w:rPr>
          <w:rtl w:val="true"/>
        </w:rPr>
        <w:t xml:space="preserve">, </w:t>
      </w:r>
      <w:r>
        <w:rPr>
          <w:rtl w:val="true"/>
        </w:rPr>
        <w:t>אך נכנע והסכים לאחר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מגוריו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יש לבחון את עונש המשיב בהשוואה לעונש שנגזר על ג</w:t>
      </w:r>
      <w:r>
        <w:rPr>
          <w:rtl w:val="true"/>
        </w:rPr>
        <w:t>'</w:t>
      </w:r>
      <w:r>
        <w:rPr>
          <w:rtl w:val="true"/>
        </w:rPr>
        <w:t xml:space="preserve">בר במסגרת הסדר טיעון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חרף עברו הפלילי והעובדה שהוא חולל את העבירות מלכתחילה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בשונה ממקרים דומים של עבירות שוחד שביצעו סוהרים</w:t>
      </w:r>
      <w:r>
        <w:rPr>
          <w:rtl w:val="true"/>
        </w:rPr>
        <w:t xml:space="preserve">, </w:t>
      </w:r>
      <w:r>
        <w:rPr>
          <w:rtl w:val="true"/>
        </w:rPr>
        <w:t>בנדון דנן דובר בסכומי כסף לא גדולים</w:t>
      </w:r>
      <w:r>
        <w:rPr>
          <w:rtl w:val="true"/>
        </w:rPr>
        <w:t xml:space="preserve">; </w:t>
      </w:r>
      <w:r>
        <w:rPr>
          <w:rtl w:val="true"/>
        </w:rPr>
        <w:t>באיומים בוטים חוזרים ונשנים</w:t>
      </w:r>
      <w:r>
        <w:rPr>
          <w:rtl w:val="true"/>
        </w:rPr>
        <w:t xml:space="preserve">; </w:t>
      </w:r>
      <w:r>
        <w:rPr>
          <w:rtl w:val="true"/>
        </w:rPr>
        <w:t>וכאשר המשיב לא יזם את השוחד ולא פעל מתוך עמדת כוח ומיקוח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tl w:val="true"/>
        </w:rPr>
        <w:t xml:space="preserve">". </w:t>
      </w:r>
      <w:r>
        <w:rPr>
          <w:rtl w:val="true"/>
        </w:rPr>
        <w:t>המשיב הוסיף כי יש ליתן משקל לתסקיר שירות המבחן ממנו עולה כי הוא משתף פעולה ומעוניין לעבור שינוי ומשכך ישנו סיכוי לשיקומו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בעניינו של המשיב הוגש תסקיר שירות מבחן עדכני ממנו עולה כי המשיב מביע חרטה על מעשיו</w:t>
      </w:r>
      <w:r>
        <w:rPr>
          <w:rtl w:val="true"/>
        </w:rPr>
        <w:t xml:space="preserve">, </w:t>
      </w:r>
      <w:r>
        <w:rPr>
          <w:rtl w:val="true"/>
        </w:rPr>
        <w:t>וכי בעת ביצוע העבירות חשש כי שיתוף אחרים בנסיבות ביצוען עלול להיתפס כחולשה ועל כן נמנע מכך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המשיב מגויס להליך הטיפולי ובעל רצון להמשך שיתוף פעולה</w:t>
      </w:r>
      <w:r>
        <w:rPr>
          <w:rtl w:val="true"/>
        </w:rPr>
        <w:t xml:space="preserve">, </w:t>
      </w:r>
      <w:r>
        <w:rPr>
          <w:rtl w:val="true"/>
        </w:rPr>
        <w:t>תוך הבנה ולמידה באשר לדפוסיו האישיים אשר היו ברקע לביצוע העבירות</w:t>
      </w:r>
      <w:r>
        <w:rPr>
          <w:rtl w:val="true"/>
        </w:rPr>
        <w:t xml:space="preserve">. </w:t>
      </w: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>כי יש להתחשב בכך שישנו סיכון משמעותי לסוהר בריצוי עונש מאסר בפועל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הומלץ שלא להחמיר בעונשו ולאפשר את הליך שיקומו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להתערב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6</w:t>
      </w:r>
      <w:r>
        <w:rPr/>
        <w:t>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שעיינו בנימוקי הערעור ושמענו את באי כוח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עניינו של המשיב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ונסיבות ביצועם</w:t>
      </w:r>
      <w:r>
        <w:rPr>
          <w:rtl w:val="true"/>
        </w:rPr>
        <w:t xml:space="preserve">,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 xml:space="preserve">אפוא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 </w:t>
      </w:r>
      <w:r>
        <w:rPr>
          <w:rtl w:val="true"/>
        </w:rPr>
        <w:t>ונחמיר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בראש עבירות השחיתות השלטונית</w:t>
      </w:r>
      <w:r>
        <w:rPr>
          <w:rtl w:val="true"/>
        </w:rPr>
        <w:t xml:space="preserve">, </w:t>
      </w:r>
      <w:r>
        <w:rPr>
          <w:rtl w:val="true"/>
        </w:rPr>
        <w:t>ניצבת עבירת השוחד</w:t>
      </w:r>
      <w:r>
        <w:rPr>
          <w:rtl w:val="true"/>
        </w:rPr>
        <w:t xml:space="preserve">. </w:t>
      </w:r>
      <w:r>
        <w:rPr>
          <w:rtl w:val="true"/>
        </w:rPr>
        <w:t>עבירה זו פוגעת בשלטון החוק</w:t>
      </w:r>
      <w:r>
        <w:rPr>
          <w:rtl w:val="true"/>
        </w:rPr>
        <w:t xml:space="preserve">, </w:t>
      </w:r>
      <w:r>
        <w:rPr>
          <w:rtl w:val="true"/>
        </w:rPr>
        <w:t>בטוהר המידות של עובדי הציבור</w:t>
      </w:r>
      <w:r>
        <w:rPr>
          <w:rtl w:val="true"/>
        </w:rPr>
        <w:t xml:space="preserve">, </w:t>
      </w:r>
      <w:r>
        <w:rPr>
          <w:rtl w:val="true"/>
        </w:rPr>
        <w:t>בתקינות המנהל הציבורי ובאמון הציבור בו</w:t>
      </w:r>
      <w:r>
        <w:rPr>
          <w:rtl w:val="true"/>
        </w:rPr>
        <w:t xml:space="preserve">. </w:t>
      </w:r>
      <w:r>
        <w:rPr>
          <w:rtl w:val="true"/>
        </w:rPr>
        <w:t>פגיעתה של עבירה זו חמורה משעה שמשרת ציבור</w:t>
      </w:r>
      <w:r>
        <w:rPr>
          <w:rtl w:val="true"/>
        </w:rPr>
        <w:t xml:space="preserve">, </w:t>
      </w:r>
      <w:r>
        <w:rPr>
          <w:rtl w:val="true"/>
        </w:rPr>
        <w:t>אשר שם תפקידו מלמד על האחריות הנלווית למשרתו</w:t>
      </w:r>
      <w:r>
        <w:rPr>
          <w:rtl w:val="true"/>
        </w:rPr>
        <w:t xml:space="preserve">, </w:t>
      </w:r>
      <w:r>
        <w:rPr>
          <w:rtl w:val="true"/>
        </w:rPr>
        <w:t>מועל באמון הציבור ומשתמש בתפקידו לשם רווח אישי</w:t>
      </w:r>
      <w:r>
        <w:rPr>
          <w:rtl w:val="true"/>
        </w:rPr>
        <w:t xml:space="preserve">, </w:t>
      </w:r>
      <w:r>
        <w:rPr>
          <w:rtl w:val="true"/>
        </w:rPr>
        <w:t xml:space="preserve">וזאת על חשבון רווחת הציבור בשמו הוא נושא במשרה ציבורית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מילר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10-8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</w:t>
      </w:r>
      <w:r>
        <w:rPr/>
        <w:t>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העונש בגין עבירת השוחד יהא מאסר בפועל מאחורי סורג ובריח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אלסין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סוהרים</w:t>
      </w:r>
      <w:r>
        <w:rPr>
          <w:rtl w:val="true"/>
        </w:rPr>
        <w:t xml:space="preserve">.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נורית יכימוביץ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cs="Century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והמידע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)),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ובאלכוהול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המחקר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; </w:t>
      </w:r>
      <w:r>
        <w:rPr>
          <w:rtl w:val="true"/>
        </w:rPr>
        <w:t>משפיעה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; </w:t>
      </w:r>
      <w:r>
        <w:rPr>
          <w:rtl w:val="true"/>
        </w:rPr>
        <w:t>מייצרת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ומסכנת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(</w:t>
      </w:r>
      <w:r>
        <w:rPr/>
        <w:t>24.5.2011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הכליאה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והמידע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כניסה</w:t>
      </w:r>
      <w:r>
        <w:rPr>
          <w:rtl w:val="true"/>
        </w:rPr>
        <w:t xml:space="preserve">"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האמור</w:t>
      </w:r>
      <w:r>
        <w:rPr>
          <w:rtl w:val="true"/>
        </w:rPr>
        <w:t xml:space="preserve">, </w:t>
      </w:r>
      <w:r>
        <w:rPr>
          <w:rtl w:val="true"/>
        </w:rPr>
        <w:t>נסיבות ביצוע העבירות אף הן מטות את הכף לחובתו</w:t>
      </w:r>
      <w:r>
        <w:rPr>
          <w:rtl w:val="true"/>
        </w:rPr>
        <w:t xml:space="preserve">.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אין להקל ראש באיומים המפורשים של האסירים כלפי המשיב ומשפחתו ואכן ראוי כי יינתן משקל במידת מה לאיומים אלו בגזר דינו של המשיב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התבוננות בנסיבות המקרה דרך הקשרן הייחודי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סוהר</w:t>
      </w:r>
      <w:r>
        <w:rPr>
          <w:rtl w:val="true"/>
        </w:rPr>
        <w:t xml:space="preserve"> המקבל שוחד עבור הברחת סמים וחומרים מסוכנים אסורים לבית הכלא</w:t>
      </w:r>
      <w:r>
        <w:rPr>
          <w:rtl w:val="true"/>
        </w:rPr>
        <w:t>, "</w:t>
      </w:r>
      <w:r>
        <w:rPr>
          <w:rtl w:val="true"/>
        </w:rPr>
        <w:t>צובעת</w:t>
      </w:r>
      <w:r>
        <w:rPr>
          <w:rtl w:val="true"/>
        </w:rPr>
        <w:t xml:space="preserve">" </w:t>
      </w:r>
      <w:r>
        <w:rPr>
          <w:rtl w:val="true"/>
        </w:rPr>
        <w:t>אחרת את משקלם של האיומים במלאכת גזירת דינו של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האתגרים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והתפרסו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9598/16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7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האמור עד כה</w:t>
      </w:r>
      <w:r>
        <w:rPr>
          <w:rtl w:val="true"/>
        </w:rPr>
        <w:t xml:space="preserve">, </w:t>
      </w:r>
      <w:r>
        <w:rPr>
          <w:rtl w:val="true"/>
        </w:rPr>
        <w:t>ובשים לב למדיניות הענישה</w:t>
      </w:r>
      <w:r>
        <w:rPr>
          <w:rtl w:val="true"/>
        </w:rPr>
        <w:t xml:space="preserve">, </w:t>
      </w:r>
      <w:r>
        <w:rPr>
          <w:rtl w:val="true"/>
        </w:rPr>
        <w:t>ברי כי מתחם העונש שבית המשפט המחוזי קבע מקל עם המשיב במידה ניכרת ואינו הולם את חומרת מעשיו ואת נסיבות ביצועם</w:t>
      </w:r>
      <w:r>
        <w:rPr>
          <w:rtl w:val="true"/>
        </w:rPr>
        <w:t xml:space="preserve">. </w:t>
      </w:r>
      <w:r>
        <w:rPr>
          <w:rtl w:val="true"/>
        </w:rPr>
        <w:t>כאשר 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המשיב בחלקו התחתון של המתחם </w:t>
      </w:r>
      <w:r>
        <w:rPr>
          <w:rtl w:val="true"/>
        </w:rPr>
        <w:t>–</w:t>
      </w:r>
      <w:r>
        <w:rPr>
          <w:rtl w:val="true"/>
        </w:rPr>
        <w:t xml:space="preserve"> אף הוא מקל עמו הן במשכו הן באופן ריצויו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היבט נוסף אשר יש ליתן עליו את הדעת עניינו חשיבות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הרתעת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הרבים</w:t>
      </w:r>
      <w:r>
        <w:rPr>
          <w:rtl w:val="true"/>
        </w:rPr>
        <w:t xml:space="preserve"> בעבירת השוחד</w:t>
      </w:r>
      <w:r>
        <w:rPr>
          <w:rtl w:val="true"/>
        </w:rPr>
        <w:t xml:space="preserve">, </w:t>
      </w:r>
      <w:r>
        <w:rPr>
          <w:rtl w:val="true"/>
        </w:rPr>
        <w:t>ובפרט כשבאלו מעורבים סוהרים ואסירים</w:t>
      </w:r>
      <w:r>
        <w:rPr>
          <w:rtl w:val="true"/>
        </w:rPr>
        <w:t xml:space="preserve">. </w:t>
      </w:r>
      <w:r>
        <w:rPr>
          <w:rtl w:val="true"/>
        </w:rPr>
        <w:t>נפסק זה מכבר כי עבירת השוחד מחייבת מתן משקל ממשי לשיקול הרתעת הרבים</w:t>
      </w:r>
      <w:r>
        <w:rPr>
          <w:rtl w:val="true"/>
        </w:rPr>
        <w:t xml:space="preserve">, </w:t>
      </w:r>
      <w:r>
        <w:rPr>
          <w:rtl w:val="true"/>
        </w:rPr>
        <w:t>בשל הקושי באיתור ותפיסת מבצעי עבירה זו הנובע מכך שכל המעורבים הם עושי עבירה אשר אין להם עניין בחשיפת מעלליהם לעיני כל</w:t>
      </w:r>
      <w:r>
        <w:rPr>
          <w:rtl w:val="true"/>
        </w:rPr>
        <w:t xml:space="preserve">, </w:t>
      </w:r>
      <w:r>
        <w:rPr>
          <w:rtl w:val="true"/>
        </w:rPr>
        <w:t xml:space="preserve">בעוד קורבן העבירה האמיתי הוא הציבור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2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זיו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ואסירים</w:t>
      </w:r>
      <w:r>
        <w:rPr>
          <w:rtl w:val="true"/>
        </w:rPr>
        <w:t xml:space="preserve">, </w:t>
      </w:r>
      <w:r>
        <w:rPr>
          <w:rtl w:val="true"/>
        </w:rPr>
        <w:t>הנחזות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בהפסדו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כאן המקום להעיר על אופן מלאכת גזירת העונש בכלל</w:t>
      </w:r>
      <w:r>
        <w:rPr>
          <w:rtl w:val="true"/>
        </w:rPr>
        <w:t xml:space="preserve">, </w:t>
      </w:r>
      <w:r>
        <w:rPr>
          <w:rtl w:val="true"/>
        </w:rPr>
        <w:t>ועל יישומה בבית המשפט המחוזי במקרה דנן</w:t>
      </w:r>
      <w:r>
        <w:rPr>
          <w:rtl w:val="true"/>
        </w:rPr>
        <w:t xml:space="preserve">. </w:t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שעניינו 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>נועד להוביל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לאחידות בענישה ולעצב בצורה תחומה וברורה את מלאכת גזירת העונש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בליבה של מלאכה זו</w:t>
      </w:r>
      <w:r>
        <w:rPr>
          <w:rtl w:val="true"/>
        </w:rPr>
        <w:t xml:space="preserve">, </w:t>
      </w:r>
      <w:r>
        <w:rPr>
          <w:rtl w:val="true"/>
        </w:rPr>
        <w:t>המחוקק מורה כי בית המשפט יקבע מתחם עונש הולם לעבירה לאור עיקרון ההלימה ובהתחשב בנסיבות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>בית המשפט יגזור על הנאשם את עונשו</w:t>
      </w:r>
      <w:r>
        <w:rPr>
          <w:rtl w:val="true"/>
        </w:rPr>
        <w:t xml:space="preserve">, </w:t>
      </w:r>
      <w:r>
        <w:rPr>
          <w:rtl w:val="true"/>
        </w:rPr>
        <w:t>ככלל בגדרי המתחם שנקבע בהתחשב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ובמקרים חריגים בית המשפט רשאי לסטות ממתחם העונש לחומרה או לקולה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 בית המשפט לגזור את העונש בגדרי המתחם</w:t>
      </w:r>
      <w:r>
        <w:rPr>
          <w:rtl w:val="true"/>
        </w:rPr>
        <w:t xml:space="preserve">, </w:t>
      </w:r>
      <w:r>
        <w:rPr>
          <w:rtl w:val="true"/>
        </w:rPr>
        <w:t>הוא נדרש לשקול שיקולים שונים לחומרה או לקולה</w:t>
      </w:r>
      <w:r>
        <w:rPr>
          <w:rtl w:val="true"/>
        </w:rPr>
        <w:t xml:space="preserve">, </w:t>
      </w:r>
      <w:r>
        <w:rPr>
          <w:rtl w:val="true"/>
        </w:rPr>
        <w:t xml:space="preserve">בהתאם למצוות המחוקק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hyperlink r:id="rId5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; </w:t>
      </w:r>
      <w:hyperlink r:id="rId52"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; </w:t>
      </w:r>
      <w:hyperlink r:id="rId53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), </w:t>
      </w:r>
      <w:r>
        <w:rPr>
          <w:rtl w:val="true"/>
        </w:rPr>
        <w:t>וכך נעה נקודת האיזון בתוככי מתחם העונש ההולם</w:t>
      </w:r>
      <w:r>
        <w:rPr>
          <w:rtl w:val="true"/>
        </w:rPr>
        <w:t xml:space="preserve">, </w:t>
      </w:r>
      <w:r>
        <w:rPr>
          <w:rtl w:val="true"/>
        </w:rPr>
        <w:t>עד אשר היא מתייצבת על העונש המדויק שייגזר על הנאשם</w:t>
      </w:r>
      <w:r>
        <w:rPr>
          <w:rtl w:val="true"/>
        </w:rPr>
        <w:t xml:space="preserve">. </w:t>
      </w:r>
      <w:r>
        <w:rPr>
          <w:rtl w:val="true"/>
        </w:rPr>
        <w:t>כשם שכדי לגזור עונש בקצה העליון של המתחם נדרש הצטברות נסיבות חמורות המקהות את משקלן של הנסיבות המקלות</w:t>
      </w:r>
      <w:r>
        <w:rPr>
          <w:rtl w:val="true"/>
        </w:rPr>
        <w:t xml:space="preserve">, </w:t>
      </w:r>
      <w:r>
        <w:rPr>
          <w:rtl w:val="true"/>
        </w:rPr>
        <w:t>כדי שייגזר עונש בקצה התחתון של המתחם נדרשות נסיבות מקלות לזכותו של נאשם</w:t>
      </w:r>
      <w:r>
        <w:rPr>
          <w:rtl w:val="true"/>
        </w:rPr>
        <w:t xml:space="preserve">, </w:t>
      </w:r>
      <w:r>
        <w:rPr>
          <w:rtl w:val="true"/>
        </w:rPr>
        <w:t>הגוברות על הנסיבות החמורות הקיימות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ביישום האמור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בהינתן שיקול כבד משקל כהרתעת הרבים </w:t>
      </w:r>
      <w:r>
        <w:rPr>
          <w:rtl w:val="true"/>
        </w:rPr>
        <w:t>–</w:t>
      </w:r>
      <w:r>
        <w:rPr>
          <w:rtl w:val="true"/>
        </w:rPr>
        <w:t xml:space="preserve"> לחומרה</w:t>
      </w:r>
      <w:r>
        <w:rPr>
          <w:rtl w:val="true"/>
        </w:rPr>
        <w:t xml:space="preserve">, </w:t>
      </w:r>
      <w:r>
        <w:rPr>
          <w:rtl w:val="true"/>
        </w:rPr>
        <w:t>לא היה מוצדק לגזור את העונש בתחתית המתחם בהעדר נסיבות מקלות למכביר</w:t>
      </w:r>
      <w:r>
        <w:rPr>
          <w:rtl w:val="true"/>
        </w:rPr>
        <w:t xml:space="preserve">, </w:t>
      </w:r>
      <w:r>
        <w:rPr>
          <w:rtl w:val="true"/>
        </w:rPr>
        <w:t>אשר בעוצמתן מאיינות את השפעת הנסיבה לחומרה</w:t>
      </w:r>
      <w:r>
        <w:rPr>
          <w:rtl w:val="true"/>
        </w:rPr>
        <w:t xml:space="preserve">, </w:t>
      </w:r>
      <w:r>
        <w:rPr>
          <w:rtl w:val="true"/>
        </w:rPr>
        <w:t xml:space="preserve">ונסיבות מעין אלו </w:t>
      </w:r>
      <w:r>
        <w:rPr>
          <w:rtl w:val="true"/>
        </w:rPr>
        <w:t>–</w:t>
      </w:r>
      <w:r>
        <w:rPr>
          <w:rtl w:val="true"/>
        </w:rPr>
        <w:t xml:space="preserve"> אין בנדון דנן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כלל לא היה מקום לגזור את עונשו של המשיב בתחתית מתחם העונש ההולם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בסיכומם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יצוין ביחס להשוואה שערכה באת</w:t>
      </w:r>
      <w:r>
        <w:rPr>
          <w:rtl w:val="true"/>
        </w:rPr>
        <w:t>-</w:t>
      </w:r>
      <w:r>
        <w:rPr>
          <w:rtl w:val="true"/>
        </w:rPr>
        <w:t>כוח המשיב בין העונש שנגזר על ג</w:t>
      </w:r>
      <w:r>
        <w:rPr>
          <w:rtl w:val="true"/>
        </w:rPr>
        <w:t>'</w:t>
      </w:r>
      <w:r>
        <w:rPr>
          <w:rtl w:val="true"/>
        </w:rPr>
        <w:t>בר לבין עונשו של המשיב כי ג</w:t>
      </w:r>
      <w:r>
        <w:rPr>
          <w:rtl w:val="true"/>
        </w:rPr>
        <w:t>'</w:t>
      </w:r>
      <w:r>
        <w:rPr>
          <w:rtl w:val="true"/>
        </w:rPr>
        <w:t>בר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הכנסת חומר אסור מסוכן 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הסוהר</w:t>
        </w:r>
      </w:hyperlink>
      <w:r>
        <w:rPr>
          <w:rtl w:val="true"/>
        </w:rPr>
        <w:t xml:space="preserve"> בלבד</w:t>
      </w:r>
      <w:r>
        <w:rPr>
          <w:rtl w:val="true"/>
        </w:rPr>
        <w:t xml:space="preserve">, </w:t>
      </w:r>
      <w:r>
        <w:rPr>
          <w:rtl w:val="true"/>
        </w:rPr>
        <w:t>בעוד המשיב הורשע במספר עבירות שוחד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אף ביחס למעשיו של 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מעשי המשיב חמורים ביותר נוכח מספר העבירות</w:t>
      </w:r>
      <w:r>
        <w:rPr>
          <w:rtl w:val="true"/>
        </w:rPr>
        <w:t xml:space="preserve">, </w:t>
      </w:r>
      <w:r>
        <w:rPr>
          <w:rtl w:val="true"/>
        </w:rPr>
        <w:t>היקפן ומשך התרחשותן</w:t>
      </w:r>
      <w:r>
        <w:rPr>
          <w:rtl w:val="true"/>
        </w:rPr>
        <w:t xml:space="preserve">; </w:t>
      </w:r>
      <w:r>
        <w:rPr>
          <w:rtl w:val="true"/>
        </w:rPr>
        <w:t>העובדה שהמשיב לקח שוחד מג</w:t>
      </w:r>
      <w:r>
        <w:rPr>
          <w:rtl w:val="true"/>
        </w:rPr>
        <w:t>'</w:t>
      </w:r>
      <w:r>
        <w:rPr>
          <w:rtl w:val="true"/>
        </w:rPr>
        <w:t>בר ומאמיר באירועים שונים</w:t>
      </w:r>
      <w:r>
        <w:rPr>
          <w:rtl w:val="true"/>
        </w:rPr>
        <w:t xml:space="preserve">; </w:t>
      </w:r>
      <w:r>
        <w:rPr>
          <w:rtl w:val="true"/>
        </w:rPr>
        <w:t>ונוכח העובדה כי המשיב מעל באמון הציבורי שניתן בו בתפקידו כסוהר וכשל באחריות המוטלת על כתפיו לעמוד בשער מפני החדרת סמים וחומרים מסוכנים אסורים לכותלי הכלא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מעשיו של המשיב מכתימים את ארגון שירות בתי הסוהר</w:t>
      </w:r>
      <w:r>
        <w:rPr>
          <w:rtl w:val="true"/>
        </w:rPr>
        <w:t xml:space="preserve">, </w:t>
      </w:r>
      <w:r>
        <w:rPr>
          <w:rtl w:val="true"/>
        </w:rPr>
        <w:t>על משרתיו</w:t>
      </w:r>
      <w:r>
        <w:rPr>
          <w:rtl w:val="true"/>
        </w:rPr>
        <w:t xml:space="preserve">, </w:t>
      </w:r>
      <w:r>
        <w:rPr>
          <w:rtl w:val="true"/>
        </w:rPr>
        <w:t>אשר מדי יום עושים את מלאכתם המורכבת במקצועיות ובצניעות</w:t>
      </w:r>
      <w:r>
        <w:rPr>
          <w:rtl w:val="true"/>
        </w:rPr>
        <w:t xml:space="preserve">, </w:t>
      </w:r>
      <w:r>
        <w:rPr>
          <w:rtl w:val="true"/>
        </w:rPr>
        <w:t>אף שלעיתים הם נחבאים אל הכלים ונחשפים רק באירועים עגומים כבענייננו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לאחרונה</w:t>
      </w:r>
      <w:r>
        <w:rPr>
          <w:rtl w:val="true"/>
        </w:rPr>
        <w:t xml:space="preserve">, </w:t>
      </w:r>
      <w:r>
        <w:rPr>
          <w:rtl w:val="true"/>
        </w:rPr>
        <w:t>במסגרת ביקורי שופטי בית המשפט העליון בבתי הכלא השונים ברחבי הארץ</w:t>
      </w:r>
      <w:r>
        <w:rPr>
          <w:rtl w:val="true"/>
        </w:rPr>
        <w:t xml:space="preserve">, </w:t>
      </w:r>
      <w:r>
        <w:rPr>
          <w:rtl w:val="true"/>
        </w:rPr>
        <w:t xml:space="preserve">ביקרתי בבית הסוהר </w:t>
      </w:r>
      <w:r>
        <w:rPr>
          <w:rtl w:val="true"/>
        </w:rPr>
        <w:t>"</w:t>
      </w:r>
      <w:r>
        <w:rPr>
          <w:rtl w:val="true"/>
        </w:rPr>
        <w:t>דמון</w:t>
      </w:r>
      <w:r>
        <w:rPr>
          <w:rtl w:val="true"/>
        </w:rPr>
        <w:t xml:space="preserve">", </w:t>
      </w:r>
      <w:r>
        <w:rPr>
          <w:rtl w:val="true"/>
        </w:rPr>
        <w:t>פגשתי בסגל בית הכלא ובקציני שירות בתי הסוהר</w:t>
      </w:r>
      <w:r>
        <w:rPr>
          <w:rtl w:val="true"/>
        </w:rPr>
        <w:t xml:space="preserve">, </w:t>
      </w:r>
      <w:r>
        <w:rPr>
          <w:rtl w:val="true"/>
        </w:rPr>
        <w:t>ומסקנתי האמורה התחזקה כפליים</w:t>
      </w:r>
      <w:r>
        <w:rPr>
          <w:rtl w:val="true"/>
        </w:rPr>
        <w:t xml:space="preserve">. </w:t>
      </w:r>
      <w:r>
        <w:rPr>
          <w:rtl w:val="true"/>
        </w:rPr>
        <w:t>מדובר בארגון איכותי שמשרתיו מסורים לעבודתם</w:t>
      </w:r>
      <w:r>
        <w:rPr>
          <w:rtl w:val="true"/>
        </w:rPr>
        <w:t xml:space="preserve">, </w:t>
      </w:r>
      <w:r>
        <w:rPr>
          <w:rtl w:val="true"/>
        </w:rPr>
        <w:t>ואשר מבצע משימותיו בשליחות למען רווחת אזרחי ישראל ותוך דאגה לזכויות אסירי בתי הכלא</w:t>
      </w:r>
      <w:r>
        <w:rPr>
          <w:rtl w:val="true"/>
        </w:rPr>
        <w:t xml:space="preserve">; </w:t>
      </w:r>
      <w:r>
        <w:rPr>
          <w:rtl w:val="true"/>
        </w:rPr>
        <w:t>שיקומם והכנתם לקראת יציאה לחופשי</w:t>
      </w:r>
      <w:r>
        <w:rPr>
          <w:rtl w:val="true"/>
        </w:rPr>
        <w:t xml:space="preserve">; </w:t>
      </w:r>
      <w:r>
        <w:rPr>
          <w:rtl w:val="true"/>
        </w:rPr>
        <w:t>והשתלבותם בחברה עם תום ריצוי עונשם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</w:t>
      </w:r>
      <w:r>
        <w:rPr>
          <w:rtl w:val="true"/>
        </w:rPr>
        <w:t>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23.6.2022</w:t>
      </w:r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3.8.2022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31.8.2022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המשיב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ביום </w:t>
      </w:r>
      <w:r>
        <w:rPr/>
        <w:t>19.10.2022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 דקל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20.9.2022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22032440</w:t>
      </w:r>
      <w:r>
        <w:rPr>
          <w:sz w:val="16"/>
          <w:rtl w:val="true"/>
        </w:rPr>
        <w:t>_</w:t>
      </w:r>
      <w:r>
        <w:rPr>
          <w:sz w:val="16"/>
        </w:rPr>
        <w:t>J03.docx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54678313-3244/22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3244/22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אלירן ערן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18867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i.a.5" TargetMode="External"/><Relationship Id="rId9" Type="http://schemas.openxmlformats.org/officeDocument/2006/relationships/hyperlink" Target="http://www.nevo.co.il/law/70301/290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b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/7.c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75015" TargetMode="External"/><Relationship Id="rId17" Type="http://schemas.openxmlformats.org/officeDocument/2006/relationships/hyperlink" Target="http://www.nevo.co.il/law/75015/52.b.1.c" TargetMode="External"/><Relationship Id="rId18" Type="http://schemas.openxmlformats.org/officeDocument/2006/relationships/hyperlink" Target="http://www.nevo.co.il/law/75015/52.b.1.d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7188678" TargetMode="External"/><Relationship Id="rId21" Type="http://schemas.openxmlformats.org/officeDocument/2006/relationships/hyperlink" Target="http://www.nevo.co.il/law/70301/290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13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290.a" TargetMode="External"/><Relationship Id="rId27" Type="http://schemas.openxmlformats.org/officeDocument/2006/relationships/hyperlink" Target="http://www.nevo.co.il/law/75015/52.b.1.c" TargetMode="External"/><Relationship Id="rId28" Type="http://schemas.openxmlformats.org/officeDocument/2006/relationships/hyperlink" Target="http://www.nevo.co.il/law/75015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290.a" TargetMode="External"/><Relationship Id="rId31" Type="http://schemas.openxmlformats.org/officeDocument/2006/relationships/hyperlink" Target="http://www.nevo.co.il/law/4216/13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0301/25" TargetMode="External"/><Relationship Id="rId34" Type="http://schemas.openxmlformats.org/officeDocument/2006/relationships/hyperlink" Target="http://www.nevo.co.il/law/70301/290.a" TargetMode="External"/><Relationship Id="rId35" Type="http://schemas.openxmlformats.org/officeDocument/2006/relationships/hyperlink" Target="http://www.nevo.co.il/law/4216/7.a" TargetMode="External"/><Relationship Id="rId36" Type="http://schemas.openxmlformats.org/officeDocument/2006/relationships/hyperlink" Target="http://www.nevo.co.il/law/4216/7.c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law/4216/13" TargetMode="External"/><Relationship Id="rId39" Type="http://schemas.openxmlformats.org/officeDocument/2006/relationships/hyperlink" Target="http://www.nevo.co.il/law/70301/40i.a.5" TargetMode="External"/><Relationship Id="rId40" Type="http://schemas.openxmlformats.org/officeDocument/2006/relationships/hyperlink" Target="http://www.nevo.co.il/case/28326750" TargetMode="External"/><Relationship Id="rId41" Type="http://schemas.openxmlformats.org/officeDocument/2006/relationships/hyperlink" Target="http://www.nevo.co.il/case/27841905" TargetMode="External"/><Relationship Id="rId42" Type="http://schemas.openxmlformats.org/officeDocument/2006/relationships/hyperlink" Target="http://www.nevo.co.il/case/27319813" TargetMode="External"/><Relationship Id="rId43" Type="http://schemas.openxmlformats.org/officeDocument/2006/relationships/hyperlink" Target="http://www.nevo.co.il/case/26310439" TargetMode="External"/><Relationship Id="rId44" Type="http://schemas.openxmlformats.org/officeDocument/2006/relationships/hyperlink" Target="http://www.nevo.co.il/case/16941539" TargetMode="External"/><Relationship Id="rId45" Type="http://schemas.openxmlformats.org/officeDocument/2006/relationships/hyperlink" Target="http://www.nevo.co.il/case/28506667" TargetMode="External"/><Relationship Id="rId46" Type="http://schemas.openxmlformats.org/officeDocument/2006/relationships/hyperlink" Target="http://www.nevo.co.il/case/21755472" TargetMode="External"/><Relationship Id="rId47" Type="http://schemas.openxmlformats.org/officeDocument/2006/relationships/hyperlink" Target="http://www.nevo.co.il/case/21474216" TargetMode="External"/><Relationship Id="rId48" Type="http://schemas.openxmlformats.org/officeDocument/2006/relationships/hyperlink" Target="http://www.nevo.co.il/case/27925209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573417" TargetMode="External"/><Relationship Id="rId51" Type="http://schemas.openxmlformats.org/officeDocument/2006/relationships/hyperlink" Target="http://www.nevo.co.il/law/70301/40c.b" TargetMode="External"/><Relationship Id="rId52" Type="http://schemas.openxmlformats.org/officeDocument/2006/relationships/hyperlink" Target="http://www.nevo.co.il/law/70301/40g;40f" TargetMode="External"/><Relationship Id="rId53" Type="http://schemas.openxmlformats.org/officeDocument/2006/relationships/hyperlink" Target="http://www.nevo.co.il/law/70301/40ja;40jb" TargetMode="External"/><Relationship Id="rId54" Type="http://schemas.openxmlformats.org/officeDocument/2006/relationships/hyperlink" Target="http://www.nevo.co.il/law/75015/52.b.1.d" TargetMode="External"/><Relationship Id="rId55" Type="http://schemas.openxmlformats.org/officeDocument/2006/relationships/hyperlink" Target="http://www.nevo.co.il/law/75015" TargetMode="External"/><Relationship Id="rId56" Type="http://schemas.openxmlformats.org/officeDocument/2006/relationships/hyperlink" Target="http://www.nevo.co.il/case/27343412" TargetMode="External"/><Relationship Id="rId57" Type="http://schemas.openxmlformats.org/officeDocument/2006/relationships/hyperlink" Target="http://www.nevo.co.il/case/28778276" TargetMode="External"/><Relationship Id="rId58" Type="http://schemas.openxmlformats.org/officeDocument/2006/relationships/hyperlink" Target="http://www.nevo.co.il/case/27319813" TargetMode="External"/><Relationship Id="rId59" Type="http://schemas.openxmlformats.org/officeDocument/2006/relationships/hyperlink" Target="https://supreme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2022-09-20T18:48:00Z</dcterms:created>
  <dc:creator>h4</dc:creator>
  <dc:description/>
  <cp:keywords/>
  <dc:language>en-IL</dc:language>
  <cp:lastModifiedBy>orly</cp:lastModifiedBy>
  <cp:lastPrinted>2022-09-20T08:03:00Z</cp:lastPrinted>
  <dcterms:modified xsi:type="dcterms:W3CDTF">2022-09-20T18:48:00Z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אלירן ערן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27188678:2;28326750;27841905;27319813:2;26310439;16941539;28506667;21755472;21474216;27925209;5573417;27343412;28778276</vt:lpwstr>
  </property>
  <property fmtid="{D5CDD505-2E9C-101B-9397-08002B2CF9AE}" pid="9" name="CITY">
    <vt:lpwstr/>
  </property>
  <property fmtid="{D5CDD505-2E9C-101B-9397-08002B2CF9AE}" pid="10" name="DATE">
    <vt:lpwstr>20220920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אלרון;ח' כבוב;י' כשר</vt:lpwstr>
  </property>
  <property fmtid="{D5CDD505-2E9C-101B-9397-08002B2CF9AE}" pid="14" name="LAWLISTTMP1">
    <vt:lpwstr>70301/290.a:4;025:3;040i.a.5;040c.b;040g;040f;40ja;40jb</vt:lpwstr>
  </property>
  <property fmtid="{D5CDD505-2E9C-101B-9397-08002B2CF9AE}" pid="15" name="LAWLISTTMP2">
    <vt:lpwstr>4216/013:3;007.a;007.c</vt:lpwstr>
  </property>
  <property fmtid="{D5CDD505-2E9C-101B-9397-08002B2CF9AE}" pid="16" name="LAWLISTTMP3">
    <vt:lpwstr>75015/052.b.1.c;052.b.1.d</vt:lpwstr>
  </property>
  <property fmtid="{D5CDD505-2E9C-101B-9397-08002B2CF9AE}" pid="17" name="LAWYER">
    <vt:lpwstr>ליאורה גלאובך;נורית שני;אריה פטר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בתי סוהר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77;77;15;18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סוהרים</vt:lpwstr>
  </property>
  <property fmtid="{D5CDD505-2E9C-101B-9397-08002B2CF9AE}" pid="43" name="NOSE24">
    <vt:lpwstr>ערעור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1446;1446;349;504</vt:lpwstr>
  </property>
  <property fmtid="{D5CDD505-2E9C-101B-9397-08002B2CF9AE}" pid="50" name="NOSE31">
    <vt:lpwstr>מדיניות ענישה: שוחד ושחיתות</vt:lpwstr>
  </property>
  <property fmtid="{D5CDD505-2E9C-101B-9397-08002B2CF9AE}" pid="51" name="NOSE310">
    <vt:lpwstr/>
  </property>
  <property fmtid="{D5CDD505-2E9C-101B-9397-08002B2CF9AE}" pid="52" name="NOSE32">
    <vt:lpwstr>הבניית שיקול הדעת השיפוטי בענישה</vt:lpwstr>
  </property>
  <property fmtid="{D5CDD505-2E9C-101B-9397-08002B2CF9AE}" pid="53" name="NOSE33">
    <vt:lpwstr>עבירות</vt:lpwstr>
  </property>
  <property fmtid="{D5CDD505-2E9C-101B-9397-08002B2CF9AE}" pid="54" name="NOSE34">
    <vt:lpwstr>התערבות במידת העונש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13985;15573;3645;15230</vt:lpwstr>
  </property>
  <property fmtid="{D5CDD505-2E9C-101B-9397-08002B2CF9AE}" pid="61" name="PADIDATE">
    <vt:lpwstr>20220921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3244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410120220920</vt:lpwstr>
  </property>
  <property fmtid="{D5CDD505-2E9C-101B-9397-08002B2CF9AE}" pid="71" name="TYPE_N_DATE">
    <vt:lpwstr>41020220920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