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3249/19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סמרה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פיסהיי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10144-04-18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1.8.2019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צור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Start w:id="12" w:name="LawTable_End"/>
      <w:bookmarkEnd w:id="11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ולנזקיה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סכינאות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מכפיל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ולנזקיה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סכינאות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מכפיל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מצערות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וכואבות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שהביאן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cs="FrankRuehl"/>
          <w:bCs w:val="false"/>
          <w:sz w:val="24"/>
          <w:szCs w:val="26"/>
          <w:u w:val="none"/>
        </w:rPr>
      </w:pPr>
      <w:r>
        <w:rPr>
          <w:rFonts w:cs="FrankRuehl"/>
          <w:bCs w:val="false"/>
          <w:sz w:val="24"/>
          <w:szCs w:val="26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BODYVERDICT"/>
        <w:ind w:end="0"/>
        <w:jc w:val="center"/>
        <w:rPr>
          <w:sz w:val="32"/>
          <w:szCs w:val="32"/>
        </w:rPr>
      </w:pPr>
      <w:bookmarkStart w:id="15" w:name="PsakDin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6" w:name="PsakDin"/>
      <w:bookmarkStart w:id="17" w:name="Writer_Name"/>
      <w:bookmarkEnd w:id="16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24.3.2019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10144-04-18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הימן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28.3.2018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באקראי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מהויכוח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בדחיפות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הדדיות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אגרוף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הממוקמת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אהרוג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אותך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משהורחק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חתך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מאריתריאה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הפוליטי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בארצו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התרועע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אינטנסיבי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מלכישוע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מעורפל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והבהיר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האמור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שסיכנו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חמורים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שיעור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מעניינו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השתלבותו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מכביד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מעקבי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ונבחנת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לגמילה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1.8.2019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האשפוז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שלשיטתה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</w:t>
      </w:r>
      <w:r>
        <w:rPr>
          <w:rFonts w:ascii="Century" w:hAnsi="Century" w:cs="FrankRuehl"/>
          <w:spacing w:val="10"/>
          <w:szCs w:val="28"/>
          <w:rtl w:val="true"/>
        </w:rPr>
        <w:t>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לכשיסיים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בחנ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ולנזקיה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סכינאות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ההצטיידות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בסכינים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הגנה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עצמית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לתכלית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מהווה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מכפיל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שיוצר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פוטנציאל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משמעותי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ורב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7682/18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עלקם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4.4.2019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מלכישוע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וכואבות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שהביאן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פיסהיי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טת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ע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ברון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5.8.2019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19032490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54678313-3249/19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3249/19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סמרה פיסהיי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40j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25092075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2019-08-05T11:49:00Z</dcterms:created>
  <dc:creator>h4</dc:creator>
  <dc:description/>
  <cp:keywords/>
  <dc:language>en-IL</dc:language>
  <cp:lastModifiedBy>orly</cp:lastModifiedBy>
  <cp:lastPrinted>2019-08-05T12:04:00Z</cp:lastPrinted>
  <dcterms:modified xsi:type="dcterms:W3CDTF">2019-08-06T07:36:00Z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סמרה פיסהיי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5875466;25092075</vt:lpwstr>
  </property>
  <property fmtid="{D5CDD505-2E9C-101B-9397-08002B2CF9AE}" pid="9" name="CITY">
    <vt:lpwstr/>
  </property>
  <property fmtid="{D5CDD505-2E9C-101B-9397-08002B2CF9AE}" pid="10" name="DATE">
    <vt:lpwstr>20190805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70301/333;335.a.1;040j</vt:lpwstr>
  </property>
  <property fmtid="{D5CDD505-2E9C-101B-9397-08002B2CF9AE}" pid="15" name="LAWYER">
    <vt:lpwstr>עילית מידן;שמרית צור;ברכה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תופעת הסכינאות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17039;18248</vt:lpwstr>
  </property>
  <property fmtid="{D5CDD505-2E9C-101B-9397-08002B2CF9AE}" pid="59" name="PADIDATE">
    <vt:lpwstr>20190806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3249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410120190805</vt:lpwstr>
  </property>
  <property fmtid="{D5CDD505-2E9C-101B-9397-08002B2CF9AE}" pid="69" name="TYPE_N_DATE">
    <vt:lpwstr>41020190805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