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325/21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ניניו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058332-09-19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סודרי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  <w:r>
              <w:rPr>
                <w:rtl w:val="true"/>
              </w:rPr>
              <w:t>,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אחרק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הגנה על בריאות הציבור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מזון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2015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7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שירות הציבור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מתנות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1979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תקנות שירות הציבור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מתנות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1980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במתן שוחד וטובות הנאה בהיקף כספי ניכר למספר עובדי ציבור בשירות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במבט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חומרת העבירות שביצע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ובמיוחד לנוכח חשיבותם של הערכים המוגנים שביסוד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ובראשם טוהר המידות של עובדי הציבור ואמון הציבור ברשויות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על פי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ואך ורק לנוכח עיקרון אחידות הענישה וכן לנוכח 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 הקל ברכיב עונש המאסר בפועל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שוחד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סיווגן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מירמה והפרת אמונים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קנס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בגדרו נגזרו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מותנים וקנס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300,000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הרשעתו בעבירות של מתן שוחד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תיווך בשוחד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וסיוע להפרת אמונים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ארבע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בפרשת שחיתות בשירות המזון הארצי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גוף במשרד הבריאות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המופקד על פיקוח על המזון המיוצר בארץ והמיובא אליה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לחוק הגנה על בריאות הציבור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 המזון קובע הסדרים שונים לייבוא 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המבקש לייבא מזון נדרש לאישור מטעם 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העניק לשני עובדים בשירות המזון שוחד כספי וטובות הנאה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 מצטבר של עשרות אלפי שקלים לעובד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העובדים קידמו את ענייניו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נהג להעניק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בהזדמנויות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סכומי כסף של מאות שקלים ועד </w:t>
      </w:r>
      <w:r>
        <w:rPr>
          <w:rFonts w:cs="Times New Roman" w:ascii="Times New Roman" w:hAnsi="Times New Roman"/>
          <w:spacing w:val="0"/>
          <w:sz w:val="24"/>
          <w:szCs w:val="26"/>
        </w:rPr>
        <w:t>1,000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ומתנות שונות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כשהעובדות המשיכו להעניק לו שירות במסגרת תפקידן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קיבל משך שנים כספים ממנהל של חברה שהעסיקה אותו כיועץ 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שייתן שוחד לעובדי 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חשד שהכספים ניתנו לו למטרת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נמנע מלברר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יצויין כי בפרשה זו הוגשו כתבי אישום נגד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נאשמים במתן שוחד וטובות הנאה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הוגשו כתבי אישום נגד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עובדי 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הבהיר כי עניינו של המערער הינו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 מבין הנאשמים נותני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בהיעדר הסדרי הטיעון המקלים עם יתר הנאשמים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היה משית עליו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חמור משמעותית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המשנה לנשיאה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באופן חלקי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במתן שוחד וטובות הנאה בהיקף כספי ניכר למספר עובדי ציבור בשירות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במבט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העונש שהושת על המערער הולם את חומרת העבירות שביצע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ובמיוחד לנוכח חשיבותם של הערכים המוגנים שביסוד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שעליהם עמד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ובראשם טוהר המידות של עובדי הציבור ואמון הציבור ברשויות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עונשי המאסר שהושתו עליו בגין עבירות הסיוע למרמה והפרת אמונים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5-4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לכל אחת מארבע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חורגים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לשיטתו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במדרג הנמוך ביותר על סף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ועצם ההרשעה הפלילית של מי שאינו עובד ציבור בעבירה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בגדר סנקציה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 מהפסיקה שאליה הפנה המערער עולה כי רף הענישה בערכאות הדיוניות בעבירה של סיוע לעבירת מרמה והפרת אמונים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נמוך מזה שהשית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להצדיק התערבות בעונש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שהפסיקה שהגיש משקפת את רף הענישה הנוהג בעבירה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הגיעה העת להכריז כי יש להעלות את הרף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במעשי שחיתות שחודרים דרך הרקמות הרכות של השירות הציבורי ופוגעים בשלד של טוהר המידות ואמון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שבלעדיהם הולך ומיטשטש המרחק בין מדינה מתוקנת לבין מדינת עולם שלישי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 הגבול בין המעשים שבהם הורשע המערער לבין עבירת השוחד הוא דק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למותר להזכיר כי המערער הורשע גם בשתי עבירות 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הערך המוגן הוא דומה אם לא זהה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ומדובר בעבירה המכרסמת בתקינות המינהל ומסמלת שחיתות מערכתית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דרכו של עולם כי בין נותני שירות למקבלי שירות נוצרים לעיתים קשרים בינאישיים על רקע העבודה המשותפת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רע בכך שנותן השירות יעניק שירות טוב ומחויך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וינסה לסייע למקבל השירות להיאבק בנפתולי הבירוקרטיה במקום עבודתו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קו הגבול הוא ברור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ומסומן על ידי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שירות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הציבור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מתנות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ידי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תקנות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שירות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הציבור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מתנות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חציית הגבול פוגעת בטוהר המידות של פקידי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 לשבש את שיקול הדעת שנתון להם ועלולה להביא לכך שהשירות הציבורי ייתפס בעיני הציבור כמושחת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עניינה של עבירת המרמה והפרת האמונים הנו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 הכול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בעובד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אזרח שאינו עובד ציבור עשוי להיות מורשע כמסייע לעובד ציבור המפר אמונים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המתנות וטובות ההנאה שהרעיף המערער לאורך זמן ובאופן שיטתי על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עובדי שירות המזון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מציבים את עניינו ברף החמור של עבירת הסיוע למרמה והפרת אמונים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לא נמצא להתערב בעונשו בהיבט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בקשר לעבירת השוחד צוין בין היתר כי גם אם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מקובל לראות את עניינם של מקבלי השוחד כחמור מזה של נותני 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שיש לבחון את נותן השוחד במקרה הקונקרטי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וטובות הנאה באופן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סדרתי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לאורך זמן ובאופן שיטתי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דומה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באותה מידה כמו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בעובד 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למעט בחלקו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שהורשע בשור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אירועי מתן שוחד וטובות הנאה לאורך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לפגיעה בתקינות המינהל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בהיבט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הולם ואף ברף המתון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על פי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ואך ורק לנוכח עיקרון אחידות הענישה והעונשים המקלים שהוטלו על כל המעורבים האחרים בפרשה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לנוכח נסיבותיו האישיות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שתוארו בגזר הדין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ובתסקיר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מצא להקל ברכיב עונש המאסר בפועל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באופן שירצה </w:t>
      </w:r>
      <w:r>
        <w:rPr>
          <w:rFonts w:cs="Times New Roman" w:ascii="Times New Roman" w:hAnsi="Times New Roman"/>
          <w:spacing w:val="0"/>
          <w:sz w:val="24"/>
          <w:szCs w:val="26"/>
        </w:rPr>
        <w:t>24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בפועל חלף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המאסר שהושתו עליו על 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ייוותרו על כנם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בשולי הדברים צוין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לא נמצא להתערב בשיעור הקנס הכספי שהוטל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כפי שהובהר פעמים רבות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מקום להטיל קנסות משמעותיים על מי שהורשעו בעבירות כלכליות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לשלול את טובת ההנאה שהפיק העבריין ממעשה העבירה ולהרתיעו על ידי פגיעה בכיסו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לשווי של טובת ההנאה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  <w:tab/>
      </w:r>
      <w:r>
        <w:rPr>
          <w:rFonts w:ascii="Century" w:hAnsi="Century" w:cs="Century"/>
          <w:sz w:val="20"/>
          <w:sz w:val="20"/>
          <w:rtl w:val="true"/>
        </w:rPr>
        <w:t>ערעור על גזר דינו של בית המשפט המחוזי בתל אביב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ascii="Century" w:hAnsi="Century" w:cs="Century"/>
          <w:sz w:val="20"/>
          <w:sz w:val="20"/>
          <w:rtl w:val="true"/>
        </w:rPr>
        <w:t xml:space="preserve">יפו 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ascii="Century" w:hAnsi="Century" w:cs="Century"/>
          <w:sz w:val="20"/>
          <w:sz w:val="20"/>
          <w:rtl w:val="true"/>
        </w:rPr>
        <w:t>כב</w:t>
      </w:r>
      <w:r>
        <w:rPr>
          <w:rFonts w:cs="Century" w:ascii="Century" w:hAnsi="Century"/>
          <w:sz w:val="20"/>
          <w:rtl w:val="true"/>
        </w:rPr>
        <w:t xml:space="preserve">' </w:t>
      </w:r>
      <w:r>
        <w:rPr>
          <w:rFonts w:ascii="Century" w:hAnsi="Century" w:cs="Century"/>
          <w:sz w:val="20"/>
          <w:sz w:val="20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sz w:val="20"/>
          <w:rtl w:val="true"/>
        </w:rPr>
        <w:t xml:space="preserve">) </w:t>
      </w:r>
      <w:r>
        <w:rPr>
          <w:rFonts w:ascii="Century" w:hAnsi="Century" w:cs="Century"/>
          <w:sz w:val="20"/>
          <w:sz w:val="20"/>
          <w:rtl w:val="true"/>
        </w:rPr>
        <w:t xml:space="preserve">מיום </w:t>
      </w:r>
      <w:r>
        <w:rPr>
          <w:rFonts w:cs="Century" w:ascii="Century" w:hAnsi="Century"/>
          <w:sz w:val="20"/>
        </w:rPr>
        <w:t>7.12.2020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בגדרו נגזרו על המערער </w:t>
      </w:r>
      <w:r>
        <w:rPr>
          <w:rFonts w:cs="Century" w:ascii="Century" w:hAnsi="Century"/>
          <w:sz w:val="20"/>
        </w:rPr>
        <w:t>30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חודשי מאסר בפועל</w:t>
      </w:r>
      <w:r>
        <w:rPr>
          <w:rFonts w:cs="Century" w:ascii="Century" w:hAnsi="Century"/>
          <w:sz w:val="20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הליכים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קודמים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שירות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גוף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והמיובא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הגנה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בריאות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הציבור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מזון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למהנדסי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עיתוי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ומספרן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מהנמל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למפקחי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ההסגר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שבודקים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הייבוא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ומחליטים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דגימות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ואישורים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" w:ascii="Century" w:hAnsi="Century"/>
            <w:spacing w:val="10"/>
            <w:szCs w:val="28"/>
          </w:rPr>
          <w:t>295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21">
        <w:r>
          <w:rPr>
            <w:rStyle w:val="Hyperlink"/>
            <w:rFonts w:cs="FrankRuehl" w:ascii="Century" w:hAnsi="Century"/>
            <w:spacing w:val="10"/>
            <w:szCs w:val="28"/>
          </w:rPr>
          <w:t>284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 w:ascii="Century" w:hAnsi="Century"/>
            <w:spacing w:val="10"/>
            <w:szCs w:val="28"/>
          </w:rPr>
          <w:t>31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פירוט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למשרדי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יידעו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ייבוא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וקיצרו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לקוחותיו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סכומי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הנוספות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סיטי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מייסדה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לספורטאים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בהוראת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הופרד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מתוקנים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והנאשמים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וניסיונו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143,000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ויושרם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פעילותם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השלטון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Cs w:val="28"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הודעת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וההליך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הנוכחי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והשיטתיות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21.1.2021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בהחלטתה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ברק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20.1.2021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ובראשם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rtl w:val="true"/>
        </w:rPr>
        <w:t>עבירת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הסיוע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להפרת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אמונים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5-4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סנקציה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ומתמצה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13771-01-16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כדורי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3.5.2016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3158-01-19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לנקרי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4.4.2019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50380-11-17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1886-01-19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ונונו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16.5.2019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62872-01-14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פרקליטות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מחוז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מרכז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אברג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14.6.2016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39300-12-15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27.3.2018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מהנדסת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הייבוא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מתפקידה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אחראית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שתכליתן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שכרוך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ייצורו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דיגום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2017-2012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סכומי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וצריכה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מארזי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וודקה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ובקבוקי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7,000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במקביל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כמהנדסת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הייבוא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וטיפלה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משיודעים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שחודרים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הרקמות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שבלעדיהם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ומיטשטש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מתוקנת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המכרסמת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ומסמלת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בינאישיים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המשותפת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ומחויך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בנפתולי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הבירוקרטיה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ומסומן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שירות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הציבור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מתנות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1979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שירות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הציבור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מתנות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חציית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כמושחת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כמסייע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bookmarkStart w:id="16" w:name="Seif0"/>
      <w:bookmarkEnd w:id="16"/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אחידות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נותני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טוקר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הועסק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האחרונים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לקוחותיו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58332-09-19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ניניו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5.3.2020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מלבסקי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58477-09-19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מלבסקי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26.10.2020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מלבסקי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בשוחד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קריספל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קריספל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51258-09-19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קריספל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19.5.2021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דביר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מזנשטיין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משהעניקו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דביר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העוסקים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בשוו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מזנשטיין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30,000-20,000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300-200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מבחן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ערעוריהם של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דביר וחיים לבית משפט זה נגד הרשעתם נתקבלו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ובית המשפט הורה על ביטול ההרשעה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לנוכח נסיבותיהם האישיות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הגם שהודגשה חומרתה של עבירת הפרת האמונים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שהשניים סייעו לעובדי שירות המזון לבצע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3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8169/20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26.8.2021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מסרואה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יבואן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500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7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בתפקידה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מכספו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תמיר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יבואן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שתי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בסך מצטבר של 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360,000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ובמתן שוחד באמצעות מתווך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עבירה אחת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פי </w:t>
      </w:r>
      <w:hyperlink r:id="rId37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291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בצירוף </w:t>
      </w:r>
      <w:hyperlink r:id="rId38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295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בסך של למעלה מ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35,000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בתמורה לטובות ההנאה שנתן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ביקש סיטי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קיצור משך תהליך הייבוא והפחתת עלויותיו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והימנעות מדיגום מוצרי מזון שנשאו תווית לא תקינה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סיטי חתם על הסכם עד מדינה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על הסדר טיעון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ובית המשפט השית עליו את העונש שעתרו לו הצדדים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חודשי מאסר בפועל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בניכוי </w:t>
      </w:r>
      <w:r>
        <w:rPr>
          <w:rFonts w:cs="FrankRuehl" w:ascii="FrankRuehl" w:hAnsi="FrankRuehl"/>
          <w:spacing w:val="10"/>
          <w:sz w:val="28"/>
          <w:szCs w:val="28"/>
        </w:rPr>
        <w:t>40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מאסר על תנאי וקנס בסך </w:t>
      </w:r>
      <w:r>
        <w:rPr>
          <w:rFonts w:cs="FrankRuehl" w:ascii="FrankRuehl" w:hAnsi="FrankRuehl"/>
          <w:spacing w:val="10"/>
          <w:sz w:val="28"/>
          <w:szCs w:val="28"/>
        </w:rPr>
        <w:t>500,000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לעובדי שירות המזון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הרי ששבעה מן המעורבים בפרשה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הואשמו בעבירות של לקיחת שוחד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תיווך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18-12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70,000-15,000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והשמטת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220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cs="FrankRuehl" w:ascii="Century" w:hAnsi="Century"/>
            <w:spacing w:val="10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מס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הכנסה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1961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ערעוריהם של חמישה מהעובדים תלויים ועומדים לפני בית משפט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ובגזרי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להבטיח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ולמנוע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cs="FrankRuehl"/>
          <w:spacing w:val="10"/>
          <w:szCs w:val="28"/>
          <w:rtl w:val="true"/>
        </w:rPr>
        <w:t>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כדוגמה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שהוזכר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בראייתי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מחתימתו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  <w:highlight w:val="yellow"/>
        </w:rPr>
      </w:pPr>
      <w:r>
        <w:rPr>
          <w:rFonts w:cs="FrankRuehl" w:ascii="Century" w:hAnsi="Century"/>
          <w:spacing w:val="10"/>
          <w:szCs w:val="28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ויוער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4115/08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גלעד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24.1.2011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  <w:highlight w:val="yellow"/>
        </w:rPr>
      </w:pPr>
      <w:r>
        <w:rPr>
          <w:rFonts w:cs="FrankRuehl" w:ascii="Century" w:hAnsi="Century"/>
          <w:spacing w:val="10"/>
          <w:szCs w:val="28"/>
          <w:highlight w:val="yellow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הנותן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3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290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44">
        <w:r>
          <w:rPr>
            <w:rStyle w:val="Hyperlink"/>
            <w:rFonts w:cs="FrankRuehl" w:ascii="Century" w:hAnsi="Century"/>
            <w:spacing w:val="10"/>
            <w:szCs w:val="28"/>
          </w:rPr>
          <w:t>291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הקונקרטי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סדרתי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סוף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נזדמן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Century" w:hAnsi="Century" w:cs="Century"/>
          <w:rtl w:val="true"/>
        </w:rPr>
        <w:t>עובד ציבור המקבל כסף במעטפה הוא סמל לשחיתות מערכתית ויש בתופעה זו כדי לפגוע אנושות באמון הציבור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איננו רוצים להידמות חלילה למדינות אחרות בהן רק שיטת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הבקשיש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השימוּן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מתחת לשולחן</w:t>
      </w:r>
      <w:r>
        <w:rPr>
          <w:rFonts w:cs="Century" w:ascii="Century" w:hAnsi="Century"/>
          <w:rtl w:val="true"/>
        </w:rPr>
        <w:t xml:space="preserve">' – </w:t>
      </w:r>
      <w:r>
        <w:rPr>
          <w:rFonts w:ascii="Century" w:hAnsi="Century" w:cs="Century"/>
          <w:rtl w:val="true"/>
        </w:rPr>
        <w:t>יהא הכינוי אשר יהא – היא השיטה היחידה בה האזרח הפשוט יכול לקבל את השירות המגיע לו כדת וכדין</w:t>
      </w:r>
      <w:r>
        <w:rPr>
          <w:rFonts w:cs="FrankRuehl" w:ascii="FrankRuehl" w:hAnsi="FrankRuehl"/>
          <w:sz w:val="28"/>
          <w:rtl w:val="true"/>
        </w:rPr>
        <w:t>" (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6202/11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0"/>
          <w:sz w:val="20"/>
          <w:szCs w:val="24"/>
          <w:rtl w:val="true"/>
        </w:rPr>
        <w:t>קבילו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23.11.2011</w:t>
      </w:r>
      <w:r>
        <w:rPr>
          <w:rFonts w:cs="FrankRuehl" w:ascii="FrankRuehl" w:hAnsi="FrankRuehl"/>
          <w:sz w:val="28"/>
          <w:rtl w:val="true"/>
        </w:rPr>
        <w:t>)).</w:t>
      </w:r>
    </w:p>
    <w:p>
      <w:pPr>
        <w:pStyle w:val="Ruller5"/>
        <w:ind w:end="1282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sz w:val="20"/>
        </w:rPr>
      </w:pPr>
      <w:r>
        <w:rPr>
          <w:rFonts w:cs="Century" w:ascii="Century" w:hAnsi="Century"/>
          <w:sz w:val="20"/>
          <w:rtl w:val="true"/>
        </w:rPr>
        <w:tab/>
      </w:r>
      <w:r>
        <w:rPr>
          <w:rFonts w:ascii="Century" w:hAnsi="Century" w:cs="Century"/>
          <w:sz w:val="20"/>
          <w:sz w:val="20"/>
          <w:rtl w:val="true"/>
        </w:rPr>
        <w:t>כידוע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 xml:space="preserve">אין </w:t>
      </w:r>
      <w:r>
        <w:rPr>
          <w:rFonts w:ascii="Century" w:hAnsi="Century" w:cs="Century"/>
          <w:sz w:val="20"/>
          <w:sz w:val="20"/>
          <w:rtl w:val="true"/>
        </w:rPr>
        <w:t>ענייננו בעובד ציבור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אולם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אין למעט בחלקו של המערער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שהורשע בשור</w:t>
      </w:r>
      <w:r>
        <w:rPr>
          <w:rFonts w:ascii="Century" w:hAnsi="Century" w:cs="Century"/>
          <w:sz w:val="20"/>
          <w:sz w:val="20"/>
          <w:rtl w:val="true"/>
        </w:rPr>
        <w:t xml:space="preserve">ת </w:t>
      </w:r>
      <w:r>
        <w:rPr>
          <w:rFonts w:ascii="Century" w:hAnsi="Century" w:cs="Century"/>
          <w:sz w:val="20"/>
          <w:sz w:val="20"/>
          <w:rtl w:val="true"/>
        </w:rPr>
        <w:t>אירועי מתן שוחד וטובות הנאה לאורך שנים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לפגיעה בתקינות המינהל הציבורי</w:t>
      </w:r>
      <w:r>
        <w:rPr>
          <w:rFonts w:cs="Century" w:ascii="Century" w:hAnsi="Century"/>
          <w:sz w:val="20"/>
          <w:rtl w:val="true"/>
        </w:rPr>
        <w:t>.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בהיבט זה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העונש שהושת על ידי בית המשפט קמא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הוא הולם ואף ברף המתון</w:t>
      </w:r>
      <w:r>
        <w:rPr>
          <w:rFonts w:cs="Century" w:ascii="Century" w:hAnsi="Century"/>
          <w:sz w:val="20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ייוותרו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כלכליות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ולהרתיעו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בכיסו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1656/16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דוידוביץ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20.3.2017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3.10.2021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10:00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בטלפונים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Cs w:val="28"/>
        </w:rPr>
        <w:t>08-9787377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08-9787336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eastAsia="Arial TUR;Arial Unicode MS" w:cs="Arial TUR;Arial Unicode MS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eastAsia="Arial TUR;Arial Unicode MS" w:cs="Arial TUR;Arial Unicode MS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/>
          <w:b/>
          <w:spacing w:val="0"/>
          <w:szCs w:val="24"/>
          <w:u w:val="single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29.8.2021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21003250</w:t>
      </w:r>
      <w:r>
        <w:rPr>
          <w:sz w:val="16"/>
          <w:rtl w:val="true"/>
        </w:rPr>
        <w:t>_</w:t>
      </w:r>
      <w:r>
        <w:rPr>
          <w:sz w:val="16"/>
        </w:rPr>
        <w:t>E04.docx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54678313-325/21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325/21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רפאל ניניו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65978" TargetMode="External"/><Relationship Id="rId3" Type="http://schemas.openxmlformats.org/officeDocument/2006/relationships/hyperlink" Target="http://www.nevo.co.il/law/7475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284" TargetMode="External"/><Relationship Id="rId7" Type="http://schemas.openxmlformats.org/officeDocument/2006/relationships/hyperlink" Target="http://www.nevo.co.il/law/70301/290" TargetMode="External"/><Relationship Id="rId8" Type="http://schemas.openxmlformats.org/officeDocument/2006/relationships/hyperlink" Target="http://www.nevo.co.il/law/70301/291" TargetMode="External"/><Relationship Id="rId9" Type="http://schemas.openxmlformats.org/officeDocument/2006/relationships/hyperlink" Target="http://www.nevo.co.il/law/70301/295.a" TargetMode="External"/><Relationship Id="rId10" Type="http://schemas.openxmlformats.org/officeDocument/2006/relationships/hyperlink" Target="http://www.nevo.co.il/law/70301/295.c" TargetMode="External"/><Relationship Id="rId11" Type="http://schemas.openxmlformats.org/officeDocument/2006/relationships/hyperlink" Target="http://www.nevo.co.il/law/70301/500.7" TargetMode="External"/><Relationship Id="rId12" Type="http://schemas.openxmlformats.org/officeDocument/2006/relationships/hyperlink" Target="http://www.nevo.co.il/law/5112" TargetMode="External"/><Relationship Id="rId13" Type="http://schemas.openxmlformats.org/officeDocument/2006/relationships/hyperlink" Target="http://www.nevo.co.il/law/5113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law/84255/220.1" TargetMode="External"/><Relationship Id="rId16" Type="http://schemas.openxmlformats.org/officeDocument/2006/relationships/hyperlink" Target="http://www.nevo.co.il/law/5112" TargetMode="External"/><Relationship Id="rId17" Type="http://schemas.openxmlformats.org/officeDocument/2006/relationships/hyperlink" Target="http://www.nevo.co.il/law/5113" TargetMode="External"/><Relationship Id="rId18" Type="http://schemas.openxmlformats.org/officeDocument/2006/relationships/hyperlink" Target="http://www.nevo.co.il/law/74757" TargetMode="External"/><Relationship Id="rId19" Type="http://schemas.openxmlformats.org/officeDocument/2006/relationships/hyperlink" Target="http://www.nevo.co.il/law/70301/291" TargetMode="External"/><Relationship Id="rId20" Type="http://schemas.openxmlformats.org/officeDocument/2006/relationships/hyperlink" Target="http://www.nevo.co.il/law/70301/295.a" TargetMode="External"/><Relationship Id="rId21" Type="http://schemas.openxmlformats.org/officeDocument/2006/relationships/hyperlink" Target="http://www.nevo.co.il/law/70301/284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0865311" TargetMode="External"/><Relationship Id="rId25" Type="http://schemas.openxmlformats.org/officeDocument/2006/relationships/hyperlink" Target="http://www.nevo.co.il/case/25281950" TargetMode="External"/><Relationship Id="rId26" Type="http://schemas.openxmlformats.org/officeDocument/2006/relationships/hyperlink" Target="http://www.nevo.co.il/case/23281121" TargetMode="External"/><Relationship Id="rId27" Type="http://schemas.openxmlformats.org/officeDocument/2006/relationships/hyperlink" Target="http://www.nevo.co.il/case/25280645" TargetMode="External"/><Relationship Id="rId28" Type="http://schemas.openxmlformats.org/officeDocument/2006/relationships/hyperlink" Target="http://www.nevo.co.il/case/11283848" TargetMode="External"/><Relationship Id="rId29" Type="http://schemas.openxmlformats.org/officeDocument/2006/relationships/hyperlink" Target="http://www.nevo.co.il/case/20807874" TargetMode="External"/><Relationship Id="rId30" Type="http://schemas.openxmlformats.org/officeDocument/2006/relationships/hyperlink" Target="http://www.nevo.co.il/law/5112" TargetMode="External"/><Relationship Id="rId31" Type="http://schemas.openxmlformats.org/officeDocument/2006/relationships/hyperlink" Target="http://www.nevo.co.il/law/5113" TargetMode="External"/><Relationship Id="rId32" Type="http://schemas.openxmlformats.org/officeDocument/2006/relationships/hyperlink" Target="http://www.nevo.co.il/case/26065978" TargetMode="External"/><Relationship Id="rId33" Type="http://schemas.openxmlformats.org/officeDocument/2006/relationships/hyperlink" Target="http://www.nevo.co.il/case/26066125" TargetMode="External"/><Relationship Id="rId34" Type="http://schemas.openxmlformats.org/officeDocument/2006/relationships/hyperlink" Target="http://www.nevo.co.il/case/26056836" TargetMode="External"/><Relationship Id="rId35" Type="http://schemas.openxmlformats.org/officeDocument/2006/relationships/hyperlink" Target="http://www.nevo.co.il/case/27186392" TargetMode="External"/><Relationship Id="rId36" Type="http://schemas.openxmlformats.org/officeDocument/2006/relationships/hyperlink" Target="http://www.nevo.co.il/law/70301/500.7" TargetMode="External"/><Relationship Id="rId37" Type="http://schemas.openxmlformats.org/officeDocument/2006/relationships/hyperlink" Target="http://www.nevo.co.il/law/70301/291" TargetMode="External"/><Relationship Id="rId38" Type="http://schemas.openxmlformats.org/officeDocument/2006/relationships/hyperlink" Target="http://www.nevo.co.il/law/70301/295.c" TargetMode="External"/><Relationship Id="rId39" Type="http://schemas.openxmlformats.org/officeDocument/2006/relationships/hyperlink" Target="http://www.nevo.co.il/law/70301/290" TargetMode="External"/><Relationship Id="rId40" Type="http://schemas.openxmlformats.org/officeDocument/2006/relationships/hyperlink" Target="http://www.nevo.co.il/law/84255/220.1" TargetMode="External"/><Relationship Id="rId41" Type="http://schemas.openxmlformats.org/officeDocument/2006/relationships/hyperlink" Target="http://www.nevo.co.il/law/84255" TargetMode="External"/><Relationship Id="rId42" Type="http://schemas.openxmlformats.org/officeDocument/2006/relationships/hyperlink" Target="http://www.nevo.co.il/case/5734674" TargetMode="External"/><Relationship Id="rId43" Type="http://schemas.openxmlformats.org/officeDocument/2006/relationships/hyperlink" Target="http://www.nevo.co.il/law/70301/290" TargetMode="External"/><Relationship Id="rId44" Type="http://schemas.openxmlformats.org/officeDocument/2006/relationships/hyperlink" Target="http://www.nevo.co.il/law/70301/291" TargetMode="External"/><Relationship Id="rId45" Type="http://schemas.openxmlformats.org/officeDocument/2006/relationships/hyperlink" Target="http://www.nevo.co.il/case/5592646" TargetMode="External"/><Relationship Id="rId46" Type="http://schemas.openxmlformats.org/officeDocument/2006/relationships/hyperlink" Target="http://www.nevo.co.il/case/21003552" TargetMode="External"/><Relationship Id="rId47" Type="http://schemas.openxmlformats.org/officeDocument/2006/relationships/hyperlink" Target="https://supreme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2021-08-31T07:24:00Z</dcterms:created>
  <dc:creator>h4</dc:creator>
  <dc:description/>
  <cp:keywords/>
  <dc:language>en-IL</dc:language>
  <cp:lastModifiedBy>orly</cp:lastModifiedBy>
  <cp:lastPrinted>2021-08-30T09:03:00Z</cp:lastPrinted>
  <dcterms:modified xsi:type="dcterms:W3CDTF">2021-08-31T07:24:00Z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רפאל ניניו</vt:lpwstr>
  </property>
  <property fmtid="{D5CDD505-2E9C-101B-9397-08002B2CF9AE}" pid="3" name="APPELLEE">
    <vt:lpwstr>מדינת ישראל</vt:lpwstr>
  </property>
  <property fmtid="{D5CDD505-2E9C-101B-9397-08002B2CF9AE}" pid="4" name="CASESLISTTMP1">
    <vt:lpwstr>26065978:2;20865311;25281950;23281121;25280645;11283848;20807874;26066125;26056836;27186392;5734674;5592646;21003552</vt:lpwstr>
  </property>
  <property fmtid="{D5CDD505-2E9C-101B-9397-08002B2CF9AE}" pid="5" name="DATE">
    <vt:lpwstr>20210829</vt:lpwstr>
  </property>
  <property fmtid="{D5CDD505-2E9C-101B-9397-08002B2CF9AE}" pid="6" name="ISABSTRACT">
    <vt:lpwstr>Y</vt:lpwstr>
  </property>
  <property fmtid="{D5CDD505-2E9C-101B-9397-08002B2CF9AE}" pid="7" name="JUDGE">
    <vt:lpwstr>י' עמית;ע' ברון;ה נ' הנדל</vt:lpwstr>
  </property>
  <property fmtid="{D5CDD505-2E9C-101B-9397-08002B2CF9AE}" pid="8" name="LAWLISTTMP1">
    <vt:lpwstr>74757</vt:lpwstr>
  </property>
  <property fmtid="{D5CDD505-2E9C-101B-9397-08002B2CF9AE}" pid="9" name="LAWLISTTMP2">
    <vt:lpwstr>70301/291:3;295.a;284;031;500.7;295.c;290:2</vt:lpwstr>
  </property>
  <property fmtid="{D5CDD505-2E9C-101B-9397-08002B2CF9AE}" pid="10" name="LAWLISTTMP3">
    <vt:lpwstr>5112</vt:lpwstr>
  </property>
  <property fmtid="{D5CDD505-2E9C-101B-9397-08002B2CF9AE}" pid="11" name="LAWLISTTMP4">
    <vt:lpwstr>5113</vt:lpwstr>
  </property>
  <property fmtid="{D5CDD505-2E9C-101B-9397-08002B2CF9AE}" pid="12" name="LAWLISTTMP5">
    <vt:lpwstr>84255/220.1</vt:lpwstr>
  </property>
  <property fmtid="{D5CDD505-2E9C-101B-9397-08002B2CF9AE}" pid="13" name="LAWYER">
    <vt:lpwstr>אלעד אשכנזי;טל פרג'ון;ליאור אחרק;קובי סודרי;שירות המבחן עו"ס ברכה וייס</vt:lpwstr>
  </property>
  <property fmtid="{D5CDD505-2E9C-101B-9397-08002B2CF9AE}" pid="14" name="METAKZER">
    <vt:lpwstr>נעה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>דיון פלילי</vt:lpwstr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77;77;77;77;77;77;18</vt:lpwstr>
  </property>
  <property fmtid="{D5CDD505-2E9C-101B-9397-08002B2CF9AE}" pid="26" name="NOSE21">
    <vt:lpwstr>עבירות</vt:lpwstr>
  </property>
  <property fmtid="{D5CDD505-2E9C-101B-9397-08002B2CF9AE}" pid="27" name="NOSE210">
    <vt:lpwstr/>
  </property>
  <property fmtid="{D5CDD505-2E9C-101B-9397-08002B2CF9AE}" pid="28" name="NOSE22">
    <vt:lpwstr>עבירות</vt:lpwstr>
  </property>
  <property fmtid="{D5CDD505-2E9C-101B-9397-08002B2CF9AE}" pid="29" name="NOSE23">
    <vt:lpwstr>עבירות</vt:lpwstr>
  </property>
  <property fmtid="{D5CDD505-2E9C-101B-9397-08002B2CF9AE}" pid="30" name="NOSE24">
    <vt:lpwstr>ענישה</vt:lpwstr>
  </property>
  <property fmtid="{D5CDD505-2E9C-101B-9397-08002B2CF9AE}" pid="31" name="NOSE25">
    <vt:lpwstr>ענישה</vt:lpwstr>
  </property>
  <property fmtid="{D5CDD505-2E9C-101B-9397-08002B2CF9AE}" pid="32" name="NOSE26">
    <vt:lpwstr>ענישה</vt:lpwstr>
  </property>
  <property fmtid="{D5CDD505-2E9C-101B-9397-08002B2CF9AE}" pid="33" name="NOSE27">
    <vt:lpwstr>ערעור</vt:lpwstr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1443;1443;1443;1446;1446;1446;504</vt:lpwstr>
  </property>
  <property fmtid="{D5CDD505-2E9C-101B-9397-08002B2CF9AE}" pid="37" name="NOSE31">
    <vt:lpwstr>שוחד</vt:lpwstr>
  </property>
  <property fmtid="{D5CDD505-2E9C-101B-9397-08002B2CF9AE}" pid="38" name="NOSE310">
    <vt:lpwstr/>
  </property>
  <property fmtid="{D5CDD505-2E9C-101B-9397-08002B2CF9AE}" pid="39" name="NOSE32">
    <vt:lpwstr>סיווגן</vt:lpwstr>
  </property>
  <property fmtid="{D5CDD505-2E9C-101B-9397-08002B2CF9AE}" pid="40" name="NOSE33">
    <vt:lpwstr>מירמה והפרת אמונים</vt:lpwstr>
  </property>
  <property fmtid="{D5CDD505-2E9C-101B-9397-08002B2CF9AE}" pid="41" name="NOSE34">
    <vt:lpwstr>אחדות הענישה</vt:lpwstr>
  </property>
  <property fmtid="{D5CDD505-2E9C-101B-9397-08002B2CF9AE}" pid="42" name="NOSE35">
    <vt:lpwstr>מדיניות ענישה: שיקולים לחומרה</vt:lpwstr>
  </property>
  <property fmtid="{D5CDD505-2E9C-101B-9397-08002B2CF9AE}" pid="43" name="NOSE36">
    <vt:lpwstr>דרכי ענישה: קנס</vt:lpwstr>
  </property>
  <property fmtid="{D5CDD505-2E9C-101B-9397-08002B2CF9AE}" pid="44" name="NOSE37">
    <vt:lpwstr>התערבות במידת העונש</vt:lpwstr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8931;12665;8848;12547;8995;8971;15230</vt:lpwstr>
  </property>
  <property fmtid="{D5CDD505-2E9C-101B-9397-08002B2CF9AE}" pid="48" name="PADIDATE">
    <vt:lpwstr>20210831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325</vt:lpwstr>
  </property>
  <property fmtid="{D5CDD505-2E9C-101B-9397-08002B2CF9AE}" pid="52" name="PROCYEAR">
    <vt:lpwstr>21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410120210829</vt:lpwstr>
  </property>
  <property fmtid="{D5CDD505-2E9C-101B-9397-08002B2CF9AE}" pid="56" name="TYPE_N_DATE">
    <vt:lpwstr>41020210829</vt:lpwstr>
  </property>
  <property fmtid="{D5CDD505-2E9C-101B-9397-08002B2CF9AE}" pid="57" name="WORDNUMPAGES">
    <vt:lpwstr>13</vt:lpwstr>
  </property>
</Properties>
</file>