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3265/22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48691-10-20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03.10.2022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אלפסה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קלנברג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10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על חומרת עונש המאסר בפועל בן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שהושת על המערער וענישה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הרשעתו בעבירה של אינוס של קטינה שטרם מלאו לה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העונש הולם את חומרת מעשי המערער ואת נסיבות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 מגלה עילה להתערבות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דעת המיעוט סברה כי יש להקל בעונש המאסר בפועל ולהעמידו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הבניית שיקול הדעת השיפוטי בענישה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בגדרו נגזרו על המערער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בגין הרשעתו בעבירה של אינוס של קטינה שטרם מלאו לה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גדר את מתחם העונש ההולם בין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נסוב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 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כנגד דעתו החולקת של השופט 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אלרון ציין כי פגיעתן של עבירות המין בקרבנות העבירה – קשה ומלווה אותן כל חייהן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וכבר נפסק על הצורך בענישה מחמירה כלפי עברייני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המבטאת את חומרת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הנזק שנגרם לנפגעי העבירה ומתחשבת בשיקולי הרתעת הרבים והיחיד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יתרה נודעת לעבירות מין בהן הקורבן מנצל את הקשר הקרוב בינו לבין נפגעת העבירה ואת האמון שהיא רוחשת כלפיו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לפער הגילים של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 בין המערער למתלוננת חומרה יתרה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ביצע במתלוננת את זממו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השפעת משקאות אלכוהוליים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 סיפק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כפה את עצמו על המתלוננת פעם אחר פעם חרף התנגדותה החדיר לאיבר מינה את איבר מינו ואביזר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חדל למשמע בכיה וכאבה ואף פעל להחרישה בהניחו כרית על 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ועזב את החדר רק לאחר שבא על סיפוקו המיני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הנזקים הפיזיים והנפשיים שנגרמו למתלוננת בעקבות מעשי המערער מחייבים ענישה משמעותית שתבטא את כאבה ונזקיה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 המבחן התרשם מקיומו של סיכון להישנות ביצוע עבירות מין בעתיד מצד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והמליץ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 מצבת גבול ברורה להתנהגות המותרת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שתמחיש את עומקן ומשמעותן של הפגיעות והנזקים שגרם במעשיו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 הושת עונש הולם את חומרת מעשיו ואת נסיבות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זה מקרה חריג המצדיק התערבות במידת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גרוסקופף ציין כי אין מקום להתערב במתחם הענישה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סבר כי קיימות מספר נסיבות שפועלות לטובת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נטילת אחריות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שיתוף פעולה עם רשויות החוק שהתבטא בכך שהודה וחסך את חקירת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חלוף הזמן מעת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 פלילי זניח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בשיקולים שאינם קשורים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סבר השופט גרוסקופף כי יש לגזור למערער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סולברג הצטרף לדעתו של השופט אלרון לפיה אין להתערב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נטילת אחריות של המערער על מעשיו אין בנמצא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שיתף פעולה עם רשויות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והודה במעשים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בעצם ההודאה כדי ללמד על נטילת 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להביאה בחשבון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כנסיבה מקלה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במסגרת השיקול של שיתוף פעולה עם רשויות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 אין בחלוף הזמן מעת ביצוע העבירה ועד הגשת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הקלה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בכך שהמקור לקושי טמון בעצם מעשיו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שרק בחלוף זמן 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רב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להצביע על פרק הזמן שחלף ממועד ביצוע העבירה עד הגשת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כנסיבה מקלה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יש בנסיבות המקלות הנותרות – הודאת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ועברוֹ הפלילי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זניח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להביא את המקרה דנן בגדר המקרים החריגים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 את התערבות ערכאת הערעור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הימן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48691-10-20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7.4.2022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נגזרו על המערער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וזאת בגין הרשעתו בעבירת אינוס</w:t>
      </w:r>
      <w:r>
        <w:rPr>
          <w:rtl w:val="true"/>
        </w:rPr>
        <w:t xml:space="preserve">. </w:t>
      </w:r>
      <w:r>
        <w:rPr>
          <w:rtl w:val="true"/>
        </w:rPr>
        <w:t>הערעור נסוב על חומרת 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מעובדות כתב האישום המתוקן אשר הוגש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היה המערער שכן של משפחת הקטינה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1999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). </w:t>
      </w:r>
      <w:r>
        <w:rPr>
          <w:rtl w:val="true"/>
        </w:rPr>
        <w:t>בין המערער לבין משפחת המתלוננת היו קשרי ידידות</w:t>
      </w:r>
      <w:r>
        <w:rPr>
          <w:rtl w:val="true"/>
        </w:rPr>
        <w:t xml:space="preserve">. </w:t>
      </w:r>
      <w:r>
        <w:rPr>
          <w:rtl w:val="true"/>
        </w:rPr>
        <w:t>במספר הזדמנויות במהלך שנה זו</w:t>
      </w:r>
      <w:r>
        <w:rPr>
          <w:rtl w:val="true"/>
        </w:rPr>
        <w:t xml:space="preserve">, </w:t>
      </w:r>
      <w:r>
        <w:rPr>
          <w:rtl w:val="true"/>
        </w:rPr>
        <w:t>במועדים שאינם ידועים במדויק למשיבה</w:t>
      </w:r>
      <w:r>
        <w:rPr>
          <w:rtl w:val="true"/>
        </w:rPr>
        <w:t xml:space="preserve">, </w:t>
      </w:r>
      <w:r>
        <w:rPr>
          <w:rtl w:val="true"/>
        </w:rPr>
        <w:t>המתלוננת ואחיה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אחיה</w:t>
      </w:r>
      <w:r>
        <w:rPr>
          <w:rtl w:val="true"/>
        </w:rPr>
        <w:t xml:space="preserve">) </w:t>
      </w:r>
      <w:r>
        <w:rPr>
          <w:rtl w:val="true"/>
        </w:rPr>
        <w:t>הגיעו לדירת המערער כדי לנקותה תמורת תשלום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כשלושה חודשים עובר לחודש יוני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במהלך שהותם של המתלוננת ואחיה בדירת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הזמינם זה האחרון לצפות בסרט פורנוגרפי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</w:t>
      </w:r>
      <w:r>
        <w:rPr>
          <w:rtl w:val="true"/>
        </w:rPr>
        <w:t xml:space="preserve">) </w:t>
      </w:r>
      <w:r>
        <w:rPr>
          <w:rtl w:val="true"/>
        </w:rPr>
        <w:t xml:space="preserve">בפינת ישיבה הממוקמת בגג הדירה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הסלון</w:t>
      </w:r>
      <w:r>
        <w:rPr>
          <w:rtl w:val="true"/>
        </w:rPr>
        <w:t xml:space="preserve">). </w:t>
      </w:r>
      <w:r>
        <w:rPr>
          <w:rtl w:val="true"/>
        </w:rPr>
        <w:t>בהיותם בסלון</w:t>
      </w:r>
      <w:r>
        <w:rPr>
          <w:rtl w:val="true"/>
        </w:rPr>
        <w:t xml:space="preserve">, </w:t>
      </w:r>
      <w:r>
        <w:rPr>
          <w:rtl w:val="true"/>
        </w:rPr>
        <w:t>המערער סיפק למתלוננת ולאחיה כוסות משקה אלכוהוליים</w:t>
      </w:r>
      <w:r>
        <w:rPr>
          <w:rtl w:val="true"/>
        </w:rPr>
        <w:t xml:space="preserve">, </w:t>
      </w:r>
      <w:r>
        <w:rPr>
          <w:rtl w:val="true"/>
        </w:rPr>
        <w:t>והם שתו מספר כוסות בהן משקה אלכוהולי</w:t>
      </w:r>
      <w:r>
        <w:rPr>
          <w:rtl w:val="true"/>
        </w:rPr>
        <w:t xml:space="preserve">. </w:t>
      </w:r>
      <w:r>
        <w:rPr>
          <w:rtl w:val="true"/>
        </w:rPr>
        <w:t>במהלך הצפייה בסרט</w:t>
      </w:r>
      <w:r>
        <w:rPr>
          <w:rtl w:val="true"/>
        </w:rPr>
        <w:t xml:space="preserve">, </w:t>
      </w:r>
      <w:r>
        <w:rPr>
          <w:rtl w:val="true"/>
        </w:rPr>
        <w:t>המערער נישק את המתלוננת בצווארה ו</w:t>
      </w:r>
      <w:r>
        <w:rPr>
          <w:rtl w:val="true"/>
        </w:rPr>
        <w:t>"</w:t>
      </w:r>
      <w:r>
        <w:rPr>
          <w:rtl w:val="true"/>
        </w:rPr>
        <w:t>מצץ בחוזקה</w:t>
      </w:r>
      <w:r>
        <w:rPr>
          <w:rtl w:val="true"/>
        </w:rPr>
        <w:t xml:space="preserve">" </w:t>
      </w:r>
      <w:r>
        <w:rPr>
          <w:rtl w:val="true"/>
        </w:rPr>
        <w:t>את חלקו העליון של החזה שלה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שלא בהסכמתה החופשית ולשם גירוי וסיפוק מיני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משהו</w:t>
      </w:r>
      <w:r>
        <w:rPr>
          <w:rtl w:val="true"/>
        </w:rPr>
        <w:t xml:space="preserve">",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ויברטור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ומשפנתה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ומתחתוניה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משהצליחה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, </w:t>
      </w:r>
      <w:r>
        <w:rPr>
          <w:rtl w:val="true"/>
        </w:rPr>
        <w:t>פיסק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, </w:t>
      </w:r>
      <w:r>
        <w:rPr>
          <w:rtl w:val="true"/>
        </w:rPr>
        <w:t>והתעלם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ומתחנוניה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",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לשתוק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מבכיה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ויברטור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בכיה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ותחנוניה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תגרם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 xml:space="preserve">",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?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"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ותחתוניה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והקיאה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המפשעה</w:t>
      </w:r>
      <w:r>
        <w:rPr>
          <w:rtl w:val="true"/>
        </w:rPr>
        <w:t xml:space="preserve">, </w:t>
      </w:r>
      <w:r>
        <w:rPr>
          <w:rtl w:val="true"/>
        </w:rPr>
        <w:t>בזרועותיה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וברגליה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ממכאובי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נפשה</w:t>
      </w:r>
      <w:r>
        <w:rPr>
          <w:rtl w:val="true"/>
        </w:rPr>
        <w:t xml:space="preserve">" </w:t>
      </w:r>
      <w:r>
        <w:rPr>
          <w:rtl w:val="true"/>
        </w:rPr>
        <w:t>חתכה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שלוותה</w:t>
      </w:r>
      <w:r>
        <w:rPr>
          <w:rtl w:val="true"/>
        </w:rPr>
        <w:t xml:space="preserve">"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בעבירה שיוחסה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 אשר לא כלל הסכמה לעניין 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קבע בגזר דינו כי המערער פגע במידה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וכבדה</w:t>
      </w:r>
      <w:r>
        <w:rPr>
          <w:rtl w:val="true"/>
        </w:rPr>
        <w:t xml:space="preserve"> בערכים החברתיים המוגנים בעבירה בה הורשע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tl w:val="true"/>
        </w:rPr>
        <w:t xml:space="preserve">, </w:t>
      </w:r>
      <w:r>
        <w:rPr>
          <w:rtl w:val="true"/>
        </w:rPr>
        <w:t>שלמות גופו</w:t>
      </w:r>
      <w:r>
        <w:rPr>
          <w:rtl w:val="true"/>
        </w:rPr>
        <w:t xml:space="preserve">,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כבודו וביטחונו של אדם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הפגיעה בערכים אלו מתעצמת כאשר מדובר בעבירת מין בקטינה הנושאת השלכות רבות לחייה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נתן דעתו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העובדה שבין המערער לאבי המתלוננת היכרות קרובה וארוכת שנים</w:t>
      </w:r>
      <w:r>
        <w:rPr>
          <w:rtl w:val="true"/>
        </w:rPr>
        <w:t xml:space="preserve">, </w:t>
      </w:r>
      <w:r>
        <w:rPr>
          <w:rtl w:val="true"/>
        </w:rPr>
        <w:t>במסגרתה המערער סיפק מזון למתלוננת ואחיה בעת מצוקה כלכלית</w:t>
      </w:r>
      <w:r>
        <w:rPr>
          <w:rtl w:val="true"/>
        </w:rPr>
        <w:t xml:space="preserve">, </w:t>
      </w:r>
      <w:r>
        <w:rPr>
          <w:rtl w:val="true"/>
        </w:rPr>
        <w:t>ובעקבותיה המתלוננת רחשה אמון כלפי המערער</w:t>
      </w:r>
      <w:r>
        <w:rPr>
          <w:rtl w:val="true"/>
        </w:rPr>
        <w:t xml:space="preserve">; </w:t>
      </w:r>
      <w:r>
        <w:rPr>
          <w:rtl w:val="true"/>
        </w:rPr>
        <w:t>העבירה נעשתה לאחר שהמערער סיפק למתלוננת ואחיה משקאות אלכוהוליים</w:t>
      </w:r>
      <w:r>
        <w:rPr>
          <w:rtl w:val="true"/>
        </w:rPr>
        <w:t xml:space="preserve">; </w:t>
      </w:r>
      <w:r>
        <w:rPr>
          <w:rtl w:val="true"/>
        </w:rPr>
        <w:t xml:space="preserve">ומדובר באירוע </w:t>
      </w:r>
      <w:r>
        <w:rPr>
          <w:rtl w:val="true"/>
        </w:rPr>
        <w:t>"</w:t>
      </w:r>
      <w:r>
        <w:rPr>
          <w:rtl w:val="true"/>
        </w:rPr>
        <w:t>רב פרטים של מעשי אונס ומעשים מגונים חוזרים ונשנים</w:t>
      </w:r>
      <w:r>
        <w:rPr>
          <w:rtl w:val="true"/>
        </w:rPr>
        <w:t xml:space="preserve">... </w:t>
      </w:r>
      <w:r>
        <w:rPr>
          <w:rtl w:val="true"/>
        </w:rPr>
        <w:t>בסדר חומרה עולה ומצמרר</w:t>
      </w:r>
      <w:r>
        <w:rPr>
          <w:rtl w:val="true"/>
        </w:rPr>
        <w:t xml:space="preserve">", </w:t>
      </w:r>
      <w:r>
        <w:rPr>
          <w:rtl w:val="true"/>
        </w:rPr>
        <w:t xml:space="preserve">כל זאת תחת </w:t>
      </w:r>
      <w:r>
        <w:rPr>
          <w:rtl w:val="true"/>
        </w:rPr>
        <w:t>"</w:t>
      </w:r>
      <w:r>
        <w:rPr>
          <w:rtl w:val="true"/>
        </w:rPr>
        <w:t>אלימות מתמשכת</w:t>
      </w:r>
      <w:r>
        <w:rPr>
          <w:rtl w:val="true"/>
        </w:rPr>
        <w:t xml:space="preserve">" </w:t>
      </w:r>
      <w:r>
        <w:rPr>
          <w:rtl w:val="true"/>
        </w:rPr>
        <w:t>ובעוד המערער מתעלם מתחנוני המתלוננת כי יחדל ממעשיו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ובשים לב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כי מתחם העונש ההולם את מעשי המערער נע בין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עונשו של המערער 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שקל לזכותו את הודאתו במעשים המיוחסים לו ואת העובדה שהוא נעדר </w:t>
      </w:r>
      <w:r>
        <w:rPr>
          <w:rtl w:val="true"/>
        </w:rPr>
        <w:t>"</w:t>
      </w:r>
      <w:r>
        <w:rPr>
          <w:rtl w:val="true"/>
        </w:rPr>
        <w:t>עבר פלילי מכביד</w:t>
      </w:r>
      <w:r>
        <w:rPr>
          <w:rtl w:val="true"/>
        </w:rPr>
        <w:t xml:space="preserve">".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זקף לחובתו את התייחסותו למעשיו באופן מצמצם ואת הצורך בהרתעת הרבים בשל חומרת המעשים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בהודעת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ובטיעוניו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 </w:t>
      </w:r>
      <w:r>
        <w:rPr>
          <w:rtl w:val="true"/>
        </w:rPr>
        <w:t>והחמיר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מאחר שבית המשפט התייחס </w:t>
      </w:r>
      <w:r>
        <w:rPr>
          <w:rtl w:val="true"/>
        </w:rPr>
        <w:t>למעשי</w:t>
      </w:r>
      <w:r>
        <w:rPr>
          <w:rtl w:val="true"/>
        </w:rPr>
        <w:t xml:space="preserve"> המערער</w:t>
      </w:r>
      <w:r>
        <w:rPr>
          <w:rtl w:val="true"/>
        </w:rPr>
        <w:t xml:space="preserve"> </w:t>
      </w:r>
      <w:r>
        <w:rPr>
          <w:rtl w:val="true"/>
        </w:rPr>
        <w:t>כאירוע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מרובה</w:t>
      </w:r>
      <w:r>
        <w:rPr>
          <w:rtl w:val="true"/>
        </w:rPr>
        <w:t xml:space="preserve"> </w:t>
      </w:r>
      <w:r>
        <w:rPr>
          <w:rtl w:val="true"/>
        </w:rPr>
        <w:t>פריטים</w:t>
      </w:r>
      <w:r>
        <w:rPr>
          <w:rtl w:val="true"/>
        </w:rPr>
        <w:t xml:space="preserve">" </w:t>
      </w:r>
      <w:r>
        <w:rPr>
          <w:rtl w:val="true"/>
        </w:rPr>
        <w:t>של מספר מעשים מגונים ומעשי אינוס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 </w:t>
      </w:r>
      <w:r>
        <w:rPr>
          <w:rtl w:val="true"/>
        </w:rPr>
        <w:t>בפועל בעבירת</w:t>
      </w:r>
      <w:r>
        <w:rPr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עוד נטען כי בית המשפט שגה ו</w:t>
      </w:r>
      <w:r>
        <w:rPr>
          <w:rtl w:val="true"/>
        </w:rPr>
        <w:t>הפנה</w:t>
      </w:r>
      <w:r>
        <w:rPr>
          <w:rtl w:val="true"/>
        </w:rPr>
        <w:t xml:space="preserve"> </w:t>
      </w:r>
      <w:r>
        <w:rPr>
          <w:rtl w:val="true"/>
        </w:rPr>
        <w:t>לתחושות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לפיהן</w:t>
      </w:r>
      <w:r>
        <w:rPr>
          <w:rtl w:val="true"/>
        </w:rPr>
        <w:t xml:space="preserve"> </w:t>
      </w:r>
      <w:r>
        <w:rPr>
          <w:rtl w:val="true"/>
        </w:rPr>
        <w:t>חשה</w:t>
      </w:r>
      <w:r>
        <w:rPr>
          <w:rtl w:val="true"/>
        </w:rPr>
        <w:t xml:space="preserve"> </w:t>
      </w:r>
      <w:r>
        <w:rPr>
          <w:rtl w:val="true"/>
        </w:rPr>
        <w:t>שחייה</w:t>
      </w:r>
      <w:r>
        <w:rPr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הצמדת</w:t>
      </w:r>
      <w:r>
        <w:rPr>
          <w:rtl w:val="true"/>
        </w:rPr>
        <w:t xml:space="preserve"> </w:t>
      </w:r>
      <w:r>
        <w:rPr>
          <w:rtl w:val="true"/>
        </w:rPr>
        <w:t>הכרית</w:t>
      </w:r>
      <w:r>
        <w:rPr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, </w:t>
      </w:r>
      <w:r>
        <w:rPr>
          <w:rtl w:val="true"/>
        </w:rPr>
        <w:t>למרות ש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 xml:space="preserve">זו תוקנה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אף ביחס למדיניות הענישה במקרים דומים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מתחם עונש חמור באופן ניכר 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אף בכך שהעניק משקל נמוך בלבד להודאתו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המערער בחר מיוזמתו להודות בכתב האישום המתוקן</w:t>
      </w:r>
      <w:r>
        <w:rPr>
          <w:rtl w:val="true"/>
        </w:rPr>
        <w:t xml:space="preserve">, </w:t>
      </w:r>
      <w:r>
        <w:rPr>
          <w:rtl w:val="true"/>
        </w:rPr>
        <w:t>לקח אחריות על מעשיו ואף חסך את עדות המתלוננת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ומשכך לא היה מקום </w:t>
      </w:r>
      <w:r>
        <w:rPr>
          <w:rtl w:val="true"/>
        </w:rPr>
        <w:t>לסייג</w:t>
      </w:r>
      <w:r>
        <w:rPr>
          <w:rtl w:val="true"/>
        </w:rPr>
        <w:t xml:space="preserve"> את משקל הודאתו רק בשל התרשמות שירות המבחן לפיה המערער צמצם את חומרת 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אל מול טענות אלו</w:t>
      </w:r>
      <w:r>
        <w:rPr>
          <w:rtl w:val="true"/>
        </w:rPr>
        <w:t xml:space="preserve">, </w:t>
      </w:r>
      <w:r>
        <w:rPr>
          <w:rtl w:val="true"/>
        </w:rPr>
        <w:t>בא כוח המשיבה טען בדיון לפנינו כי לא נפלה טעות מהותית בעונש אשר נגזר על המערער</w:t>
      </w:r>
      <w:r>
        <w:rPr>
          <w:rtl w:val="true"/>
        </w:rPr>
        <w:t xml:space="preserve">, </w:t>
      </w:r>
      <w:r>
        <w:rPr>
          <w:rtl w:val="true"/>
        </w:rPr>
        <w:t>וכי בית המשפט המחוזי התחשב כנדרש בגזירת העונש בנסיבות העבירה ובנסיבותיו האישיות של המערער לקולה</w:t>
      </w:r>
      <w:r>
        <w:rPr>
          <w:rtl w:val="true"/>
        </w:rPr>
        <w:t xml:space="preserve">, </w:t>
      </w:r>
      <w:r>
        <w:rPr>
          <w:rtl w:val="true"/>
        </w:rPr>
        <w:t>אשר באו לידי ביטוי בתוצאה הסופית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בצדק ניתן משקל להצמדת הכרית לפניה של המתלוננת בעת האירוע בבחינת </w:t>
      </w:r>
      <w:r>
        <w:rPr>
          <w:rtl w:val="true"/>
        </w:rPr>
        <w:t>"</w:t>
      </w:r>
      <w:r>
        <w:rPr>
          <w:rtl w:val="true"/>
        </w:rPr>
        <w:t>האכזריות והפחד</w:t>
      </w:r>
      <w:r>
        <w:rPr>
          <w:rtl w:val="true"/>
        </w:rPr>
        <w:t xml:space="preserve">" </w:t>
      </w:r>
      <w:r>
        <w:rPr>
          <w:rtl w:val="true"/>
        </w:rPr>
        <w:t>בעת האירוע וכי גם להודאת המערער ניתן המשקל הראוי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</w:t>
      </w:r>
      <w:r>
        <w:rPr>
          <w:rtl w:val="true"/>
        </w:rPr>
        <w:t xml:space="preserve">, </w:t>
      </w:r>
      <w:r>
        <w:rPr>
          <w:rtl w:val="true"/>
        </w:rPr>
        <w:t>הוגש תסקיר שירות מבחן עדכני בעניינו של המערער ממנו עולה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הוא </w:t>
      </w:r>
      <w:r>
        <w:rPr>
          <w:rtl w:val="true"/>
        </w:rPr>
        <w:t>"</w:t>
      </w:r>
      <w:r>
        <w:rPr>
          <w:rtl w:val="true"/>
        </w:rPr>
        <w:t>אינו מודע לחלקים הרגשיים שעמדו ברקע לביצוע העבירה</w:t>
      </w:r>
      <w:r>
        <w:rPr>
          <w:rtl w:val="true"/>
        </w:rPr>
        <w:t xml:space="preserve">, </w:t>
      </w:r>
      <w:r>
        <w:rPr>
          <w:rtl w:val="true"/>
        </w:rPr>
        <w:t>ובכך עודנו מתקשה להודות</w:t>
      </w:r>
      <w:r>
        <w:rPr>
          <w:rtl w:val="true"/>
        </w:rPr>
        <w:t xml:space="preserve">", </w:t>
      </w:r>
      <w:r>
        <w:rPr>
          <w:rtl w:val="true"/>
        </w:rPr>
        <w:t>וכי לאחר בדיקת הערכת מסוכנות מינית על ידי 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ובהתאם לנכונות שיבטא</w:t>
      </w:r>
      <w:r>
        <w:rPr>
          <w:rtl w:val="true"/>
        </w:rPr>
        <w:t xml:space="preserve">, </w:t>
      </w:r>
      <w:r>
        <w:rPr>
          <w:rtl w:val="true"/>
        </w:rPr>
        <w:t>ישולב בטיפול ייעודי בתחום עבירותיו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פגיעתן של עבירות המין בקרבנות העבירה </w:t>
      </w:r>
      <w:r>
        <w:rPr>
          <w:rtl w:val="true"/>
        </w:rPr>
        <w:t>–</w:t>
      </w:r>
      <w:r>
        <w:rPr>
          <w:rtl w:val="true"/>
        </w:rPr>
        <w:t xml:space="preserve"> קשה ומלווה אותן כל חייהן</w:t>
      </w:r>
      <w:r>
        <w:rPr>
          <w:rtl w:val="true"/>
        </w:rPr>
        <w:t xml:space="preserve">. </w:t>
      </w:r>
      <w:r>
        <w:rPr>
          <w:rtl w:val="true"/>
        </w:rPr>
        <w:t>מעשה עבירת המין מחלל את גופה</w:t>
      </w:r>
      <w:r>
        <w:rPr>
          <w:rtl w:val="true"/>
        </w:rPr>
        <w:t xml:space="preserve">, </w:t>
      </w:r>
      <w:r>
        <w:rPr>
          <w:rtl w:val="true"/>
        </w:rPr>
        <w:t>נפשה וכבודה של נפגעת העבירה</w:t>
      </w:r>
      <w:r>
        <w:rPr>
          <w:rtl w:val="true"/>
        </w:rPr>
        <w:t xml:space="preserve">, </w:t>
      </w:r>
      <w:r>
        <w:rPr>
          <w:rtl w:val="true"/>
        </w:rPr>
        <w:t>בעוד העבריין רומס בגסות את נפגעת העבירה לשם סיפוק דחפיו ויצריו</w:t>
      </w:r>
      <w:r>
        <w:rPr>
          <w:rtl w:val="true"/>
        </w:rPr>
        <w:t xml:space="preserve">, </w:t>
      </w:r>
      <w:r>
        <w:rPr>
          <w:rtl w:val="true"/>
        </w:rPr>
        <w:t>ומותיר לבסוף את נפגעת העבירה חבולה ומצולקת פיזית ונפשית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בית משפט זה עמד לא אחת על הצורך בענישה מחמירה כלפי עברייני מין</w:t>
      </w:r>
      <w:r>
        <w:rPr>
          <w:rtl w:val="true"/>
        </w:rPr>
        <w:t xml:space="preserve">, </w:t>
      </w:r>
      <w:r>
        <w:rPr>
          <w:rtl w:val="true"/>
        </w:rPr>
        <w:t>המבטאת את חומרת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את הנזק שנגרם לנפגעי העבירה ואף מתחשבת בשיקולי הרתעת הרבים והיחיד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שרגאי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</w:t>
      </w:r>
      <w:r>
        <w:rPr/>
        <w:t>2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</w:t>
      </w:r>
      <w:r>
        <w:rPr/>
        <w:t>2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2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על פגיעתן של עבירות המין בקטינים אין לי אלא להפנות לנכתב על ידי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 xml:space="preserve">, </w:t>
      </w:r>
      <w:r>
        <w:rPr>
          <w:rtl w:val="true"/>
        </w:rPr>
        <w:t>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>. ‏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רימוני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</w:t>
      </w:r>
      <w:r>
        <w:rPr/>
        <w:t>.</w:t>
      </w:r>
      <w:r>
        <w:rPr/>
        <w:t>6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רימוני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</w:t>
      </w:r>
      <w:r>
        <w:rPr/>
        <w:t>.11.2021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.10.2019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</w:t>
      </w:r>
      <w:r>
        <w:rPr/>
        <w:t>5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הכיר את משפחת המתלוננת בעקבות היכרות קרובה וידידות עם משפחתה</w:t>
      </w:r>
      <w:r>
        <w:rPr>
          <w:rtl w:val="true"/>
        </w:rPr>
        <w:t xml:space="preserve">, </w:t>
      </w:r>
      <w:r>
        <w:rPr>
          <w:rtl w:val="true"/>
        </w:rPr>
        <w:t>עד כדי שסעד את המתלוננת ואחיה וסיפק את צרכיהם הבסיסיים ביותר בעת מצוקות כלכליות</w:t>
      </w:r>
      <w:r>
        <w:rPr>
          <w:rtl w:val="true"/>
        </w:rPr>
        <w:t xml:space="preserve">. </w:t>
      </w:r>
      <w:r>
        <w:rPr>
          <w:rtl w:val="true"/>
        </w:rPr>
        <w:t>אגב כך</w:t>
      </w:r>
      <w:r>
        <w:rPr>
          <w:rtl w:val="true"/>
        </w:rPr>
        <w:t xml:space="preserve">, </w:t>
      </w:r>
      <w:r>
        <w:rPr>
          <w:rtl w:val="true"/>
        </w:rPr>
        <w:t>המתלוננת ואחיה הוזמנו לנקות את ביתו של המערער בתשלום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המתלוננת סמכה על המערער וראתה אותו כאדם טוב וחיובי המנסה לסייע 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ותחנוניה</w:t>
      </w:r>
      <w:r>
        <w:rPr>
          <w:rtl w:val="true"/>
        </w:rPr>
        <w:t xml:space="preserve">,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ועזב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הנזקים שנגרמו למתלוננת בעקבות מעשי המערער מחייבים ענישה משמעותית אשר תבטא את כאבה ונזקיה</w:t>
      </w:r>
      <w:r>
        <w:rPr>
          <w:rtl w:val="true"/>
        </w:rPr>
        <w:t xml:space="preserve">. </w:t>
      </w:r>
      <w:r>
        <w:rPr>
          <w:rtl w:val="true"/>
        </w:rPr>
        <w:t>האמור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 קשה עד מאוד ויש בו כדי לבטא את אשר חוותה המתלוננת במהלך ולאחר פגיעתו הרעה של המערער בה</w:t>
      </w:r>
      <w:r>
        <w:rPr>
          <w:rtl w:val="true"/>
        </w:rPr>
        <w:t xml:space="preserve">, </w:t>
      </w:r>
      <w:r>
        <w:rPr>
          <w:rtl w:val="true"/>
        </w:rPr>
        <w:t>ואת מצבה הפיזי והנפשי בעקבות פגיעה זו כאשר לא ניתן להגזים בעוצמת אשר התרחש בגופה ובנפשה בעקבות פגיעת המערער בה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 שיתפה את עורכת התסקיר כי במהלך האונס היא התנגדה</w:t>
      </w:r>
      <w:r>
        <w:rPr>
          <w:rtl w:val="true"/>
        </w:rPr>
        <w:t xml:space="preserve">, </w:t>
      </w:r>
      <w:r>
        <w:rPr>
          <w:rtl w:val="true"/>
        </w:rPr>
        <w:t>ככל שיכלה</w:t>
      </w:r>
      <w:r>
        <w:rPr>
          <w:rtl w:val="true"/>
        </w:rPr>
        <w:t xml:space="preserve">, </w:t>
      </w:r>
      <w:r>
        <w:rPr>
          <w:rtl w:val="true"/>
        </w:rPr>
        <w:t>מילולית ופיזית למעשי המערער</w:t>
      </w:r>
      <w:r>
        <w:rPr>
          <w:rtl w:val="true"/>
        </w:rPr>
        <w:t xml:space="preserve">, </w:t>
      </w:r>
      <w:r>
        <w:rPr>
          <w:rtl w:val="true"/>
        </w:rPr>
        <w:t>ואילו הוא לא שעה לתחינותיה</w:t>
      </w:r>
      <w:r>
        <w:rPr>
          <w:rtl w:val="true"/>
        </w:rPr>
        <w:t xml:space="preserve">, </w:t>
      </w:r>
      <w:r>
        <w:rPr>
          <w:rtl w:val="true"/>
        </w:rPr>
        <w:t>לבכיה ולצעקותיה כי יחדל ממעשיו</w:t>
      </w:r>
      <w:r>
        <w:rPr>
          <w:rtl w:val="true"/>
        </w:rPr>
        <w:t xml:space="preserve">. </w:t>
      </w:r>
      <w:r>
        <w:rPr>
          <w:rtl w:val="true"/>
        </w:rPr>
        <w:t>היא תיארה כי חשה שכוחותיה אוזלים</w:t>
      </w:r>
      <w:r>
        <w:rPr>
          <w:rtl w:val="true"/>
        </w:rPr>
        <w:t xml:space="preserve">; </w:t>
      </w:r>
      <w:r>
        <w:rPr>
          <w:rtl w:val="true"/>
        </w:rPr>
        <w:t>פחדה פחד מוות בעת שהמערער הניח כרית על פניה</w:t>
      </w:r>
      <w:r>
        <w:rPr>
          <w:rtl w:val="true"/>
        </w:rPr>
        <w:t xml:space="preserve">; </w:t>
      </w:r>
      <w:r>
        <w:rPr>
          <w:rtl w:val="true"/>
        </w:rPr>
        <w:t>התקשתה לנשום והייתה בטוחה שהיא עומדת למות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וגינלי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ובושה</w:t>
      </w:r>
      <w:r>
        <w:rPr>
          <w:rtl w:val="true"/>
        </w:rPr>
        <w:t xml:space="preserve">, </w:t>
      </w:r>
      <w:r>
        <w:rPr>
          <w:rtl w:val="true"/>
        </w:rPr>
        <w:t>המלוות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שבתמימותה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החבלות והפגיעות הפיזיות שהותיר המערער בגופה</w:t>
      </w:r>
      <w:r>
        <w:rPr>
          <w:rtl w:val="true"/>
        </w:rPr>
        <w:t xml:space="preserve">, </w:t>
      </w:r>
      <w:r>
        <w:rPr>
          <w:rtl w:val="true"/>
        </w:rPr>
        <w:t>מעשי המערער הובילו להתדרדרות נפשית במצבה של המתלוננת</w:t>
      </w:r>
      <w:r>
        <w:rPr>
          <w:rtl w:val="true"/>
        </w:rPr>
        <w:t xml:space="preserve">, </w:t>
      </w:r>
      <w:r>
        <w:rPr>
          <w:rtl w:val="true"/>
        </w:rPr>
        <w:t>אשר החלה בצריכת סמים ואלכוהול באופן אינטנסיבי כדי להתמודד עם זיכרונות מאירוע האונס האכזרי והטראומתי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במספר רב של הזדמנויות המתלוננת חתכה את ידיה ואת בטנה </w:t>
      </w:r>
      <w:r>
        <w:rPr>
          <w:rtl w:val="true"/>
        </w:rPr>
        <w:t>"</w:t>
      </w:r>
      <w:r>
        <w:rPr>
          <w:rtl w:val="true"/>
        </w:rPr>
        <w:t>כדי להסיט את קשבה ממכאובי נפשה</w:t>
      </w:r>
      <w:r>
        <w:rPr>
          <w:rtl w:val="true"/>
        </w:rPr>
        <w:t xml:space="preserve">" </w:t>
      </w:r>
      <w:r>
        <w:rPr>
          <w:rtl w:val="true"/>
        </w:rPr>
        <w:t>כלשון כתב האישום המתוקן</w:t>
      </w:r>
      <w:r>
        <w:rPr>
          <w:rtl w:val="true"/>
        </w:rPr>
        <w:t xml:space="preserve">, </w:t>
      </w:r>
      <w:r>
        <w:rPr>
          <w:rtl w:val="true"/>
        </w:rPr>
        <w:t>ואף חוותה מחשבות אובדניות</w:t>
      </w:r>
      <w:r>
        <w:rPr>
          <w:rtl w:val="true"/>
        </w:rPr>
        <w:t xml:space="preserve">. </w:t>
      </w:r>
      <w:r>
        <w:rPr>
          <w:rtl w:val="true"/>
        </w:rPr>
        <w:t>עד היום פוקדים את המתלוננת סיוטי לילה ו</w:t>
      </w:r>
      <w:r>
        <w:rPr>
          <w:rtl w:val="true"/>
        </w:rPr>
        <w:t>-"</w:t>
      </w:r>
      <w:r>
        <w:rPr>
          <w:rtl w:val="true"/>
        </w:rPr>
        <w:t>פלאשבקים</w:t>
      </w:r>
      <w:r>
        <w:rPr>
          <w:rtl w:val="true"/>
        </w:rPr>
        <w:t xml:space="preserve">" </w:t>
      </w:r>
      <w:r>
        <w:rPr>
          <w:rtl w:val="true"/>
        </w:rPr>
        <w:t>של אירוע הפגיעה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תסקיר נפגעת העבירה הדגיש כי הפגיעה האכזרית במתלוננת</w:t>
      </w:r>
      <w:r>
        <w:rPr>
          <w:rtl w:val="true"/>
        </w:rPr>
        <w:t xml:space="preserve">, </w:t>
      </w:r>
      <w:r>
        <w:rPr>
          <w:rtl w:val="true"/>
        </w:rPr>
        <w:t>הותירה אותה חשופה ובודדה וערערה את הביטחון שלה בעצמה ובבני אדם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הוערך כי הכרה ממערכת המשפט ומהמערער על כך שהיא נפגעה על ידי המערער והיא אינה אשמה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חשובים לה באופן קיומי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יצוין כי שירות המבחן בתסקיר מיום </w:t>
      </w:r>
      <w:r>
        <w:rPr/>
        <w:t>4.1.2022</w:t>
      </w:r>
      <w:r>
        <w:rPr>
          <w:rtl w:val="true"/>
        </w:rPr>
        <w:t xml:space="preserve"> </w:t>
      </w:r>
      <w:r>
        <w:rPr>
          <w:rtl w:val="true"/>
        </w:rPr>
        <w:t>שהוגש לבית המשפט המחוזי התרשם מקיומו של סיכון להישנות ביצוע עבירות מין בעתיד מצדו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והמליץ בסופו של דבר על </w:t>
      </w:r>
      <w:r>
        <w:rPr>
          <w:rtl w:val="true"/>
        </w:rPr>
        <w:t>"</w:t>
      </w:r>
      <w:r>
        <w:rPr>
          <w:rtl w:val="true"/>
        </w:rPr>
        <w:t>ענישה מצבת גבול ברורה להתנהגות המותרת</w:t>
      </w:r>
      <w:r>
        <w:rPr>
          <w:rtl w:val="true"/>
        </w:rPr>
        <w:t xml:space="preserve">, </w:t>
      </w:r>
      <w:r>
        <w:rPr>
          <w:rtl w:val="true"/>
        </w:rPr>
        <w:t>שתמחיש את עומקן ומשמעותן של הפגיעות והנזקים שגרם במעשיו למתלוננת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האמור לעיל</w:t>
      </w:r>
      <w:r>
        <w:rPr>
          <w:rtl w:val="true"/>
        </w:rPr>
        <w:t xml:space="preserve">, </w:t>
      </w:r>
      <w:r>
        <w:rPr>
          <w:rtl w:val="true"/>
        </w:rPr>
        <w:t>על המערער הושת העונש נשוא הערעור שבפנינו</w:t>
      </w:r>
      <w:r>
        <w:rPr>
          <w:rtl w:val="true"/>
        </w:rPr>
        <w:t xml:space="preserve">, </w:t>
      </w:r>
      <w:r>
        <w:rPr>
          <w:rtl w:val="true"/>
        </w:rPr>
        <w:t>עונש זה הולם את חומרת מעשיו ואת 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 xml:space="preserve">לא תתערב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מסאלחה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9.8.2022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סטייה קיצונית שכזו או טעות מהותית </w:t>
      </w:r>
      <w:r>
        <w:rPr>
          <w:rtl w:val="true"/>
        </w:rPr>
        <w:t>–</w:t>
      </w:r>
      <w:r>
        <w:rPr>
          <w:rtl w:val="true"/>
        </w:rPr>
        <w:t xml:space="preserve"> אין בנסיבותיו החמורות והקשות של המקרה שלפנינו כמתואר 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העונש המרבי הקבוע בצד עבירת </w:t>
      </w:r>
      <w:r>
        <w:rPr>
          <w:rtl w:val="true"/>
        </w:rPr>
        <w:t>האינוס</w:t>
      </w:r>
      <w:r>
        <w:rPr>
          <w:rtl w:val="true"/>
        </w:rPr>
        <w:t xml:space="preserve"> בנסיבות בהן הורשע המערער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 מאחורי סורג ובריח</w:t>
      </w:r>
      <w:r>
        <w:rPr>
          <w:rtl w:val="true"/>
        </w:rPr>
        <w:t xml:space="preserve">. </w:t>
      </w:r>
      <w:r>
        <w:rPr>
          <w:rtl w:val="true"/>
        </w:rPr>
        <w:t xml:space="preserve">לא אחת הובהר בבית משפט זה כי העונש המרבי אינו בגדר </w:t>
      </w:r>
      <w:r>
        <w:rPr>
          <w:rtl w:val="true"/>
        </w:rPr>
        <w:t>"</w:t>
      </w:r>
      <w:r>
        <w:rPr>
          <w:rtl w:val="true"/>
        </w:rPr>
        <w:t>סימון גבול עליון</w:t>
      </w:r>
      <w:r>
        <w:rPr>
          <w:rtl w:val="true"/>
        </w:rPr>
        <w:t xml:space="preserve">"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 xml:space="preserve">כי אם עונש הולם וראוי בהתקיים נסיבות חמורות מתאימות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רימוני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 המשפט המחוזי תיאר בפירוט ובאופן מוחשי את אירוע האונס תוך שהוא מדגיש את אכזריות המעשים</w:t>
      </w:r>
      <w:r>
        <w:rPr>
          <w:rtl w:val="true"/>
        </w:rPr>
        <w:t xml:space="preserve">, </w:t>
      </w:r>
      <w:r>
        <w:rPr>
          <w:rtl w:val="true"/>
        </w:rPr>
        <w:t>האלימות שנלוותה אליהם וניצול האמון שרחשה המתלוננת כלפי המערער לשם פגיעה מינית בה</w:t>
      </w:r>
      <w:r>
        <w:rPr>
          <w:rtl w:val="true"/>
        </w:rPr>
        <w:t xml:space="preserve">. </w:t>
      </w:r>
      <w:r>
        <w:rPr>
          <w:rtl w:val="true"/>
        </w:rPr>
        <w:t>בשקלול נסיבות ביצוע העבירה וחומרתה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גדר את מתחם העונש ההולם בין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הבא במלאכת גזירת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חיפושיו של בית המשפט המחוזי אחר נסיבה מקלה לזכותו של המערער </w:t>
      </w:r>
      <w:r>
        <w:rPr>
          <w:rtl w:val="true"/>
        </w:rPr>
        <w:t>–</w:t>
      </w:r>
      <w:r>
        <w:rPr>
          <w:rtl w:val="true"/>
        </w:rPr>
        <w:t xml:space="preserve"> העלו חרס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למעט הודאתו במעשים המיוחסים לו</w:t>
      </w:r>
      <w:r>
        <w:rPr>
          <w:rtl w:val="true"/>
        </w:rPr>
        <w:t xml:space="preserve">, </w:t>
      </w:r>
      <w:r>
        <w:rPr>
          <w:rtl w:val="true"/>
        </w:rPr>
        <w:t xml:space="preserve">אשר לה העניק בית המשפט משקל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נמוך</w:t>
      </w:r>
      <w:r>
        <w:rPr>
          <w:rtl w:val="true"/>
        </w:rPr>
        <w:t xml:space="preserve"> משקבע כי המערער </w:t>
      </w:r>
      <w:r>
        <w:rPr>
          <w:rtl w:val="true"/>
        </w:rPr>
        <w:t>"</w:t>
      </w:r>
      <w:r>
        <w:rPr>
          <w:rtl w:val="true"/>
        </w:rPr>
        <w:t>צמצם במאוד את מעשיו</w:t>
      </w:r>
      <w:r>
        <w:rPr>
          <w:rtl w:val="true"/>
        </w:rPr>
        <w:t xml:space="preserve">".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לבסוף בית המשפט המחוזי גזר על המערער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כאשר אנו בוחנים את העונש אשר נגזר על המערער באופן זה</w:t>
      </w:r>
      <w:r>
        <w:rPr>
          <w:rtl w:val="true"/>
        </w:rPr>
        <w:t xml:space="preserve">, </w:t>
      </w:r>
      <w:r>
        <w:rPr>
          <w:rtl w:val="true"/>
        </w:rPr>
        <w:t>ניכר כי בית המשפט המחוזי התחשב בגזירת עונשו של המערער גם בנסיבות</w:t>
      </w:r>
      <w:r>
        <w:rPr>
          <w:rtl w:val="true"/>
        </w:rPr>
        <w:t xml:space="preserve">, </w:t>
      </w:r>
      <w:r>
        <w:rPr>
          <w:rtl w:val="true"/>
        </w:rPr>
        <w:t>המעטות</w:t>
      </w:r>
      <w:r>
        <w:rPr>
          <w:rtl w:val="true"/>
        </w:rPr>
        <w:t xml:space="preserve">, </w:t>
      </w:r>
      <w:r>
        <w:rPr>
          <w:rtl w:val="true"/>
        </w:rPr>
        <w:t xml:space="preserve">שניתן לזקוף לטובתו </w:t>
      </w:r>
      <w:r>
        <w:rPr>
          <w:rtl w:val="true"/>
        </w:rPr>
        <w:t>–</w:t>
      </w:r>
      <w:r>
        <w:rPr>
          <w:rtl w:val="true"/>
        </w:rPr>
        <w:t xml:space="preserve"> ובפרט</w:t>
      </w:r>
      <w:r>
        <w:rPr>
          <w:rtl w:val="true"/>
        </w:rPr>
        <w:t xml:space="preserve">, </w:t>
      </w:r>
      <w:r>
        <w:rPr>
          <w:rtl w:val="true"/>
        </w:rPr>
        <w:t>להודאת המערער במיוחס לו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שלם אני עם קביעתו של בית המשפט המחוזי כי אף שיש להתחשב בהודאת המערער במלאכת גזירת עונשו </w:t>
      </w:r>
      <w:r>
        <w:rPr>
          <w:rtl w:val="true"/>
        </w:rPr>
        <w:t>–</w:t>
      </w:r>
      <w:r>
        <w:rPr>
          <w:rtl w:val="true"/>
        </w:rPr>
        <w:t xml:space="preserve"> משקלה מוגבל</w:t>
      </w:r>
      <w:r>
        <w:rPr>
          <w:rtl w:val="true"/>
        </w:rPr>
        <w:t xml:space="preserve">. </w:t>
      </w:r>
      <w:r>
        <w:rPr>
          <w:rtl w:val="true"/>
        </w:rPr>
        <w:t>להודאת נאשם במיוחס לו במסגרת הליך פלילי ישנן מספר מעלות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חסכון בזמן שיפוטי</w:t>
      </w:r>
      <w:r>
        <w:rPr>
          <w:rtl w:val="true"/>
        </w:rPr>
        <w:t xml:space="preserve">; </w:t>
      </w:r>
      <w:r>
        <w:rPr>
          <w:rtl w:val="true"/>
        </w:rPr>
        <w:t>שיתוף פעולה עם הרשויות</w:t>
      </w:r>
      <w:r>
        <w:rPr>
          <w:rtl w:val="true"/>
        </w:rPr>
        <w:t xml:space="preserve">; </w:t>
      </w:r>
      <w:r>
        <w:rPr>
          <w:rtl w:val="true"/>
        </w:rPr>
        <w:t>חסכון בהעדת נפגעת העבירה בבית המשפט ותרומה מסוימת להליך שיקומה של נפגעת העבירה</w:t>
      </w:r>
      <w:r>
        <w:rPr>
          <w:rtl w:val="true"/>
        </w:rPr>
        <w:t xml:space="preserve">. </w:t>
      </w:r>
      <w:r>
        <w:rPr>
          <w:rtl w:val="true"/>
        </w:rPr>
        <w:t>אלו הנחו את בית המשפט המחוזי להתחשב בהודאת המערער לקולה בגזירת עונשו בגדרי המתחם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אף שאין בית המשפט בוחן כליות ולב</w:t>
      </w:r>
      <w:r>
        <w:rPr>
          <w:rtl w:val="true"/>
        </w:rPr>
        <w:t xml:space="preserve">, </w:t>
      </w:r>
      <w:r>
        <w:rPr>
          <w:rtl w:val="true"/>
        </w:rPr>
        <w:t xml:space="preserve">להודאתו של המערער נלווית התרשמות שירות המבחן כי המערער עודנו מתקשה </w:t>
      </w:r>
      <w:r>
        <w:rPr>
          <w:rtl w:val="true"/>
        </w:rPr>
        <w:t>"</w:t>
      </w:r>
      <w:r>
        <w:rPr>
          <w:rtl w:val="true"/>
        </w:rPr>
        <w:t>לבטא חרטה ולקבל אחריות על מצבו ועל מעשיו הפוגעניים</w:t>
      </w:r>
      <w:r>
        <w:rPr>
          <w:rtl w:val="true"/>
        </w:rPr>
        <w:t xml:space="preserve">, </w:t>
      </w:r>
      <w:r>
        <w:rPr>
          <w:rtl w:val="true"/>
        </w:rPr>
        <w:t>הן המיניים והן האלימים</w:t>
      </w:r>
      <w:r>
        <w:rPr>
          <w:rtl w:val="true"/>
        </w:rPr>
        <w:t xml:space="preserve">". </w:t>
      </w:r>
      <w:r>
        <w:rPr>
          <w:rtl w:val="true"/>
        </w:rPr>
        <w:t>כך אף בחלוף מספר שנים ממועד ביצוע העבירה</w:t>
      </w:r>
      <w:r>
        <w:rPr>
          <w:rtl w:val="true"/>
        </w:rPr>
        <w:t xml:space="preserve">, </w:t>
      </w:r>
      <w:r>
        <w:rPr>
          <w:rtl w:val="true"/>
        </w:rPr>
        <w:t>כעולה מהתסקיר העדכני שהונח בפנינו</w:t>
      </w:r>
      <w:r>
        <w:rPr>
          <w:rtl w:val="true"/>
        </w:rPr>
        <w:t xml:space="preserve">. </w:t>
      </w:r>
      <w:r>
        <w:rPr>
          <w:rtl w:val="true"/>
        </w:rPr>
        <w:t>התרשמות זו מאפילה על כנות ההודאה ולקיחת האחריות של המערער על מעשיו</w:t>
      </w:r>
      <w:r>
        <w:rPr>
          <w:rtl w:val="true"/>
        </w:rPr>
        <w:t xml:space="preserve">, </w:t>
      </w:r>
      <w:r>
        <w:rPr>
          <w:rtl w:val="true"/>
        </w:rPr>
        <w:t>באופן המשליך על טיבה והשפעתה במלאכת גזירת העונש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בדין התחשב בית המשפט המחוזי בהיבטי הודאת המערער</w:t>
      </w:r>
      <w:r>
        <w:rPr>
          <w:rtl w:val="true"/>
        </w:rPr>
        <w:t xml:space="preserve">, </w:t>
      </w:r>
      <w:r>
        <w:rPr>
          <w:rtl w:val="true"/>
        </w:rPr>
        <w:t>מכאן ומכאן</w:t>
      </w:r>
      <w:r>
        <w:rPr>
          <w:rtl w:val="true"/>
        </w:rPr>
        <w:t xml:space="preserve">, </w:t>
      </w:r>
      <w:r>
        <w:rPr>
          <w:rtl w:val="true"/>
        </w:rPr>
        <w:t>בגזירת עונשו בגדרי המתחם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המסקנה היא כי העונש שנגזר על המערער הולם את חומרת מעשיו ואת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וודאי שהוא לדידי אינו מגלה עילה להתערבות בית משפט זה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המעשים המיוחסים למערער מזעזעים ומעוררי חלחלה בצורה יוצאת דופן</w:t>
      </w:r>
      <w:r>
        <w:rPr>
          <w:rtl w:val="true"/>
        </w:rPr>
        <w:t xml:space="preserve">, </w:t>
      </w:r>
      <w:r>
        <w:rPr>
          <w:rtl w:val="true"/>
        </w:rPr>
        <w:t>וכעניין של גמול ראוי לגזור לו ענישה מחמירה</w:t>
      </w:r>
      <w:r>
        <w:rPr>
          <w:rtl w:val="true"/>
        </w:rPr>
        <w:t xml:space="preserve">, </w:t>
      </w:r>
      <w:r>
        <w:rPr>
          <w:rtl w:val="true"/>
        </w:rPr>
        <w:t>שמשמעותה שנות מאסר ארוכות</w:t>
      </w:r>
      <w:r>
        <w:rPr>
          <w:rtl w:val="true"/>
        </w:rPr>
        <w:t xml:space="preserve">, </w:t>
      </w:r>
      <w:r>
        <w:rPr>
          <w:rtl w:val="true"/>
        </w:rPr>
        <w:t>אולי עד כדי התקופה שנגזרה לו על ידי בית המשפט קמא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בבוא בית משפט להכריע בדינו של נאשם עליו לפעול בהתאם להוראות הדין</w:t>
      </w:r>
      <w:r>
        <w:rPr>
          <w:rtl w:val="true"/>
        </w:rPr>
        <w:t xml:space="preserve">, </w:t>
      </w:r>
      <w:r>
        <w:rPr>
          <w:rtl w:val="true"/>
        </w:rPr>
        <w:t>ובכלל זה בהתאם להוראות בעניין הבניית שיקול הדעת בענישה</w:t>
      </w:r>
      <w:r>
        <w:rPr>
          <w:rtl w:val="true"/>
        </w:rPr>
        <w:t xml:space="preserve">, </w:t>
      </w:r>
      <w:r>
        <w:rPr>
          <w:rtl w:val="true"/>
        </w:rPr>
        <w:t>אשר נקבעו במסגרת 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משנפלה לדעתי טעות מהותית ובולטת בדרך בה יישם בית המשפט קמא הוראות אלה</w:t>
      </w:r>
      <w:r>
        <w:rPr>
          <w:rtl w:val="true"/>
        </w:rPr>
        <w:t xml:space="preserve">, </w:t>
      </w:r>
      <w:r>
        <w:rPr>
          <w:rtl w:val="true"/>
        </w:rPr>
        <w:t>סברתי כי חובתנו היא להתערב ולהקל בעונש</w:t>
      </w:r>
      <w:r>
        <w:rPr>
          <w:rtl w:val="true"/>
        </w:rPr>
        <w:t xml:space="preserve">. </w:t>
      </w:r>
      <w:r>
        <w:rPr>
          <w:rtl w:val="true"/>
        </w:rPr>
        <w:t>אבהיר את עמדתי בקצרה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הליך גזירת העונש</w:t>
      </w:r>
      <w:r>
        <w:rPr>
          <w:rtl w:val="true"/>
        </w:rPr>
        <w:t xml:space="preserve">, </w:t>
      </w:r>
      <w:r>
        <w:rPr>
          <w:rtl w:val="true"/>
        </w:rPr>
        <w:t>על פי ההוראות בעניין הבניית שיקול הדעת בענישה</w:t>
      </w:r>
      <w:r>
        <w:rPr>
          <w:rtl w:val="true"/>
        </w:rPr>
        <w:t xml:space="preserve">, </w:t>
      </w:r>
      <w:r>
        <w:rPr>
          <w:rtl w:val="true"/>
        </w:rPr>
        <w:t>מורכב משני שלבים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על בית המשפט לקבוע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הנהוגה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40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tl w:val="true"/>
        </w:rPr>
        <w:t>" 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על בית המשפט לגזור את העונש המתאים לנאשם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ובהעדר שיקולים לסטייה מהמתחם</w:t>
      </w:r>
      <w:r>
        <w:rPr>
          <w:rtl w:val="true"/>
        </w:rPr>
        <w:t xml:space="preserve">, </w:t>
      </w:r>
      <w:r>
        <w:rPr>
          <w:rtl w:val="true"/>
        </w:rPr>
        <w:t xml:space="preserve">גזירת העונש בתוך המתחם צריכה להתבצע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40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</w:t>
      </w:r>
      <w:r>
        <w:rPr>
          <w:rtl w:val="true"/>
        </w:rPr>
        <w:t>" 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קמא קבע כי העונש ההולם למעשה העבירה שביצע הנאשם מצוי בטווח שבין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 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בכך פעל בהתאם להוראת </w:t>
      </w:r>
      <w:hyperlink r:id="rId36"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ולא מצאתי לא בטיעוני המשיבה</w:t>
      </w:r>
      <w:r>
        <w:rPr>
          <w:rtl w:val="true"/>
        </w:rPr>
        <w:t xml:space="preserve">, </w:t>
      </w:r>
      <w:r>
        <w:rPr>
          <w:rtl w:val="true"/>
        </w:rPr>
        <w:t>לא בחוות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ולא בפסיקה שהביאו הצדדים</w:t>
      </w:r>
      <w:r>
        <w:rPr>
          <w:rtl w:val="true"/>
        </w:rPr>
        <w:t xml:space="preserve">, </w:t>
      </w:r>
      <w:r>
        <w:rPr>
          <w:rtl w:val="true"/>
        </w:rPr>
        <w:t>כדי ללמד שמתחם עונש זה הינו מקל ובלתי ראוי למעשה העבירה שביצע הנאשם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 xml:space="preserve">שנקודת המוצא לגזירת דינו של המערער היא שבהעדר טעמים המצדיקים חריגה ממתחם זה </w:t>
      </w:r>
      <w:r>
        <w:rPr>
          <w:rtl w:val="true"/>
        </w:rPr>
        <w:t>(</w:t>
      </w:r>
      <w:r>
        <w:rPr>
          <w:rtl w:val="true"/>
        </w:rPr>
        <w:t>ואין כל טענה במקרה דנן לקיומם של טעמים שכאלה</w:t>
      </w:r>
      <w:r>
        <w:rPr>
          <w:rtl w:val="true"/>
        </w:rPr>
        <w:t xml:space="preserve">) </w:t>
      </w:r>
      <w:r>
        <w:rPr>
          <w:rtl w:val="true"/>
        </w:rPr>
        <w:t xml:space="preserve">נדרש לקבוע את העונש ההולם לנאשם בתוך המתחם האמור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40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מונה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נסיבות בהן רשאי בית המשפט להתחשב בבואו לגזור את עונשו של הנאשם בתוך המתחם</w:t>
      </w:r>
      <w:r>
        <w:rPr>
          <w:rtl w:val="true"/>
        </w:rPr>
        <w:t xml:space="preserve">. </w:t>
      </w:r>
      <w:r>
        <w:rPr>
          <w:rtl w:val="true"/>
        </w:rPr>
        <w:t>חלקן של הנסיבות הללו אינן רלוונטיות לעניינו של הנאשם</w:t>
      </w:r>
      <w:r>
        <w:rPr>
          <w:rtl w:val="true"/>
        </w:rPr>
        <w:t xml:space="preserve">, </w:t>
      </w:r>
      <w:r>
        <w:rPr>
          <w:rtl w:val="true"/>
        </w:rPr>
        <w:t>או רלוונטיות במידה מועטה מאד לכאן או לכאן</w:t>
      </w:r>
      <w:r>
        <w:rPr>
          <w:rtl w:val="true"/>
        </w:rPr>
        <w:t xml:space="preserve">, </w:t>
      </w:r>
      <w:r>
        <w:rPr>
          <w:rtl w:val="true"/>
        </w:rPr>
        <w:t>ואילו נסיבות אחרות פועלות באופן מובהק ומשמעותי לטובתו</w:t>
      </w:r>
      <w:r>
        <w:rPr>
          <w:rtl w:val="true"/>
        </w:rPr>
        <w:t xml:space="preserve">. </w:t>
      </w:r>
      <w:r>
        <w:rPr>
          <w:rtl w:val="true"/>
        </w:rPr>
        <w:t>בין אלה ניתן למנות את נטילת האחריות של הנאשם על מעשיו</w:t>
      </w:r>
      <w:r>
        <w:rPr>
          <w:rtl w:val="true"/>
        </w:rPr>
        <w:t xml:space="preserve">, </w:t>
      </w:r>
      <w:r>
        <w:rPr>
          <w:rtl w:val="true"/>
        </w:rPr>
        <w:t>אשר גם אם אינה שלמה</w:t>
      </w:r>
      <w:r>
        <w:rPr>
          <w:rtl w:val="true"/>
        </w:rPr>
        <w:t xml:space="preserve">, </w:t>
      </w:r>
      <w:r>
        <w:rPr>
          <w:rtl w:val="true"/>
        </w:rPr>
        <w:t xml:space="preserve">בוודאי פועלת לטובתו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/>
        <w:t>4</w:t>
      </w:r>
      <w:r>
        <w:rPr>
          <w:rtl w:val="true"/>
        </w:rPr>
        <w:t xml:space="preserve">); </w:t>
      </w:r>
      <w:r>
        <w:rPr>
          <w:rtl w:val="true"/>
        </w:rPr>
        <w:t xml:space="preserve">שיתוף הפעולה שלו עם רשויות החוק שהתבטא בכך שהודה וחסך את חקירת המתלוננת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/>
        <w:t>6</w:t>
      </w:r>
      <w:r>
        <w:rPr>
          <w:rtl w:val="true"/>
        </w:rPr>
        <w:t xml:space="preserve">); </w:t>
      </w:r>
      <w:r>
        <w:rPr>
          <w:rtl w:val="true"/>
        </w:rPr>
        <w:t xml:space="preserve">חלוף הזמן מעת ביצוע העבירה </w:t>
      </w:r>
      <w:r>
        <w:rPr>
          <w:rtl w:val="true"/>
        </w:rPr>
        <w:t>–</w:t>
      </w:r>
      <w:r>
        <w:rPr>
          <w:rtl w:val="true"/>
        </w:rPr>
        <w:t xml:space="preserve"> העבירה בוצעה בשנת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כתב האישום הוגש חמש שנים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שלא מסיבות התלויות במערער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/>
        <w:t>10</w:t>
      </w:r>
      <w:r>
        <w:rPr>
          <w:rtl w:val="true"/>
        </w:rPr>
        <w:t xml:space="preserve">); </w:t>
      </w:r>
      <w:r>
        <w:rPr>
          <w:rtl w:val="true"/>
        </w:rPr>
        <w:t>ועברו הפלילי הזניח</w:t>
      </w:r>
      <w:r>
        <w:rPr>
          <w:rtl w:val="true"/>
        </w:rPr>
        <w:t xml:space="preserve">, </w:t>
      </w:r>
      <w:r>
        <w:rPr>
          <w:rtl w:val="true"/>
        </w:rPr>
        <w:t xml:space="preserve">הכולל הרשעות בעבירות משנת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של מכירת עותקים מפרים ומכירת משקה משכר לקטין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 xml:space="preserve">דומני כי לא יכול להיות ספק שהמיקום הנכון של המערער הוא בחלקו התחתון של מתחם העונש הראוי </w:t>
      </w:r>
      <w:r>
        <w:rPr>
          <w:rtl w:val="true"/>
        </w:rPr>
        <w:t>(</w:t>
      </w:r>
      <w:r>
        <w:rPr>
          <w:rtl w:val="true"/>
        </w:rPr>
        <w:t>גם אם לא ממש בתחתית</w:t>
      </w:r>
      <w:r>
        <w:rPr>
          <w:rtl w:val="true"/>
        </w:rPr>
        <w:t xml:space="preserve">), </w:t>
      </w:r>
      <w:r>
        <w:rPr>
          <w:rtl w:val="true"/>
        </w:rPr>
        <w:t>ובוודאי שלא בסמוך לתקרת המתחם</w:t>
      </w:r>
      <w:r>
        <w:rPr>
          <w:rtl w:val="true"/>
        </w:rPr>
        <w:t xml:space="preserve">, </w:t>
      </w:r>
      <w:r>
        <w:rPr>
          <w:rtl w:val="true"/>
        </w:rPr>
        <w:t>כפי שמיקמו בית המשפט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להערכתי בתוך המתחם </w:t>
      </w:r>
      <w:r>
        <w:rPr>
          <w:rtl w:val="true"/>
        </w:rPr>
        <w:t>(</w:t>
      </w:r>
      <w:r>
        <w:rPr>
          <w:rtl w:val="true"/>
        </w:rPr>
        <w:t xml:space="preserve">כזכור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בהתחשב בשיקולים שאינם קשורים לביצוע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היה מקום לגזור למערער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 נעלמה מעיניי העובדה כי בית המשפט קמא הצדיק את החלטתו האמורה באמצעות הפניה </w:t>
      </w:r>
      <w:hyperlink r:id="rId40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 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המאפשר להביא בחשבון במסגרת המתחם את שיקול </w:t>
      </w:r>
      <w:r>
        <w:rPr>
          <w:rtl w:val="true"/>
        </w:rPr>
        <w:t>"</w:t>
      </w:r>
      <w:r>
        <w:rPr>
          <w:rtl w:val="true"/>
        </w:rPr>
        <w:t>הרתעת הרבים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אני מתקשה לקבל הצדקה זו במקרה דנן</w:t>
      </w:r>
      <w:r>
        <w:rPr>
          <w:rtl w:val="true"/>
        </w:rPr>
        <w:t xml:space="preserve">. </w:t>
      </w:r>
      <w:r>
        <w:rPr>
          <w:rtl w:val="true"/>
        </w:rPr>
        <w:t>אין חולק כי הרתעת הרבים מצדיקה החמרה בעבירות מין בכלל</w:t>
      </w:r>
      <w:r>
        <w:rPr>
          <w:rtl w:val="true"/>
        </w:rPr>
        <w:t xml:space="preserve">, </w:t>
      </w:r>
      <w:r>
        <w:rPr>
          <w:rtl w:val="true"/>
        </w:rPr>
        <w:t>ובעבירות מסוג אינוס בפרט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עניין זה מוצא ביטויו בשנים האחרונות בצורה ראויה בהחמרת מתחם הענישה בגין עבירות אלה</w:t>
      </w:r>
      <w:r>
        <w:rPr>
          <w:rtl w:val="true"/>
        </w:rPr>
        <w:t xml:space="preserve">, </w:t>
      </w:r>
      <w:r>
        <w:rPr>
          <w:rtl w:val="true"/>
        </w:rPr>
        <w:t xml:space="preserve">ובענייננו בכך שבגין מעשה בודד נקבע מתחם של </w:t>
      </w:r>
      <w:r>
        <w:rPr/>
        <w:t>17-13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הגבוה משמעותית מזה שהיה נהוג בעבר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המעשה בו הורשע המערער</w:t>
      </w:r>
      <w:r>
        <w:rPr>
          <w:rtl w:val="true"/>
        </w:rPr>
        <w:t xml:space="preserve">, </w:t>
      </w:r>
      <w:r>
        <w:rPr>
          <w:rtl w:val="true"/>
        </w:rPr>
        <w:t>על כל שיפלותו ונבזיותו</w:t>
      </w:r>
      <w:r>
        <w:rPr>
          <w:rtl w:val="true"/>
        </w:rPr>
        <w:t xml:space="preserve">, </w:t>
      </w:r>
      <w:r>
        <w:rPr>
          <w:rtl w:val="true"/>
        </w:rPr>
        <w:t>אינו כה חריג ויוצא דופן עד שניתן להצדיק באמצעות טעם הרתעת הרבים לנהוג עמו בצורה שונה מהמקובל ביחס לעברייני מין אחרים</w:t>
      </w:r>
      <w:r>
        <w:rPr>
          <w:rtl w:val="true"/>
        </w:rPr>
        <w:t xml:space="preserve">, </w:t>
      </w:r>
      <w:r>
        <w:rPr>
          <w:rtl w:val="true"/>
        </w:rPr>
        <w:t>ולא למקמו בתוך המתחם על פי השיקולים והאיזונים בהם אנו עושים שימוש חדשות לבקרים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 בכדי נמנע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מלהתבסס על טיעון זה בבואו להצדיק את עונשו של המערער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דומה שהטעם המרכזי בעטיו נמנע חברי מלהתערב במקרה זה</w:t>
      </w:r>
      <w:r>
        <w:rPr>
          <w:rtl w:val="true"/>
        </w:rPr>
        <w:t xml:space="preserve">, </w:t>
      </w:r>
      <w:r>
        <w:rPr>
          <w:rtl w:val="true"/>
        </w:rPr>
        <w:t>היא עמדתו כי העונש שנגזר על המערער אינו חורג מהראוי לו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לעיתים קרובות חוזרים אנו בפני הצדדים על האמירה כי כערכאת ערעור אין אנו מדקדקים בבחינת המתחם שתחמה הערכאה הדיונית והמיקום שמיקמה את הנאשם בתוכו</w:t>
      </w:r>
      <w:r>
        <w:rPr>
          <w:rtl w:val="true"/>
        </w:rPr>
        <w:t xml:space="preserve">, </w:t>
      </w:r>
      <w:r>
        <w:rPr>
          <w:rtl w:val="true"/>
        </w:rPr>
        <w:t>אלא בוחנים אם מתקיימת הלימה בתוצאה הסופית</w:t>
      </w:r>
      <w:r>
        <w:rPr>
          <w:rtl w:val="true"/>
        </w:rPr>
        <w:t xml:space="preserve">. </w:t>
      </w:r>
      <w:r>
        <w:rPr>
          <w:rtl w:val="true"/>
        </w:rPr>
        <w:t>אכן כך</w:t>
      </w:r>
      <w:r>
        <w:rPr>
          <w:rtl w:val="true"/>
        </w:rPr>
        <w:t xml:space="preserve">, </w:t>
      </w:r>
      <w:r>
        <w:rPr>
          <w:rtl w:val="true"/>
        </w:rPr>
        <w:t>אולם גם למדיניות אי התערבות זו יש גבולות</w:t>
      </w:r>
      <w:r>
        <w:rPr>
          <w:rtl w:val="true"/>
        </w:rPr>
        <w:t xml:space="preserve">. </w:t>
      </w:r>
      <w:r>
        <w:rPr>
          <w:rtl w:val="true"/>
        </w:rPr>
        <w:t>כאשר המתחם שנקבע הינו ראוי</w:t>
      </w:r>
      <w:r>
        <w:rPr>
          <w:rtl w:val="true"/>
        </w:rPr>
        <w:t xml:space="preserve">, </w:t>
      </w:r>
      <w:r>
        <w:rPr>
          <w:rtl w:val="true"/>
        </w:rPr>
        <w:t>ואינו נוטה לקולה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ואילו מיקום הנאשם בתוך המתחם שגוי בעליל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אינני רואה כיצד יכולים אנו להימנע מביצוע חובתנו להתערב כשמלאכת גזרת הדין לא נעשתה כמצוות המחוקק</w:t>
      </w:r>
      <w:r>
        <w:rPr>
          <w:rtl w:val="true"/>
        </w:rPr>
        <w:t xml:space="preserve">. </w:t>
      </w:r>
      <w:r>
        <w:rPr>
          <w:rtl w:val="true"/>
        </w:rPr>
        <w:t xml:space="preserve">כך הורה בית משפט זה בעבר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8538/18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7.1.2019</w:t>
      </w:r>
      <w:r>
        <w:rPr>
          <w:rtl w:val="true"/>
        </w:rPr>
        <w:t xml:space="preserve">)). </w:t>
      </w:r>
      <w:r>
        <w:rPr>
          <w:rtl w:val="true"/>
        </w:rPr>
        <w:t>כך סבורני שראוי להורות גם במקרה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אילו דעתי הייתה נשמעת היינו מקלים ברכיב המאסר בפועל בעונש שנגזר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ומעמידים אותו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Ruller31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לדעת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 xml:space="preserve">העונש שנגזר על 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ועונשים נלווים </w:t>
      </w:r>
      <w:r>
        <w:rPr>
          <w:rtl w:val="true"/>
        </w:rPr>
        <w:t>–</w:t>
      </w:r>
      <w:r>
        <w:rPr>
          <w:rtl w:val="true"/>
        </w:rPr>
        <w:t xml:space="preserve"> הולם את חומרת מעשיו ואת נסיבות ביצוע עבירת האינוס שבביצועה הורשע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 xml:space="preserve">סבור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כי נפלה טעות מהותית ובולטת בדרך שבה יִשׂם בית המשפט קמא את הוראות הדין</w:t>
      </w:r>
      <w:r>
        <w:rPr>
          <w:rtl w:val="true"/>
        </w:rPr>
        <w:t xml:space="preserve">, </w:t>
      </w:r>
      <w:r>
        <w:rPr>
          <w:rtl w:val="true"/>
        </w:rPr>
        <w:t>ומן הראוי להקל בעונש</w:t>
      </w:r>
      <w:r>
        <w:rPr>
          <w:rtl w:val="true"/>
        </w:rPr>
        <w:t xml:space="preserve">, </w:t>
      </w:r>
      <w:r>
        <w:rPr>
          <w:rtl w:val="true"/>
        </w:rPr>
        <w:t>להפחית שנתיים מתקופת המאסר</w:t>
      </w:r>
      <w:r>
        <w:rPr>
          <w:rtl w:val="true"/>
        </w:rPr>
        <w:t xml:space="preserve">. </w:t>
      </w:r>
      <w:r>
        <w:rPr>
          <w:rtl w:val="true"/>
        </w:rPr>
        <w:t>עלי להכריע ביניהם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חברַי תמימי</w:t>
      </w:r>
      <w:r>
        <w:rPr>
          <w:rtl w:val="true"/>
        </w:rPr>
        <w:t>-</w:t>
      </w:r>
      <w:r>
        <w:rPr>
          <w:rtl w:val="true"/>
        </w:rPr>
        <w:t>דעים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העונש ההולם שקבע בית המשפט המחוזי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–</w:t>
      </w:r>
      <w:r>
        <w:rPr>
          <w:rtl w:val="true"/>
        </w:rPr>
        <w:t xml:space="preserve"> ראוי</w:t>
      </w:r>
      <w:r>
        <w:rPr>
          <w:rtl w:val="true"/>
        </w:rPr>
        <w:t xml:space="preserve">, </w:t>
      </w:r>
      <w:r>
        <w:rPr>
          <w:rtl w:val="true"/>
        </w:rPr>
        <w:t>ומשקף את חומרת מעשיו של המערער</w:t>
      </w:r>
      <w:r>
        <w:rPr>
          <w:rtl w:val="true"/>
        </w:rPr>
        <w:t xml:space="preserve">. </w:t>
      </w:r>
      <w:r>
        <w:rPr>
          <w:rtl w:val="true"/>
        </w:rPr>
        <w:t>המחלוקת מתמקדת בגזירת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בהתאם לנסיבות שאינן קשורות בביצוע העבירה </w:t>
      </w:r>
      <w:r>
        <w:rPr>
          <w:rtl w:val="true"/>
        </w:rPr>
        <w:t>(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מונה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נסיבות 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פועלות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לטובתו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ומצדיקות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לדעתו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מיקום העונש בחלקו התחתון של המתחם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נטילת האחריות של המערער על מעשיו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שיתוף הפעולה מצדו עם רשויות החוק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חלוף הזמן מעת 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ועברו הפלילי 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זניח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דעתי שונה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באשר לנטילת האחריות של המערער על מעשיו </w:t>
      </w:r>
      <w:r>
        <w:rPr>
          <w:rtl w:val="true"/>
        </w:rPr>
        <w:t>–</w:t>
      </w:r>
      <w:r>
        <w:rPr>
          <w:rtl w:val="true"/>
        </w:rPr>
        <w:t xml:space="preserve"> הפכתי והפכתי במה שהובא לעיוננו</w:t>
      </w:r>
      <w:r>
        <w:rPr>
          <w:rtl w:val="true"/>
        </w:rPr>
        <w:t xml:space="preserve">, </w:t>
      </w:r>
      <w:r>
        <w:rPr>
          <w:rtl w:val="true"/>
        </w:rPr>
        <w:t>ולא מצאתי עדות נאמנה לנטילת אחריות כאמור</w:t>
      </w:r>
      <w:r>
        <w:rPr>
          <w:rtl w:val="true"/>
        </w:rPr>
        <w:t xml:space="preserve">. </w:t>
      </w:r>
      <w:r>
        <w:rPr>
          <w:rtl w:val="true"/>
        </w:rPr>
        <w:t>בתסקיר שירות המבחן אף צוין במפורש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חרף חלוף הזמן מביצוע העבירה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מתקשה המערער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הפוגעניים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האלימים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אמנם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שיתף פעולה עם רשויות החוק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והודה במעשים שבביצועם הואשם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ברי כי הודאה לחוד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ונטילת אחריות לחוד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בכדי שקד המחוקק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ויצר הבחנה ברורה בין נטילת האחריות של נאשם על מעשיו </w:t>
      </w:r>
      <w:r>
        <w:rPr>
          <w:rFonts w:cs="Century" w:ascii="Century" w:hAnsi="Century"/>
          <w:sz w:val="22"/>
          <w:rtl w:val="true"/>
        </w:rPr>
        <w:t>(</w:t>
      </w:r>
      <w:hyperlink r:id="rId4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4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לבין </w:t>
      </w:r>
      <w:r>
        <w:rPr>
          <w:rFonts w:ascii="Century" w:hAnsi="Century" w:cs="Century"/>
          <w:sz w:val="22"/>
          <w:sz w:val="22"/>
          <w:rtl w:val="true"/>
        </w:rPr>
        <w:t>שיתוף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הפעולה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הנאשם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רשויות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אכיפת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החוק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4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cs="Century" w:ascii="Century" w:hAnsi="Century"/>
            <w:sz w:val="22"/>
          </w:rPr>
          <w:t>6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הודאת הנאשם יכולה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בנסיבות מסוימות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להוות אינדיקציה לנטילת אחריות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האחרונה אינה נובעת בהכרח מהראשונה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לשון אחר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הודאה היא אמנם תנאי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הכרחי</w:t>
      </w:r>
      <w:r>
        <w:rPr>
          <w:rFonts w:ascii="Century" w:hAnsi="Century" w:cs="Century"/>
          <w:sz w:val="22"/>
          <w:sz w:val="22"/>
          <w:rtl w:val="true"/>
        </w:rPr>
        <w:t xml:space="preserve"> לנטילת אחריות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אך אינה תנאי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ענייננו יוכיח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בתסקיר שירות המבחן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למעט הודאתו בעצם קיום המגע המיני עם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צמצם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יוזמה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והדדיות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הרחיק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ממרבית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להודות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לדבריו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מניהול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אין בעצם ההודאה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ללמד על נטילת אחריות מצדו של 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יש להביאה בחשבון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כנסיבה מקלה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במסגרת השיקול של שיתוף הפעולה עם רשויות החוק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אינני סבור כי בנסיבות העניין שעל הפרק</w:t>
      </w:r>
      <w:r>
        <w:rPr>
          <w:rtl w:val="true"/>
        </w:rPr>
        <w:t xml:space="preserve">, </w:t>
      </w:r>
      <w:r>
        <w:rPr>
          <w:rtl w:val="true"/>
        </w:rPr>
        <w:t xml:space="preserve">יש בחלוף הזמן מעת ביצוע העבירה ועד הגשת כתב האישום </w:t>
      </w:r>
      <w:r>
        <w:rPr>
          <w:rtl w:val="true"/>
        </w:rPr>
        <w:t>–</w:t>
      </w:r>
      <w:r>
        <w:rPr>
          <w:rtl w:val="true"/>
        </w:rPr>
        <w:t xml:space="preserve">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כדי להצדיק הקלה בעונשו של המערער</w:t>
      </w:r>
      <w:r>
        <w:rPr>
          <w:rtl w:val="true"/>
        </w:rPr>
        <w:t xml:space="preserve">. </w:t>
      </w:r>
      <w:r>
        <w:rPr>
          <w:rtl w:val="true"/>
        </w:rPr>
        <w:t>לא פעם ולא פעמיים</w:t>
      </w:r>
      <w:r>
        <w:rPr>
          <w:rtl w:val="true"/>
        </w:rPr>
        <w:t xml:space="preserve">, </w:t>
      </w:r>
      <w:r>
        <w:rPr>
          <w:rtl w:val="true"/>
        </w:rPr>
        <w:t xml:space="preserve">עמד בית משפט זה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 הקושי הכרוך בהגשת תלונות על עבירות מין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קל וחומר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כאשר מדובר בקטינה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בן בנו של קל וחומר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כאשר בין המתלוננת הקטינה לבין הנאשם מתקיימים יחסי קרבה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 למשל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2485/00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נה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918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925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2001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5271/09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17.5.2011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4197/14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12.4.2015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ראו גם את הסייג להתיישנות עבירות מין בקטין</w:t>
      </w:r>
      <w:r>
        <w:rPr>
          <w:rFonts w:cs="Century" w:ascii="Century" w:hAnsi="Century"/>
          <w:sz w:val="22"/>
          <w:rtl w:val="true"/>
        </w:rPr>
        <w:t xml:space="preserve">, </w:t>
      </w:r>
      <w:hyperlink r:id="rId5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קושי זה עשוי</w:t>
      </w:r>
      <w:r>
        <w:rPr>
          <w:rtl w:val="true"/>
        </w:rPr>
        <w:t xml:space="preserve">, </w:t>
      </w:r>
      <w:r>
        <w:rPr>
          <w:rtl w:val="true"/>
        </w:rPr>
        <w:t>במקרים מסוימים</w:t>
      </w:r>
      <w:r>
        <w:rPr>
          <w:rtl w:val="true"/>
        </w:rPr>
        <w:t xml:space="preserve">, </w:t>
      </w:r>
      <w:r>
        <w:rPr>
          <w:rtl w:val="true"/>
        </w:rPr>
        <w:t>לגרום לחלוף זמן רב מעת ביצוע העבירה עד להגשת התלונה</w:t>
      </w:r>
      <w:r>
        <w:rPr>
          <w:rtl w:val="true"/>
        </w:rPr>
        <w:t xml:space="preserve">, </w:t>
      </w:r>
      <w:r>
        <w:rPr>
          <w:rtl w:val="true"/>
        </w:rPr>
        <w:t>וכפועל יוצא מכך</w:t>
      </w:r>
      <w:r>
        <w:rPr>
          <w:rtl w:val="true"/>
        </w:rPr>
        <w:t xml:space="preserve">, </w:t>
      </w:r>
      <w:r>
        <w:rPr>
          <w:rtl w:val="true"/>
        </w:rPr>
        <w:t>עד להגשת כתב האישום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בהתחשב בכך שהמקור לקושי</w:t>
      </w:r>
      <w:r>
        <w:rPr>
          <w:rtl w:val="true"/>
        </w:rPr>
        <w:t xml:space="preserve">, </w:t>
      </w:r>
      <w:r>
        <w:rPr>
          <w:rtl w:val="true"/>
        </w:rPr>
        <w:t xml:space="preserve">טמון בעצם מעשיו של הנאשם </w:t>
      </w:r>
      <w:r>
        <w:rPr>
          <w:rtl w:val="true"/>
        </w:rPr>
        <w:t>–</w:t>
      </w:r>
      <w:r>
        <w:rPr>
          <w:rtl w:val="true"/>
        </w:rPr>
        <w:t xml:space="preserve"> רק בחלוף זמן רב</w:t>
      </w:r>
      <w:r>
        <w:rPr>
          <w:rtl w:val="true"/>
        </w:rPr>
        <w:t xml:space="preserve">, </w:t>
      </w:r>
      <w:r>
        <w:rPr>
          <w:rtl w:val="true"/>
        </w:rPr>
        <w:t>רב מאוד</w:t>
      </w:r>
      <w:r>
        <w:rPr>
          <w:rtl w:val="true"/>
        </w:rPr>
        <w:t xml:space="preserve">, </w:t>
      </w:r>
      <w:r>
        <w:rPr>
          <w:rtl w:val="true"/>
        </w:rPr>
        <w:t>ניתן להצביע על פרק הזמן שחלף ממועד ביצוע העבירה עד הגשת כתב האישום</w:t>
      </w:r>
      <w:r>
        <w:rPr>
          <w:rtl w:val="true"/>
        </w:rPr>
        <w:t xml:space="preserve">, </w:t>
      </w:r>
      <w:r>
        <w:rPr>
          <w:rtl w:val="true"/>
        </w:rPr>
        <w:t>כנסיבה מקלה</w:t>
      </w:r>
      <w:r>
        <w:rPr>
          <w:rtl w:val="true"/>
        </w:rPr>
        <w:t xml:space="preserve">. </w:t>
      </w:r>
      <w:r>
        <w:rPr>
          <w:rtl w:val="true"/>
        </w:rPr>
        <w:t>לא בכדי</w:t>
      </w:r>
      <w:r>
        <w:rPr>
          <w:rtl w:val="true"/>
        </w:rPr>
        <w:t xml:space="preserve">, </w:t>
      </w:r>
      <w:r>
        <w:rPr>
          <w:rtl w:val="true"/>
        </w:rPr>
        <w:t>במרבית המקרים שבהם הכיר בית משפט זה בפרק הזמן שחלף מעת ביצוע עבירות אינוס עד להגשת כתב אישום</w:t>
      </w:r>
      <w:r>
        <w:rPr>
          <w:rtl w:val="true"/>
        </w:rPr>
        <w:t xml:space="preserve">, </w:t>
      </w:r>
      <w:r>
        <w:rPr>
          <w:rtl w:val="true"/>
        </w:rPr>
        <w:t xml:space="preserve">כנסיבה מקלה לפי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מדובר היה על פרק זמן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שנים לפחות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15.6.2020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2790/13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8.9.2014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7211/13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13.12.2015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לא זו אף זו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טענה שהועלתה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יש בחלוף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מביצוע המעשים ועד להגשת התלונה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להוות נסיבה מקלה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במקרה של ביצוע מעשי סדום בקטינה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נדחתה במפורש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>אין הצדקה אפוא להביא את חלוף הזמן שעבר מביצוע העבירה עד להגשת כתב האישום</w:t>
      </w:r>
      <w:r>
        <w:rPr>
          <w:rtl w:val="true"/>
        </w:rPr>
        <w:t xml:space="preserve">, </w:t>
      </w:r>
      <w:r>
        <w:rPr>
          <w:rtl w:val="true"/>
        </w:rPr>
        <w:t>כשיקול להקלה בעונש שנגזר על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משאֵלו הם פני הדברים</w:t>
      </w:r>
      <w:r>
        <w:rPr>
          <w:rtl w:val="true"/>
        </w:rPr>
        <w:t xml:space="preserve">, </w:t>
      </w:r>
      <w:r>
        <w:rPr>
          <w:rtl w:val="true"/>
        </w:rPr>
        <w:t>הגם שאין לכחד כי העונש שנגזר על המערער הוא על הצד המחמיר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כי יש בנסיבות המקלות הנותרות </w:t>
      </w:r>
      <w:r>
        <w:rPr>
          <w:rtl w:val="true"/>
        </w:rPr>
        <w:t>–</w:t>
      </w:r>
      <w:r>
        <w:rPr>
          <w:rtl w:val="true"/>
        </w:rPr>
        <w:t xml:space="preserve"> הודאתו של המערער</w:t>
      </w:r>
      <w:r>
        <w:rPr>
          <w:rtl w:val="true"/>
        </w:rPr>
        <w:t xml:space="preserve">, </w:t>
      </w:r>
      <w:r>
        <w:rPr>
          <w:rtl w:val="true"/>
        </w:rPr>
        <w:t>ועברוֹ הפלילי 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זניח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שאותן שקל גם בית המשפט המחוזי</w:t>
      </w:r>
      <w:r>
        <w:rPr>
          <w:rtl w:val="true"/>
        </w:rPr>
        <w:t xml:space="preserve">, </w:t>
      </w:r>
      <w:r>
        <w:rPr>
          <w:rtl w:val="true"/>
        </w:rPr>
        <w:t>כדי להביא את המקרה שלפנינו בגדר המקרים החריגים</w:t>
      </w:r>
      <w:r>
        <w:rPr>
          <w:rtl w:val="true"/>
        </w:rPr>
        <w:t xml:space="preserve">, </w:t>
      </w:r>
      <w:r>
        <w:rPr>
          <w:rtl w:val="true"/>
        </w:rPr>
        <w:t>המצדיקים את התערבות ערכאת הערעור בגזר הדין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החלטתי לצרף את דעתי לדעתו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; </w:t>
      </w:r>
      <w:r>
        <w:rPr>
          <w:rtl w:val="true"/>
        </w:rPr>
        <w:t xml:space="preserve">דינו של הערעור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. </w:t>
      </w:r>
      <w:r>
        <w:rPr>
          <w:rtl w:val="true"/>
        </w:rPr>
        <w:t>מעשה האינוס מזווי</w:t>
      </w:r>
      <w:r>
        <w:rPr>
          <w:rtl w:val="true"/>
        </w:rPr>
        <w:t>ע</w:t>
      </w:r>
      <w:r>
        <w:rPr>
          <w:rtl w:val="true"/>
        </w:rPr>
        <w:t xml:space="preserve"> ונורא</w:t>
      </w:r>
      <w:r>
        <w:rPr>
          <w:rtl w:val="true"/>
        </w:rPr>
        <w:t xml:space="preserve">; </w:t>
      </w:r>
      <w:r>
        <w:rPr>
          <w:rtl w:val="true"/>
        </w:rPr>
        <w:t>גזר הדין יעמוד בעינו</w:t>
      </w:r>
      <w:r>
        <w:rPr>
          <w:rtl w:val="true"/>
        </w:rPr>
        <w:t xml:space="preserve">.  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2.11.2022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22032650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54678313-3265/22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3265/22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09738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5.b.3" TargetMode="External"/><Relationship Id="rId9" Type="http://schemas.openxmlformats.org/officeDocument/2006/relationships/hyperlink" Target="http://www.nevo.co.il/law/70301/345a.1" TargetMode="External"/><Relationship Id="rId10" Type="http://schemas.openxmlformats.org/officeDocument/2006/relationships/hyperlink" Target="http://www.nevo.co.il/law/70301/354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a.10" TargetMode="External"/><Relationship Id="rId13" Type="http://schemas.openxmlformats.org/officeDocument/2006/relationships/hyperlink" Target="http://www.nevo.co.il/law/70301/40ja.4" TargetMode="External"/><Relationship Id="rId14" Type="http://schemas.openxmlformats.org/officeDocument/2006/relationships/hyperlink" Target="http://www.nevo.co.il/law/70301/40ja.6" TargetMode="External"/><Relationship Id="rId15" Type="http://schemas.openxmlformats.org/officeDocument/2006/relationships/hyperlink" Target="http://www.nevo.co.il/law/70301/jCeS" TargetMode="External"/><Relationship Id="rId16" Type="http://schemas.openxmlformats.org/officeDocument/2006/relationships/hyperlink" Target="http://www.nevo.co.il/case/27097384" TargetMode="External"/><Relationship Id="rId17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70301/345a.1" TargetMode="External"/><Relationship Id="rId19" Type="http://schemas.openxmlformats.org/officeDocument/2006/relationships/hyperlink" Target="http://www.nevo.co.il/law/70301/345.b.3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jCeS" TargetMode="External"/><Relationship Id="rId22" Type="http://schemas.openxmlformats.org/officeDocument/2006/relationships/hyperlink" Target="http://www.nevo.co.il/law/70301/jCeS" TargetMode="External"/><Relationship Id="rId23" Type="http://schemas.openxmlformats.org/officeDocument/2006/relationships/hyperlink" Target="http://www.nevo.co.il/case/26117879" TargetMode="External"/><Relationship Id="rId24" Type="http://schemas.openxmlformats.org/officeDocument/2006/relationships/hyperlink" Target="http://www.nevo.co.il/case/27567080" TargetMode="External"/><Relationship Id="rId25" Type="http://schemas.openxmlformats.org/officeDocument/2006/relationships/hyperlink" Target="http://www.nevo.co.il/case/27771093" TargetMode="External"/><Relationship Id="rId26" Type="http://schemas.openxmlformats.org/officeDocument/2006/relationships/hyperlink" Target="http://www.nevo.co.il/case/27697306" TargetMode="External"/><Relationship Id="rId27" Type="http://schemas.openxmlformats.org/officeDocument/2006/relationships/hyperlink" Target="http://www.nevo.co.il/case/27513365" TargetMode="External"/><Relationship Id="rId28" Type="http://schemas.openxmlformats.org/officeDocument/2006/relationships/hyperlink" Target="http://www.nevo.co.il/case/25860716" TargetMode="External"/><Relationship Id="rId29" Type="http://schemas.openxmlformats.org/officeDocument/2006/relationships/hyperlink" Target="http://www.nevo.co.il/case/27292084" TargetMode="External"/><Relationship Id="rId30" Type="http://schemas.openxmlformats.org/officeDocument/2006/relationships/hyperlink" Target="http://www.nevo.co.il/case/28660017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c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c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c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g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5199225" TargetMode="External"/><Relationship Id="rId43" Type="http://schemas.openxmlformats.org/officeDocument/2006/relationships/hyperlink" Target="http://www.nevo.co.il/law/70301/40j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ja.4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ja.6" TargetMode="External"/><Relationship Id="rId48" Type="http://schemas.openxmlformats.org/officeDocument/2006/relationships/hyperlink" Target="http://www.nevo.co.il/case/5816508" TargetMode="External"/><Relationship Id="rId49" Type="http://schemas.openxmlformats.org/officeDocument/2006/relationships/hyperlink" Target="http://www.nevo.co.il/case/6246224" TargetMode="External"/><Relationship Id="rId50" Type="http://schemas.openxmlformats.org/officeDocument/2006/relationships/hyperlink" Target="http://www.nevo.co.il/case/20180960" TargetMode="External"/><Relationship Id="rId51" Type="http://schemas.openxmlformats.org/officeDocument/2006/relationships/hyperlink" Target="http://www.nevo.co.il/law/70301/354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ja.10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5971456" TargetMode="External"/><Relationship Id="rId56" Type="http://schemas.openxmlformats.org/officeDocument/2006/relationships/hyperlink" Target="http://www.nevo.co.il/case/10518566" TargetMode="External"/><Relationship Id="rId57" Type="http://schemas.openxmlformats.org/officeDocument/2006/relationships/hyperlink" Target="http://www.nevo.co.il/case/10442984" TargetMode="External"/><Relationship Id="rId58" Type="http://schemas.openxmlformats.org/officeDocument/2006/relationships/hyperlink" Target="https://supreme.court.gov.il/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2022-11-03T10:35:00Z</dcterms:created>
  <dc:creator>h4</dc:creator>
  <dc:description/>
  <cp:keywords/>
  <dc:language>en-IL</dc:language>
  <cp:lastModifiedBy>orly</cp:lastModifiedBy>
  <cp:lastPrinted>2022-11-02T13:45:00Z</cp:lastPrinted>
  <dcterms:modified xsi:type="dcterms:W3CDTF">2022-11-03T10:35:00Z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27097384:2;26117879;27567080;27771093;27697306;27513365;25860716;27292084;28660017;25199225;5816508;6246224;20180960;25971456;10518566;10442984</vt:lpwstr>
  </property>
  <property fmtid="{D5CDD505-2E9C-101B-9397-08002B2CF9AE}" pid="9" name="CITY">
    <vt:lpwstr/>
  </property>
  <property fmtid="{D5CDD505-2E9C-101B-9397-08002B2CF9AE}" pid="10" name="DATE">
    <vt:lpwstr>20221102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אלרון;ע' גרוסקופף</vt:lpwstr>
  </property>
  <property fmtid="{D5CDD505-2E9C-101B-9397-08002B2CF9AE}" pid="14" name="LAWLISTTMP1">
    <vt:lpwstr>70301/345.b.1;345a.1;345.b.3;jCeS:2;040c.a:2;040c.b;40ja:2;040g;40ja.4;40ja.6;354;40ja.10</vt:lpwstr>
  </property>
  <property fmtid="{D5CDD505-2E9C-101B-9397-08002B2CF9AE}" pid="15" name="LAWYER">
    <vt:lpwstr>אריה פטר;ניר אלפסה;תמי קלנברג לוי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1446;1446;1446;504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הבניית שיקול הדעת השיפוטי בענישה</vt:lpwstr>
  </property>
  <property fmtid="{D5CDD505-2E9C-101B-9397-08002B2CF9AE}" pid="52" name="NOSE34">
    <vt:lpwstr>אי-התערבות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16970;8995;15573;17039</vt:lpwstr>
  </property>
  <property fmtid="{D5CDD505-2E9C-101B-9397-08002B2CF9AE}" pid="59" name="PADIDATE">
    <vt:lpwstr>20221103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3265</vt:lpwstr>
  </property>
  <property fmtid="{D5CDD505-2E9C-101B-9397-08002B2CF9AE}" pid="65" name="PROCYEAR">
    <vt:lpwstr>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410120221102</vt:lpwstr>
  </property>
  <property fmtid="{D5CDD505-2E9C-101B-9397-08002B2CF9AE}" pid="69" name="TYPE_N_DATE">
    <vt:lpwstr>41020221102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