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3300/16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אסמעיל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ענזה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14.3.2016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29240-05-14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א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בטבת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Cs w:val="26"/>
              </w:rPr>
              <w:t>19.01.17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3" w:name="lawyers_a_title"/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  <w:bookmarkEnd w:id="3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סיף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ותד</w:t>
            </w:r>
            <w:r>
              <w:rPr>
                <w:sz w:val="26"/>
                <w:sz w:val="26"/>
                <w:szCs w:val="26"/>
                <w:rtl w:val="true"/>
              </w:rPr>
              <w:t xml:space="preserve">            </w:t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/>
            </w:pPr>
            <w:bookmarkStart w:id="4" w:name="FirstLawyer"/>
            <w:bookmarkStart w:id="5" w:name="lawyers_b_title"/>
            <w:bookmarkEnd w:id="4"/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  <w:bookmarkEnd w:id="5"/>
          </w:p>
          <w:p>
            <w:pPr>
              <w:pStyle w:val="ruller31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: </w:t>
            </w:r>
          </w:p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מורן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פולמן</w:t>
            </w:r>
          </w:p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ס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275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338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בתוספת הראשונה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בתוספת השנייה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pacing w:val="0"/>
          <w:sz w:val="24"/>
          <w:szCs w:val="26"/>
        </w:rPr>
      </w:pPr>
      <w:bookmarkStart w:id="8" w:name="ABSTRACT_START"/>
      <w:bookmarkStart w:id="9" w:name="LawTable_End"/>
      <w:bookmarkEnd w:id="8"/>
      <w:bookmarkEnd w:id="9"/>
      <w:r>
        <w:rPr>
          <w:rFonts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/>
          <w:spacing w:val="0"/>
          <w:sz w:val="24"/>
          <w:szCs w:val="26"/>
          <w:rtl w:val="true"/>
        </w:rPr>
        <w:t>-</w:t>
      </w:r>
      <w:r>
        <w:rPr>
          <w:rFonts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/>
          <w:spacing w:val="0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  <w:t xml:space="preserve">* </w:t>
      </w:r>
      <w:r>
        <w:rPr>
          <w:rFonts w:cs="FrankRuehl"/>
          <w:spacing w:val="0"/>
          <w:sz w:val="24"/>
          <w:sz w:val="24"/>
          <w:szCs w:val="26"/>
          <w:rtl w:val="true"/>
        </w:rPr>
        <w:t>תעבורה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ענישה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  <w:t xml:space="preserve">* </w:t>
      </w:r>
      <w:r>
        <w:rPr>
          <w:rFonts w:cs="FrankRuehl"/>
          <w:spacing w:val="0"/>
          <w:sz w:val="24"/>
          <w:sz w:val="24"/>
          <w:szCs w:val="26"/>
          <w:rtl w:val="true"/>
        </w:rPr>
        <w:t>עונשין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/>
          <w:spacing w:val="0"/>
          <w:sz w:val="24"/>
          <w:szCs w:val="26"/>
          <w:rtl w:val="true"/>
        </w:rPr>
        <w:t xml:space="preserve">: </w:t>
      </w:r>
      <w:r>
        <w:rPr>
          <w:rFonts w:cs="FrankRuehl"/>
          <w:spacing w:val="0"/>
          <w:sz w:val="24"/>
          <w:sz w:val="24"/>
          <w:szCs w:val="26"/>
          <w:rtl w:val="true"/>
        </w:rPr>
        <w:t>סיכון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חיי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אדם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בנתיב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תחבורה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  <w:t xml:space="preserve">* </w:t>
      </w:r>
      <w:r>
        <w:rPr>
          <w:rFonts w:cs="FrankRuehl"/>
          <w:spacing w:val="0"/>
          <w:sz w:val="24"/>
          <w:sz w:val="24"/>
          <w:szCs w:val="26"/>
          <w:rtl w:val="true"/>
        </w:rPr>
        <w:t>עונשין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/>
          <w:spacing w:val="0"/>
          <w:sz w:val="24"/>
          <w:szCs w:val="26"/>
          <w:rtl w:val="true"/>
        </w:rPr>
        <w:t xml:space="preserve">: </w:t>
      </w:r>
      <w:r>
        <w:rPr>
          <w:rFonts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ערכאת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  <w:t xml:space="preserve">* </w:t>
      </w:r>
      <w:r>
        <w:rPr>
          <w:rFonts w:cs="FrankRuehl"/>
          <w:spacing w:val="0"/>
          <w:sz w:val="24"/>
          <w:sz w:val="24"/>
          <w:szCs w:val="26"/>
          <w:rtl w:val="true"/>
        </w:rPr>
        <w:t>עונשין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/>
          <w:spacing w:val="0"/>
          <w:sz w:val="24"/>
          <w:szCs w:val="26"/>
          <w:rtl w:val="true"/>
        </w:rPr>
        <w:t xml:space="preserve">: </w:t>
      </w:r>
      <w:r>
        <w:rPr>
          <w:rFonts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  <w:t xml:space="preserve">* </w:t>
      </w:r>
      <w:r>
        <w:rPr>
          <w:rFonts w:cs="FrankRuehl"/>
          <w:spacing w:val="0"/>
          <w:sz w:val="24"/>
          <w:sz w:val="24"/>
          <w:szCs w:val="26"/>
          <w:rtl w:val="true"/>
        </w:rPr>
        <w:t>דיון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פלילי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ערעור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–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במידת</w:t>
      </w:r>
      <w:r>
        <w:rPr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rtl w:val="true"/>
        </w:rPr>
        <w:t>העונש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ומלצר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פראית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מרשויות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מגיעים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לבקרים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שנהג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התעלם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השוטרים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הימלטות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פראית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ושלוחת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רסן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שבסופה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יושביו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בניסיונות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ההימלטות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זלזול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וחוזרת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המסכנת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כדוגמת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ותעבורתי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שריצה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הרתיעו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מתווספת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והמלצתו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משמעי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ושאר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בהילקח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ובפיקוח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אלקטרוני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2" w:name="PsakDin"/>
            <w:bookmarkStart w:id="13" w:name="secretary"/>
            <w:bookmarkStart w:id="14" w:name="BeginProtocol"/>
            <w:bookmarkEnd w:id="12"/>
            <w:bookmarkEnd w:id="13"/>
            <w:bookmarkEnd w:id="14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6" w:name="Start_Write"/>
      <w:bookmarkEnd w:id="16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29240-05-14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14.3.2016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12.1.2015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11.5.2014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10:15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358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מפעילים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מהבהבים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וכורזים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הימלטות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בעשותו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נאלצו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מהתנגשות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שבהתקרבו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חציית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קדימה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זיאד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תערוד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מהתנגשות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ההתנגשות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בהימלטות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ההתנגשות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לרדוף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הימלטותו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מתלולית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לניידת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ההימלטות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זיאד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ההכרה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תערוד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ובצוואר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ניזוקו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באגן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אושפז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275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</w:t>
      </w:r>
      <w:r>
        <w:rPr>
          <w:rFonts w:cs="FrankRuehl"/>
          <w:spacing w:val="10"/>
          <w:sz w:val="28"/>
          <w:szCs w:val="28"/>
          <w:rtl w:val="true"/>
        </w:rPr>
        <w:t>]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פקודת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התעבורה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מסתייע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בכיסא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גלגלים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פציעתו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לבדיקת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הפציעה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הנילון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14.3.2015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הנימוק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המשתנות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16.5.2016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נסתיימה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הפציעה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נחקרות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המונעת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ללכת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13.1.2015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יטענו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Cs w:val="28"/>
        </w:rPr>
        <w:t>17.6.2015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שהגדולה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ועברייני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בהצבת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וריסון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דחפים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בהפנמת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נרתע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באימפולסיביות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הנוכחית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14.3.2016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ורכושו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במודע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ספונטנית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5-3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והתעבורתי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המכביד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דפוסי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נרתע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ובמשפחתו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בתוספת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הראשונה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בתוספת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השנייה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לנפגע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זיאד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9.7.2014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1.6.2016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דקל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התמכרותי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מעקבי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קבוצתי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לאסירים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שנשפטו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במפגשים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בדיונים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למזער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Cs w:val="24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והשוויון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לפציעתו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במשפחתו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לשיטתה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והתעבורתי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המכביד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מצמצמת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פציעתו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2715/15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פלוני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נ</w:t>
      </w:r>
      <w:r>
        <w:rPr>
          <w:rFonts w:cs="Miriam"/>
          <w:spacing w:val="10"/>
          <w:sz w:val="24"/>
          <w:szCs w:val="24"/>
          <w:rtl w:val="true"/>
        </w:rPr>
        <w:t xml:space="preserve">' </w:t>
      </w:r>
      <w:r>
        <w:rPr>
          <w:rFonts w:cs="Miriam"/>
          <w:spacing w:val="10"/>
          <w:sz w:val="24"/>
          <w:sz w:val="24"/>
          <w:szCs w:val="24"/>
          <w:rtl w:val="true"/>
        </w:rPr>
        <w:t>מדינת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20.9.2015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5889/16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פלוני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נ</w:t>
      </w:r>
      <w:r>
        <w:rPr>
          <w:rFonts w:cs="Miriam"/>
          <w:spacing w:val="10"/>
          <w:sz w:val="24"/>
          <w:szCs w:val="24"/>
          <w:rtl w:val="true"/>
        </w:rPr>
        <w:t xml:space="preserve">' </w:t>
      </w:r>
      <w:r>
        <w:rPr>
          <w:rFonts w:cs="Miriam"/>
          <w:spacing w:val="10"/>
          <w:sz w:val="24"/>
          <w:sz w:val="24"/>
          <w:szCs w:val="24"/>
          <w:rtl w:val="true"/>
        </w:rPr>
        <w:t>מדינת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8.1.2017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ששקלתי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ואפרט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לדאבוננו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לבקרים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Garamond" w:hAnsi="Garamond" w:cs="Garamond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בכבישים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היומיומית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ומרתיעה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5626/14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לנקין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2.8.2015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לנקין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1641/13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31.12.2014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5981/15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סלוצקי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05.07.2016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הימלטות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ושלוחת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רסן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שבסופה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יושביו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בניסיונות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ההימלטות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לנפגעים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זלזול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מובהק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בהרבה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ומרתיעה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60-30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7234/13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אימאם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13.7.2014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6059/15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סלאמה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10.8.2016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ותעבורתי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הרתיעו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והמלצתו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ובמשפחתו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Garamond" w:hAnsi="Garamond" w:cs="Garamond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פציעתו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שלשיטתו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מדריסתו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פציעתו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באפשרותנו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11.5.2017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16033000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54678313-3300/16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3300/16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אסמעיל אבו ענזה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3631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32.2" TargetMode="External"/><Relationship Id="rId6" Type="http://schemas.openxmlformats.org/officeDocument/2006/relationships/hyperlink" Target="http://www.nevo.co.il/law/70301/338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T" TargetMode="External"/><Relationship Id="rId9" Type="http://schemas.openxmlformats.org/officeDocument/2006/relationships/hyperlink" Target="http://www.nevo.co.il/law/5227/2T" TargetMode="External"/><Relationship Id="rId10" Type="http://schemas.openxmlformats.org/officeDocument/2006/relationships/hyperlink" Target="http://www.nevo.co.il/law/5227/10.a" TargetMode="External"/><Relationship Id="rId11" Type="http://schemas.openxmlformats.org/officeDocument/2006/relationships/hyperlink" Target="http://www.nevo.co.il/case/16936310" TargetMode="External"/><Relationship Id="rId12" Type="http://schemas.openxmlformats.org/officeDocument/2006/relationships/hyperlink" Target="http://www.nevo.co.il/law/70301/332.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5227/10.a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0301/33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5227/1T" TargetMode="External"/><Relationship Id="rId20" Type="http://schemas.openxmlformats.org/officeDocument/2006/relationships/hyperlink" Target="http://www.nevo.co.il/law/5227/2T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case/20588748" TargetMode="External"/><Relationship Id="rId23" Type="http://schemas.openxmlformats.org/officeDocument/2006/relationships/hyperlink" Target="http://www.nevo.co.il/case/22282371" TargetMode="External"/><Relationship Id="rId24" Type="http://schemas.openxmlformats.org/officeDocument/2006/relationships/hyperlink" Target="http://www.nevo.co.il/case/17954253" TargetMode="External"/><Relationship Id="rId25" Type="http://schemas.openxmlformats.org/officeDocument/2006/relationships/hyperlink" Target="http://www.nevo.co.il/case/6712750" TargetMode="External"/><Relationship Id="rId26" Type="http://schemas.openxmlformats.org/officeDocument/2006/relationships/hyperlink" Target="http://www.nevo.co.il/case/20622805" TargetMode="External"/><Relationship Id="rId27" Type="http://schemas.openxmlformats.org/officeDocument/2006/relationships/hyperlink" Target="http://www.nevo.co.il/case/8463223" TargetMode="External"/><Relationship Id="rId28" Type="http://schemas.openxmlformats.org/officeDocument/2006/relationships/hyperlink" Target="http://www.nevo.co.il/case/21472943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2017-05-15T06:51:00Z</dcterms:created>
  <dc:creator> </dc:creator>
  <dc:description/>
  <cp:keywords/>
  <dc:language>en-IL</dc:language>
  <cp:lastModifiedBy>orly</cp:lastModifiedBy>
  <dcterms:modified xsi:type="dcterms:W3CDTF">2017-05-15T06:51:00Z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אסמעיל אבו ענזה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16936310:2;20588748;22282371;17954253;6712750;20622805;8463223;21472943</vt:lpwstr>
  </property>
  <property fmtid="{D5CDD505-2E9C-101B-9397-08002B2CF9AE}" pid="9" name="CITY">
    <vt:lpwstr/>
  </property>
  <property fmtid="{D5CDD505-2E9C-101B-9397-08002B2CF9AE}" pid="10" name="DATE">
    <vt:lpwstr>20170511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חיות;ח' מלצר;ע' ברון</vt:lpwstr>
  </property>
  <property fmtid="{D5CDD505-2E9C-101B-9397-08002B2CF9AE}" pid="14" name="LAWLISTTMP1">
    <vt:lpwstr>70301/332.2;275;338</vt:lpwstr>
  </property>
  <property fmtid="{D5CDD505-2E9C-101B-9397-08002B2CF9AE}" pid="15" name="LAWLISTTMP2">
    <vt:lpwstr>5227/010.a;001T;002T</vt:lpwstr>
  </property>
  <property fmtid="{D5CDD505-2E9C-101B-9397-08002B2CF9AE}" pid="16" name="LAWYER">
    <vt:lpwstr>מורן פולמן;ברכה וייס;אחמד סיף ותד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תעבורה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דיון פלילי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104;77;77;77;18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ערעור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1831;1446;1446;1446;504</vt:lpwstr>
  </property>
  <property fmtid="{D5CDD505-2E9C-101B-9397-08002B2CF9AE}" pid="49" name="NOSE31">
    <vt:lpwstr>מדיניות ענישה</vt:lpwstr>
  </property>
  <property fmtid="{D5CDD505-2E9C-101B-9397-08002B2CF9AE}" pid="50" name="NOSE310">
    <vt:lpwstr/>
  </property>
  <property fmtid="{D5CDD505-2E9C-101B-9397-08002B2CF9AE}" pid="51" name="NOSE32">
    <vt:lpwstr>מדיניות ענישה: סיכון חיי אדם בנתיב תחבורה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מדיניות ענישה: שיקולים</vt:lpwstr>
  </property>
  <property fmtid="{D5CDD505-2E9C-101B-9397-08002B2CF9AE}" pid="54" name="NOSE35">
    <vt:lpwstr>התערבות במידת העונש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11263;15127;8982;8994;15230</vt:lpwstr>
  </property>
  <property fmtid="{D5CDD505-2E9C-101B-9397-08002B2CF9AE}" pid="60" name="PADIDATE">
    <vt:lpwstr>20170515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3300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410120170511</vt:lpwstr>
  </property>
  <property fmtid="{D5CDD505-2E9C-101B-9397-08002B2CF9AE}" pid="70" name="TYPE_N_DATE">
    <vt:lpwstr>41020170511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