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3312/19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48112-12-17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מהימים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5.3.2019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1.4.2019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7.12.2022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סוזנה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ההבחנה בין הכנה לבין ניסיון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505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6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גיל עשת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הטמעת תיקון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39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לחוק העונשין בפסיקה בישראל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2005-1995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  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3" w:name="LawTable"/>
      <w:bookmarkEnd w:id="1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פסק כי יש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להותיר על כנו את זיכוי המשיב מעבירות ניסיון 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סיורים רכובים ותצפיות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שערך יחד עם אחיו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באזור 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צבאי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איתור קורבן למימוש פיגוע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 חוצים משלב פעולות ההכנה לשלב הניסיון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ניסיון לרצח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ניסיון – רצח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ניסיון – יסודותיו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רצח את החייל רון יצחק קוקיה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וחטף את נשקו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זאת הורשע בעבירה של רצח בכוונה תחילה שהינו מעשה טרור ובפעולה בנשק למטרות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בטרם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שגיבש תוכנית לבצע פיגוע ובו לרצוח חייל ולחטוף את נשקו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יוחס לו כי הצטייד בסכין וערך עם אחיו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סיורים רכובים ותצפיות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השניים אף הגיעו לנקודת תצפית ממנה השקיפו לעבר בסיס 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תל ערד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הורשע בעבירות של החזקת סכין שהינה 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הכנה לביצוע מעשה טרור שהינו רצח וקשירת קשר לביצוע פשע שהוא 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כל העבירות נגזר עונשו של המשיב למאסר עולם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שירוצו 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הערעור נסב על זיכוי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 מעבירות ניסיון 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 כי הסיורים והתצפיות שערך אינם חוצים משלב פעולות ההכנה לשלב הניסיון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סולברג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מחלוקת משפטית המתייחסת ליסוד העובדתי של עבירת ניסיון 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שאלה משפטית אשר אין בעניינה לערכאה הדיונית יתרון של ממש על ערכאת הערעור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האם בהסתמך על קביעות עובדתיות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מעשי המשיב חצו משלב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ההכנה לשלב הניסיון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היסוד העובדתי בעבירת הניסיון לרצח מתגבש כאשר המעשה שבוצע יוצא מגדר פעולת הכנה גרידא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לביצוע העבירה המושלמת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 הרצח בכוונת תחיל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ליסוד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 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המבצע עבר את העבירה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 לבצעה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היסוד הנפשי של העבירה המוגמרת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כוונה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ענייננו בסוגיית התקיימות היסוד העובדתי של עבירת הניסיון לרצח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האם התנהגות המשיב מהווה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שאין בו הכנה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האם חרגה מגדר הכנה ועברה לשלב בו ההתנהגות המעשית חתרה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לקראת השלמת הביצוע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הפעולה החוצה את מעשי ההכנה להתאפיין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קפיצה איכותית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המבחינה בין שלב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סידורים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המוקדמים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המבצע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לשלב הביצוע‏‏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להבחנה בין שלב ההכנה לשלב הניסיון יש חשיבות 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שהיא מציבה את הגבול התחתון של האחריות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שמעשי ניסיון לביצוע עבירה הם ענישים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ההכנה לרוב אינם ענישים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לשון החוק ביחס לקו הגבול שבין שלב ההכנה לשלב הניסיון עמומה בהגדירה את הניסיון על דרך השלילה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שאין בו הכנה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 מרחב שיקול דעת משמעותי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בפסיקה נקבעו שני מבחנים עיקריים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הבחנה האם מדובר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במעשי </w:t>
      </w:r>
      <w:r>
        <w:rPr>
          <w:rFonts w:ascii="Times New Roman" w:hAnsi="Times New Roman" w:cs="Times New Roman"/>
          <w:spacing w:val="0"/>
          <w:szCs w:val="26"/>
          <w:rtl w:val="true"/>
        </w:rPr>
        <w:t>הכנה או 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 הקרבה המספקת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לפיו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לבחון כמה רחוק היה המבצע מהגשמת 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כניתו העבריינית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ומבחן החד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משמעות המכונה גם מבחן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הסרט האילם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 התנהגות נכללת בגדר ניסיון מקום בו החל המבצע בביצוע התחלתי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המגלה באופן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משמעי את כוונות</w:t>
      </w:r>
      <w:r>
        <w:rPr>
          <w:rFonts w:ascii="Times New Roman" w:hAnsi="Times New Roman" w:cs="Times New Roman"/>
          <w:spacing w:val="0"/>
          <w:szCs w:val="26"/>
          <w:rtl w:val="true"/>
        </w:rPr>
        <w:t>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בסוגיה מורכבת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לעיתים ההבחנה בין שלב ההכנה לשלב הניסיון אינה פשוטה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קו הגבול המבחין בין פעולות הכנה לניסיון בעל השלכות במגוון מישורים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עונשיים וראייתיים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פסיק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סיווגה פעולות מסוימות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זה תצפיות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סיורים ואף הצטיידות בנשק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כפעולות הכנה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חלק מפעולות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כמשיכת כסף מבעוד מועד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הצטיידות בסכין ורכישת 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פעולות הכנה מובהקות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השאלה היא מה דינם של הסיורים והתצפיות שאותם ערכו המשיב ו</w:t>
      </w:r>
      <w:r>
        <w:rPr>
          <w:rFonts w:ascii="Times New Roman" w:hAnsi="Times New Roman" w:cs="Times New Roman"/>
          <w:spacing w:val="0"/>
          <w:szCs w:val="26"/>
          <w:rtl w:val="true"/>
        </w:rPr>
        <w:t>אחיו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המהווים פעולות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בעלות צמידות גבוהה יותר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שהן לא נועדו לאיסוף מודיעין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ו</w:t>
      </w:r>
      <w:r>
        <w:rPr>
          <w:rFonts w:ascii="Times New Roman" w:hAnsi="Times New Roman" w:cs="Times New Roman"/>
          <w:spacing w:val="0"/>
          <w:szCs w:val="26"/>
          <w:rtl w:val="true"/>
        </w:rPr>
        <w:t>אחיו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ביצעו סיורים רכובים ותצפיות לרבות באזור הבסיס לצורך איתור קורבן למימוש הפיגוע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באותם מועדים לא יכלו לממש את תוכניתם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בסוגיה מורכבת כזו לא נקבעו כללים מוחלטים ונחרצים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קו הגבול אינו חד וברור וכל מקרה יוכרע על בסיס נסיבותיו ובהתאם ליישום המבחנים שנקבעו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נבדל ממקרים אחרים שנדונו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נותרה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בו </w:t>
      </w:r>
      <w:r>
        <w:rPr>
          <w:rFonts w:ascii="Times New Roman" w:hAnsi="Times New Roman" w:cs="Times New Roman"/>
          <w:spacing w:val="0"/>
          <w:szCs w:val="26"/>
          <w:rtl w:val="true"/>
        </w:rPr>
        <w:t>עמימות מסוימת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שידוע לנו בקווים כללים בלבד על שארע באותם סיורים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עמימות זו מקשה ליישם את המבחנים שנקבעו להבחנה בין מעשי ניסיון למעשי הכנה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</w:t>
      </w:r>
      <w:r>
        <w:rPr>
          <w:rFonts w:ascii="Times New Roman" w:hAnsi="Times New Roman" w:cs="Times New Roman"/>
          <w:spacing w:val="0"/>
          <w:szCs w:val="26"/>
          <w:rtl w:val="true"/>
        </w:rPr>
        <w:t>אין קורבן קונקרטי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עיתוי קונקרטי או זירה קונקרטית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</w:t>
      </w:r>
      <w:r>
        <w:rPr>
          <w:rFonts w:ascii="Times New Roman" w:hAnsi="Times New Roman" w:cs="Times New Roman"/>
          <w:spacing w:val="0"/>
          <w:szCs w:val="26"/>
          <w:rtl w:val="true"/>
        </w:rPr>
        <w:t>חשש מפני הרחבה ניכרת של גדרי עבירת הניסיון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שני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המבחנים ש</w:t>
      </w:r>
      <w:r>
        <w:rPr>
          <w:rFonts w:ascii="Times New Roman" w:hAnsi="Times New Roman" w:cs="Times New Roman"/>
          <w:spacing w:val="0"/>
          <w:szCs w:val="26"/>
          <w:rtl w:val="true"/>
        </w:rPr>
        <w:t>נקבעו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אינם מתקיימים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המסד העובדתי אינו מספק על מנת להראות כי המשיב חרג ממעשי הכנה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המשיב בכל הקשור לעבירות של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בקצה מתחם ההכנה אולם לא הוכח ברף הנדרש במשפט הפלילי כי הם חורגים לשלב הניסיון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לזכות את המשיב מעבירות אלו ולוּ 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  <w:bookmarkStart w:id="23" w:name="Start_Write"/>
      <w:bookmarkEnd w:id="23"/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קוקיה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ותצפיות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ערד</w:t>
      </w:r>
      <w:r>
        <w:rPr>
          <w:rtl w:val="true"/>
        </w:rPr>
        <w:t xml:space="preserve">".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כתב האישום המתוקן נגד המשיב מונה שני אישומים</w:t>
      </w:r>
      <w:r>
        <w:rPr>
          <w:rtl w:val="true"/>
        </w:rPr>
        <w:t xml:space="preserve">. </w:t>
      </w:r>
      <w:r>
        <w:rPr>
          <w:rtl w:val="true"/>
        </w:rPr>
        <w:t>בחלקו הכללי צוין</w:t>
      </w:r>
      <w:r>
        <w:rPr>
          <w:rtl w:val="true"/>
        </w:rPr>
        <w:t xml:space="preserve">, </w:t>
      </w:r>
      <w:r>
        <w:rPr>
          <w:rtl w:val="true"/>
        </w:rPr>
        <w:t>כי המשיב תושב ישראל ואזרח ישראלי</w:t>
      </w:r>
      <w:r>
        <w:rPr>
          <w:rtl w:val="true"/>
        </w:rPr>
        <w:t xml:space="preserve">, </w:t>
      </w:r>
      <w:r>
        <w:rPr>
          <w:rtl w:val="true"/>
        </w:rPr>
        <w:t>אמו תושבת יהודה ושומרון וכי הוא אחיו למחצה של זאהי אבו ג</w:t>
      </w:r>
      <w:r>
        <w:rPr>
          <w:rtl w:val="true"/>
        </w:rPr>
        <w:t>'</w:t>
      </w:r>
      <w:r>
        <w:rPr>
          <w:rtl w:val="true"/>
        </w:rPr>
        <w:t xml:space="preserve">ודה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זאהי</w:t>
      </w:r>
      <w:r>
        <w:rPr>
          <w:rtl w:val="true"/>
        </w:rPr>
        <w:t xml:space="preserve">), </w:t>
      </w:r>
      <w:r>
        <w:rPr>
          <w:rtl w:val="true"/>
        </w:rPr>
        <w:t>בנו של אביו מאישה אחרת</w:t>
      </w:r>
      <w:r>
        <w:rPr>
          <w:rtl w:val="true"/>
        </w:rPr>
        <w:t xml:space="preserve">. </w:t>
      </w:r>
      <w:r>
        <w:rPr>
          <w:rtl w:val="true"/>
        </w:rPr>
        <w:t xml:space="preserve">המשיב בעל השכלה בהנדסה רפואית ועבד כמתמחה בחדרי הניתוח בבית החולים סורוקה החל מיום </w:t>
      </w:r>
      <w:r>
        <w:rPr/>
        <w:t>8.11.2017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יוחסו למשיב מספר עבירות של ניסיון לרצח שהינו מעשה טרור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tl w:val="true"/>
        </w:rPr>
        <w:t xml:space="preserve">); </w:t>
      </w:r>
      <w:r>
        <w:rPr>
          <w:rtl w:val="true"/>
        </w:rPr>
        <w:t>החזקת סכין שהינה מעשה טרור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; </w:t>
      </w:r>
      <w:r>
        <w:rPr>
          <w:rtl w:val="true"/>
        </w:rPr>
        <w:t>והכנה לביצוע מעשה טרור שהינו 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הערעור דנן מתמקד במסכת העובדתית שבאישום הראשון בלבד</w:t>
      </w:r>
      <w:r>
        <w:rPr>
          <w:rtl w:val="true"/>
        </w:rPr>
        <w:t xml:space="preserve">, </w:t>
      </w:r>
      <w:r>
        <w:rPr>
          <w:rtl w:val="true"/>
        </w:rPr>
        <w:t>משכך אפרטו בהרחבה</w:t>
      </w:r>
      <w:r>
        <w:rPr>
          <w:rtl w:val="true"/>
        </w:rPr>
        <w:t xml:space="preserve">. </w:t>
      </w:r>
      <w:r>
        <w:rPr>
          <w:rtl w:val="true"/>
        </w:rPr>
        <w:t>על פי המתואר המשיב הושפע מפעילותו של ארגון חמאס ומסריו והחל בעקבות זאת לפרסם בחשבון ה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 </w:t>
      </w:r>
      <w:r>
        <w:rPr>
          <w:rtl w:val="true"/>
        </w:rPr>
        <w:t xml:space="preserve">שלו דברי תמיכה ושבח לאסלאם ובדבר הניצחון על </w:t>
      </w:r>
      <w:r>
        <w:rPr>
          <w:rtl w:val="true"/>
        </w:rPr>
        <w:t>"</w:t>
      </w:r>
      <w:r>
        <w:rPr>
          <w:rtl w:val="true"/>
        </w:rPr>
        <w:t>שבט הכופרים</w:t>
      </w:r>
      <w:r>
        <w:rPr>
          <w:rtl w:val="true"/>
        </w:rPr>
        <w:t xml:space="preserve">". </w:t>
      </w:r>
      <w:r>
        <w:rPr>
          <w:rtl w:val="true"/>
        </w:rPr>
        <w:t xml:space="preserve">במהלך מחצית שנת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או במועד סמוך לכך</w:t>
      </w:r>
      <w:r>
        <w:rPr>
          <w:rtl w:val="true"/>
        </w:rPr>
        <w:t xml:space="preserve">, </w:t>
      </w:r>
      <w:r>
        <w:rPr>
          <w:rtl w:val="true"/>
        </w:rPr>
        <w:t>גמלה בליבו של המשיב ההחלטה לבצע פיגוע נגד חייל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 xml:space="preserve">משך בהזדמנויות שונות סכום של </w:t>
      </w:r>
      <w:r>
        <w:rPr/>
        <w:t>54,000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מחשבון הבנק שלו ומתוכם הסליק </w:t>
      </w:r>
      <w:r>
        <w:rPr/>
        <w:t>47,000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במזרן מיטה בביתו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לצורך מימון מחייתו לאחר הפיגוע עת יהיה בבריחה</w:t>
      </w:r>
      <w:r>
        <w:rPr>
          <w:rtl w:val="true"/>
        </w:rPr>
        <w:t xml:space="preserve">. </w:t>
      </w:r>
      <w:r>
        <w:rPr>
          <w:rtl w:val="true"/>
        </w:rPr>
        <w:t xml:space="preserve">בחודש אוקטובר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המשיב אף רכש רכב על מנת שישמשו להימלטות לאחר ביצוע הפיגוע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המשיב תכנן תחילה לחטוף חייל ולנהל משא ומתן על שחרורו בתמורה לשחרור אסירים ביטחוניים באמצעות חומרי הרדמה אשר היו נגישים לו מתוקף עיסוקו בבית החולים סורוקה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משהבין את מורכבות תוכנית זו</w:t>
      </w:r>
      <w:r>
        <w:rPr>
          <w:rtl w:val="true"/>
        </w:rPr>
        <w:t xml:space="preserve">, </w:t>
      </w:r>
      <w:r>
        <w:rPr>
          <w:rtl w:val="true"/>
        </w:rPr>
        <w:t>חיפש אחר אפשרות חלופית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שיתף את זאהי בכוונתו לבצע פעילות טרור נגד חיילי צה</w:t>
      </w:r>
      <w:r>
        <w:rPr>
          <w:rtl w:val="true"/>
        </w:rPr>
        <w:t>"</w:t>
      </w:r>
      <w:r>
        <w:rPr>
          <w:rtl w:val="true"/>
        </w:rPr>
        <w:t>ל או יהודים כנקמה על פעילות כוחות צה</w:t>
      </w:r>
      <w:r>
        <w:rPr>
          <w:rtl w:val="true"/>
        </w:rPr>
        <w:t>"</w:t>
      </w:r>
      <w:r>
        <w:rPr>
          <w:rtl w:val="true"/>
        </w:rPr>
        <w:t>ל ובמטרה להביע תמיכה והזדהות עם העם הפלסטיני</w:t>
      </w:r>
      <w:r>
        <w:rPr>
          <w:rtl w:val="true"/>
        </w:rPr>
        <w:t xml:space="preserve">. </w:t>
      </w:r>
      <w:r>
        <w:rPr>
          <w:rtl w:val="true"/>
        </w:rPr>
        <w:t>במהלך השיחות ביניהם</w:t>
      </w:r>
      <w:r>
        <w:rPr>
          <w:rtl w:val="true"/>
        </w:rPr>
        <w:t xml:space="preserve">, </w:t>
      </w:r>
      <w:r>
        <w:rPr>
          <w:rtl w:val="true"/>
        </w:rPr>
        <w:t>אף שיתף את זאהי בחלק מתוכניותיו לביצוע פעילות טרור כאמור</w:t>
      </w:r>
      <w:r>
        <w:rPr>
          <w:rtl w:val="true"/>
        </w:rPr>
        <w:t xml:space="preserve">, </w:t>
      </w:r>
      <w:r>
        <w:rPr>
          <w:rtl w:val="true"/>
        </w:rPr>
        <w:t>אשר האחרונה שבהן היא לבצע פיגוע אשר במהלכו ירצח חייל ויחטוף את נשקו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textAlignment w:val="auto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זמן מה לאחר מכן</w:t>
      </w:r>
      <w:r>
        <w:rPr>
          <w:rtl w:val="true"/>
        </w:rPr>
        <w:t xml:space="preserve">, </w:t>
      </w:r>
      <w:r>
        <w:rPr>
          <w:rtl w:val="true"/>
        </w:rPr>
        <w:t>המשיב פנה לזאהי וביקש ממנו לערוך עמו סיורים בשטח על מנת לנסות לאתר חייל ולהוציא את תוכניתו אל הפועל</w:t>
      </w:r>
      <w:r>
        <w:rPr>
          <w:rtl w:val="true"/>
        </w:rPr>
        <w:t xml:space="preserve">. </w:t>
      </w:r>
      <w:r>
        <w:rPr>
          <w:rtl w:val="true"/>
        </w:rPr>
        <w:t>זאהי הסכים</w:t>
      </w:r>
      <w:r>
        <w:rPr>
          <w:rtl w:val="true"/>
        </w:rPr>
        <w:t xml:space="preserve">, </w:t>
      </w:r>
      <w:r>
        <w:rPr>
          <w:rtl w:val="true"/>
        </w:rPr>
        <w:t>והשניים קשרו ביניהם קשר לפיו יבצעו יחד פיגוע במתווה של מציאת חייל חמוש</w:t>
      </w:r>
      <w:r>
        <w:rPr>
          <w:rtl w:val="true"/>
        </w:rPr>
        <w:t xml:space="preserve">,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בשעות הלילה</w:t>
      </w:r>
      <w:r>
        <w:rPr>
          <w:rtl w:val="true"/>
        </w:rPr>
        <w:t xml:space="preserve">, </w:t>
      </w:r>
      <w:r>
        <w:rPr>
          <w:rtl w:val="true"/>
        </w:rPr>
        <w:t>אותו ידקרו למוות באמצעות סכין לצורך חטיפת נשקו האישי</w:t>
      </w:r>
      <w:r>
        <w:rPr>
          <w:rtl w:val="true"/>
        </w:rPr>
        <w:t xml:space="preserve">. </w:t>
      </w:r>
      <w:r>
        <w:rPr>
          <w:rtl w:val="true"/>
        </w:rPr>
        <w:t>בסמוך לכך</w:t>
      </w:r>
      <w:r>
        <w:rPr>
          <w:rtl w:val="true"/>
        </w:rPr>
        <w:t xml:space="preserve">, </w:t>
      </w:r>
      <w:r>
        <w:rPr>
          <w:rtl w:val="true"/>
        </w:rPr>
        <w:t>המשיב וזאהי יצאו לסיורים רכובים במספר מועדים שאינם ידועים במדויק למערערת</w:t>
      </w:r>
      <w:r>
        <w:rPr>
          <w:rtl w:val="true"/>
        </w:rPr>
        <w:t xml:space="preserve">, </w:t>
      </w:r>
      <w:r>
        <w:rPr>
          <w:rtl w:val="true"/>
        </w:rPr>
        <w:t>בשעות הלילה</w:t>
      </w:r>
      <w:r>
        <w:rPr>
          <w:rtl w:val="true"/>
        </w:rPr>
        <w:t xml:space="preserve">, </w:t>
      </w:r>
      <w:r>
        <w:rPr>
          <w:rtl w:val="true"/>
        </w:rPr>
        <w:t>באזור ערד</w:t>
      </w:r>
      <w:r>
        <w:rPr>
          <w:rtl w:val="true"/>
        </w:rPr>
        <w:t xml:space="preserve">, </w:t>
      </w:r>
      <w:r>
        <w:rPr>
          <w:rtl w:val="true"/>
        </w:rPr>
        <w:t>ברכבו של המשיב וברכבו של זאהי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השניים הבחינו בסיוריהם בחיילים רבים שהלכו בגפם בשעות הלילה</w:t>
      </w:r>
      <w:r>
        <w:rPr>
          <w:rtl w:val="true"/>
        </w:rPr>
        <w:t xml:space="preserve">, </w:t>
      </w:r>
      <w:r>
        <w:rPr>
          <w:rtl w:val="true"/>
        </w:rPr>
        <w:t>אך הם לא היו חמושים</w:t>
      </w:r>
      <w:r>
        <w:rPr>
          <w:rtl w:val="true"/>
        </w:rPr>
        <w:t xml:space="preserve">. </w:t>
      </w:r>
      <w:r>
        <w:rPr>
          <w:rtl w:val="true"/>
        </w:rPr>
        <w:t>משכך השניים לא יכלו לבצע את זממם</w:t>
      </w:r>
      <w:r>
        <w:rPr>
          <w:rtl w:val="true"/>
        </w:rPr>
        <w:t xml:space="preserve">. </w:t>
      </w:r>
      <w:r>
        <w:rPr>
          <w:rtl w:val="true"/>
        </w:rPr>
        <w:t>בשתי הזדמנויות</w:t>
      </w:r>
      <w:r>
        <w:rPr>
          <w:rtl w:val="true"/>
        </w:rPr>
        <w:t xml:space="preserve">, </w:t>
      </w:r>
      <w:r>
        <w:rPr>
          <w:rtl w:val="true"/>
        </w:rPr>
        <w:t xml:space="preserve">המשיב וזאהי התמקמו באזור הבסיס הצבאי </w:t>
      </w:r>
      <w:r>
        <w:rPr>
          <w:rtl w:val="true"/>
        </w:rPr>
        <w:t>"</w:t>
      </w:r>
      <w:r>
        <w:rPr>
          <w:rtl w:val="true"/>
        </w:rPr>
        <w:t>תל ערד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</w:t>
      </w:r>
      <w:r>
        <w:rPr>
          <w:rtl w:val="true"/>
        </w:rPr>
        <w:t xml:space="preserve">) </w:t>
      </w:r>
      <w:r>
        <w:rPr>
          <w:rtl w:val="true"/>
        </w:rPr>
        <w:t>ותצפתו על מנת לאתר מטרה לצורך ביצוע הפיגוע</w:t>
      </w:r>
      <w:r>
        <w:rPr>
          <w:rtl w:val="true"/>
        </w:rPr>
        <w:t xml:space="preserve">. </w:t>
      </w:r>
      <w:r>
        <w:rPr>
          <w:rtl w:val="true"/>
        </w:rPr>
        <w:t>גם במועדים אלו</w:t>
      </w:r>
      <w:r>
        <w:rPr>
          <w:rtl w:val="true"/>
        </w:rPr>
        <w:t xml:space="preserve">, </w:t>
      </w:r>
      <w:r>
        <w:rPr>
          <w:rtl w:val="true"/>
        </w:rPr>
        <w:t>השניים לא הבחינו בחייל חמוש בגפו אלא בקבוצות חיילים</w:t>
      </w:r>
      <w:r>
        <w:rPr>
          <w:rtl w:val="true"/>
        </w:rPr>
        <w:t xml:space="preserve">, </w:t>
      </w:r>
      <w:r>
        <w:rPr>
          <w:rtl w:val="true"/>
        </w:rPr>
        <w:t>ולכן לא יכלו להוציא את הפיגוע אל הפועל</w:t>
      </w:r>
      <w:r>
        <w:rPr>
          <w:rtl w:val="true"/>
        </w:rPr>
        <w:t xml:space="preserve">. </w:t>
      </w:r>
      <w:r>
        <w:rPr>
          <w:rtl w:val="true"/>
        </w:rPr>
        <w:t>במהלך הסיורים המוזכרים לעיל</w:t>
      </w:r>
      <w:r>
        <w:rPr>
          <w:rtl w:val="true"/>
        </w:rPr>
        <w:t xml:space="preserve">, </w:t>
      </w:r>
      <w:r>
        <w:rPr>
          <w:rtl w:val="true"/>
        </w:rPr>
        <w:t>המשיב הציג בפני זאהי את הסכין שהייתה ברשותו ברכב</w:t>
      </w:r>
      <w:r>
        <w:rPr>
          <w:rtl w:val="true"/>
        </w:rPr>
        <w:t xml:space="preserve">, </w:t>
      </w:r>
      <w:r>
        <w:rPr>
          <w:rtl w:val="true"/>
        </w:rPr>
        <w:t>ואמר לו שזוהי הסכין שעתידה לשמש לביצוע הרצח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באישום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יוחסה למשיב עבירות של רצח בכוונה תחילה שהינו מעשה טרור</w:t>
      </w:r>
      <w:r>
        <w:rPr>
          <w:rtl w:val="true"/>
        </w:rPr>
        <w:t xml:space="preserve">; </w:t>
      </w:r>
      <w:r>
        <w:rPr>
          <w:rtl w:val="true"/>
        </w:rPr>
        <w:t xml:space="preserve">עבירה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; </w:t>
      </w:r>
      <w:r>
        <w:rPr>
          <w:rtl w:val="true"/>
        </w:rPr>
        <w:t>ועבירה של פעולה בנשק למטרות טרור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רציחת החייל רון יצחק קוקיה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 xml:space="preserve">באמצעות דקירות סכין וחטיפת נשקו ביום </w:t>
      </w:r>
      <w:r>
        <w:rPr/>
        <w:t>30.11.2017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המשיב כפר במיוחס לו בשני האישומים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 הייתה לו כוונה לבצע פיגוע בכלל</w:t>
      </w:r>
      <w:r>
        <w:rPr>
          <w:rtl w:val="true"/>
        </w:rPr>
        <w:t xml:space="preserve">, </w:t>
      </w:r>
      <w:r>
        <w:rPr>
          <w:rtl w:val="true"/>
        </w:rPr>
        <w:t>ונגד חיילי צה</w:t>
      </w:r>
      <w:r>
        <w:rPr>
          <w:rtl w:val="true"/>
        </w:rPr>
        <w:t>"</w:t>
      </w:r>
      <w:r>
        <w:rPr>
          <w:rtl w:val="true"/>
        </w:rPr>
        <w:t>ל בפרט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הכחיש כי רכש רכב ומשך כספים שישמשו אותו למילוט מהזירה ולצורך כלכלתו עת ישהה בבריחה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כפר בכך שמטרת יציאתו לסיורים רכובים עם זאהי הייתה איתור קרבן לביצוע הפיגוע</w:t>
      </w:r>
      <w:r>
        <w:rPr>
          <w:rtl w:val="true"/>
        </w:rPr>
        <w:t xml:space="preserve">; </w:t>
      </w:r>
      <w:r>
        <w:rPr>
          <w:rtl w:val="true"/>
        </w:rPr>
        <w:t xml:space="preserve">ואף כפר ברצח המנוח </w:t>
      </w:r>
      <w:r>
        <w:rPr>
          <w:rtl w:val="true"/>
        </w:rPr>
        <w:t>–</w:t>
      </w:r>
      <w:r>
        <w:rPr>
          <w:rtl w:val="true"/>
        </w:rPr>
        <w:t xml:space="preserve"> שכן לטענתו כלל לא היה בזירת האירוע</w:t>
      </w:r>
      <w:r>
        <w:rPr>
          <w:rtl w:val="true"/>
        </w:rPr>
        <w:t xml:space="preserve">. </w:t>
      </w:r>
      <w:r>
        <w:rPr>
          <w:rtl w:val="true"/>
        </w:rPr>
        <w:t>הוסיף וטען טענת זוטא ביחס להתנהלות חקירתו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בהכרעת דינו</w:t>
      </w:r>
      <w:r>
        <w:rPr>
          <w:rtl w:val="true"/>
        </w:rPr>
        <w:t xml:space="preserve">, </w:t>
      </w:r>
      <w:r>
        <w:rPr>
          <w:rtl w:val="true"/>
        </w:rPr>
        <w:t>בחן את גרסאות המשיב כפי שבאו לידי ביטוי בפני חוקרי שירות הביטחון הכללי והמשטרה</w:t>
      </w:r>
      <w:r>
        <w:rPr>
          <w:rtl w:val="true"/>
        </w:rPr>
        <w:t xml:space="preserve">, </w:t>
      </w:r>
      <w:r>
        <w:rPr>
          <w:rtl w:val="true"/>
        </w:rPr>
        <w:t>ובהן הודייתו כי רצח את המנוח</w:t>
      </w:r>
      <w:r>
        <w:rPr>
          <w:rtl w:val="true"/>
        </w:rPr>
        <w:t xml:space="preserve">. </w:t>
      </w:r>
      <w:r>
        <w:rPr>
          <w:rtl w:val="true"/>
        </w:rPr>
        <w:t>טענות המשיב בדבר קבילות הודאותיו נדחו</w:t>
      </w:r>
      <w:r>
        <w:rPr>
          <w:rtl w:val="true"/>
        </w:rPr>
        <w:t xml:space="preserve">, </w:t>
      </w:r>
      <w:r>
        <w:rPr>
          <w:rtl w:val="true"/>
        </w:rPr>
        <w:t>תוך שנקבע</w:t>
      </w:r>
      <w:r>
        <w:rPr>
          <w:rtl w:val="true"/>
        </w:rPr>
        <w:t xml:space="preserve">, </w:t>
      </w:r>
      <w:r>
        <w:rPr>
          <w:rtl w:val="true"/>
        </w:rPr>
        <w:t>על בסיס עדויות חוקרי שירות הביטחון הכללי והמשטרה</w:t>
      </w:r>
      <w:r>
        <w:rPr>
          <w:rtl w:val="true"/>
        </w:rPr>
        <w:t xml:space="preserve">, </w:t>
      </w:r>
      <w:r>
        <w:rPr>
          <w:rtl w:val="true"/>
        </w:rPr>
        <w:t>כי לא הופעל לחץ בלתי סביר ולא הוגן על המשיב כך שהודאותיו נגבו באופן חופשי ומרצון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משקלן של הודאות אלו הוא </w:t>
      </w:r>
      <w:r>
        <w:rPr>
          <w:rtl w:val="true"/>
        </w:rPr>
        <w:t>"</w:t>
      </w:r>
      <w:r>
        <w:rPr>
          <w:rtl w:val="true"/>
        </w:rPr>
        <w:t>גבוה</w:t>
      </w:r>
      <w:r>
        <w:rPr>
          <w:rtl w:val="true"/>
        </w:rPr>
        <w:t xml:space="preserve">", </w:t>
      </w:r>
      <w:r>
        <w:rPr>
          <w:rtl w:val="true"/>
        </w:rPr>
        <w:t>היות שפרטיהן מתיישבים היטב עם הראיות הנוספות בתיק ועם גרסת זאהי בחקירתו</w:t>
      </w:r>
      <w:r>
        <w:rPr>
          <w:rtl w:val="true"/>
        </w:rPr>
        <w:t xml:space="preserve">, </w:t>
      </w:r>
      <w:r>
        <w:rPr>
          <w:rtl w:val="true"/>
        </w:rPr>
        <w:t xml:space="preserve">אשר הוגשה מתוקף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ולאחר שהוכרז כעד עוין</w:t>
      </w:r>
      <w:r>
        <w:rPr>
          <w:rtl w:val="true"/>
        </w:rPr>
        <w:t xml:space="preserve">. </w:t>
      </w:r>
      <w:r>
        <w:rPr>
          <w:rtl w:val="true"/>
        </w:rPr>
        <w:t>בית המשפט המחוזי סקר בפירוט כיצד צעד אחר צעד</w:t>
      </w:r>
      <w:r>
        <w:rPr>
          <w:rtl w:val="true"/>
        </w:rPr>
        <w:t xml:space="preserve">, </w:t>
      </w:r>
      <w:r>
        <w:rPr>
          <w:rtl w:val="true"/>
        </w:rPr>
        <w:t>משהחוקרים חשפו בהדרגה בפני המשיב את הידוע להם</w:t>
      </w:r>
      <w:r>
        <w:rPr>
          <w:rtl w:val="true"/>
        </w:rPr>
        <w:t xml:space="preserve">, </w:t>
      </w:r>
      <w:r>
        <w:rPr>
          <w:rtl w:val="true"/>
        </w:rPr>
        <w:t>ניסה להתאים את גרסתו למידע זה עד אשר הודה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ברציחת המנוח וחטיפת נשקו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ניתח את יסודות עבירת הרצח 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בנוסחו טרם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והגיע לכלל מסקנה על בסיס הודייתו של המשיב</w:t>
      </w:r>
      <w:r>
        <w:rPr>
          <w:rtl w:val="true"/>
        </w:rPr>
        <w:t xml:space="preserve">, </w:t>
      </w:r>
      <w:r>
        <w:rPr>
          <w:rtl w:val="true"/>
        </w:rPr>
        <w:t>ראיות נסיבתיות</w:t>
      </w:r>
      <w:r>
        <w:rPr>
          <w:rtl w:val="true"/>
        </w:rPr>
        <w:t xml:space="preserve">, </w:t>
      </w:r>
      <w:r>
        <w:rPr>
          <w:rtl w:val="true"/>
        </w:rPr>
        <w:t>חזקת הכוונה</w:t>
      </w:r>
      <w:r>
        <w:rPr>
          <w:rtl w:val="true"/>
        </w:rPr>
        <w:t xml:space="preserve">, </w:t>
      </w:r>
      <w:r>
        <w:rPr>
          <w:rtl w:val="true"/>
        </w:rPr>
        <w:t>היעדר קנטור וכן קיומה של הכנה פיזית למעשה המתה</w:t>
      </w:r>
      <w:r>
        <w:rPr>
          <w:rtl w:val="true"/>
        </w:rPr>
        <w:t xml:space="preserve">, </w:t>
      </w:r>
      <w:r>
        <w:rPr>
          <w:rtl w:val="true"/>
        </w:rPr>
        <w:t>כי כלל יסודות אלה התקיימו בעניינו של המשיב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הורשע ברצח המנוח על רקע לאומני המהווה מעשה טרור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בשלב הבא</w:t>
      </w:r>
      <w:r>
        <w:rPr>
          <w:rtl w:val="true"/>
        </w:rPr>
        <w:t xml:space="preserve">, </w:t>
      </w:r>
      <w:r>
        <w:rPr>
          <w:rtl w:val="true"/>
        </w:rPr>
        <w:t>בית המשפט המחוזי פנה לבחון האם התקיימו יסודותיה של עבירת הניסיון לרצח אשר יוחסה למשיב בשל הסיורים האמורים שערך יחד עם זאהי</w:t>
      </w:r>
      <w:r>
        <w:rPr>
          <w:rtl w:val="true"/>
        </w:rPr>
        <w:t xml:space="preserve">, </w:t>
      </w:r>
      <w:r>
        <w:rPr>
          <w:rtl w:val="true"/>
        </w:rPr>
        <w:t>כמפורט באישום הראשון</w:t>
      </w:r>
      <w:r>
        <w:rPr>
          <w:rtl w:val="true"/>
        </w:rPr>
        <w:t xml:space="preserve">. </w:t>
      </w:r>
      <w:r>
        <w:rPr>
          <w:rtl w:val="true"/>
        </w:rPr>
        <w:t>פורט</w:t>
      </w:r>
      <w:r>
        <w:rPr>
          <w:rtl w:val="true"/>
        </w:rPr>
        <w:t xml:space="preserve">, </w:t>
      </w:r>
      <w:r>
        <w:rPr>
          <w:rtl w:val="true"/>
        </w:rPr>
        <w:t>כי במסגרת היסוד העובדתי של עבירת הניסיון נדרש שהמעשה שבוצע ייצא מגדר פעולות הכנה</w:t>
      </w:r>
      <w:r>
        <w:rPr>
          <w:rtl w:val="true"/>
        </w:rPr>
        <w:t xml:space="preserve">, </w:t>
      </w:r>
      <w:r>
        <w:rPr>
          <w:rtl w:val="true"/>
        </w:rPr>
        <w:t xml:space="preserve">וכי יש לבחון זאת על בסיס שני המבחנים שנקבעו בפסיקה לצורך כך </w:t>
      </w:r>
      <w:r>
        <w:rPr>
          <w:rtl w:val="true"/>
        </w:rPr>
        <w:t>–</w:t>
      </w:r>
      <w:r>
        <w:rPr>
          <w:rtl w:val="true"/>
        </w:rPr>
        <w:t xml:space="preserve"> מבחן הקרבה המספקת ומבחן החד משמעות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מסקנת בית המשפט המחוזי הייתה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לגיבוש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המספקת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מתקיימים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בעניינו</w:t>
      </w:r>
      <w:r>
        <w:rPr>
          <w:rtl w:val="true"/>
        </w:rPr>
        <w:t>" (</w:t>
      </w:r>
      <w:r>
        <w:rPr>
          <w:rtl w:val="true"/>
        </w:rPr>
        <w:t>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43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ציין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ליציאה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הביצוע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סיומו</w:t>
      </w:r>
      <w:r>
        <w:rPr>
          <w:rFonts w:cs="Arial TUR;Arial" w:ascii="Arial TUR;Arial" w:hAnsi="Arial TUR;Arial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44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סבר כי בשל הסיורים האמורים שהמשיב וזאהי ערכו כאמור</w:t>
      </w:r>
      <w:r>
        <w:rPr>
          <w:rtl w:val="true"/>
        </w:rPr>
        <w:t xml:space="preserve">, </w:t>
      </w:r>
      <w:r>
        <w:rPr>
          <w:rtl w:val="true"/>
        </w:rPr>
        <w:t>ניתן להרשיע את המשיב בקשירת קשר לביצוע פשע שהוא מעשה טרור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המאבק בטרור </w:t>
      </w:r>
      <w:r>
        <w:rPr>
          <w:rtl w:val="true"/>
        </w:rPr>
        <w:t>(</w:t>
      </w:r>
      <w:r>
        <w:rPr>
          <w:rtl w:val="true"/>
        </w:rPr>
        <w:t xml:space="preserve">בהתאם </w:t>
      </w:r>
      <w:hyperlink r:id="rId41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חוק סדר הדין הפלילי</w:t>
        </w:r>
      </w:hyperlink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[</w:t>
      </w:r>
      <w:r>
        <w:rPr>
          <w:rFonts w:ascii="Arial TUR;Arial" w:hAnsi="Arial TUR;Arial" w:cs="Arial TUR;Arial"/>
          <w:sz w:val="22"/>
          <w:sz w:val="22"/>
          <w:rtl w:val="true"/>
        </w:rPr>
        <w:t>נוסח משולב</w:t>
      </w:r>
      <w:r>
        <w:rPr>
          <w:rFonts w:cs="Arial TUR;Arial" w:ascii="Arial TUR;Arial" w:hAnsi="Arial TUR;Arial"/>
          <w:sz w:val="22"/>
          <w:rtl w:val="true"/>
        </w:rPr>
        <w:t xml:space="preserve">], </w:t>
      </w:r>
      <w:r>
        <w:rPr>
          <w:rFonts w:ascii="Arial TUR;Arial" w:hAnsi="Arial TUR;Arial" w:cs="Arial TUR;Arial"/>
          <w:sz w:val="22"/>
          <w:sz w:val="22"/>
          <w:rtl w:val="true"/>
        </w:rPr>
        <w:t>ה</w:t>
      </w:r>
      <w:r>
        <w:rPr>
          <w:rFonts w:ascii="Arial TUR;Arial" w:hAnsi="Arial TUR;Arial" w:cs="Arial TUR;Arial"/>
          <w:sz w:val="22"/>
          <w:sz w:val="22"/>
          <w:rtl w:val="true"/>
        </w:rPr>
        <w:t>תשמ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ב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1982</w:t>
      </w:r>
      <w:r>
        <w:rPr>
          <w:rtl w:val="true"/>
        </w:rPr>
        <w:t xml:space="preserve">) </w:t>
      </w:r>
      <w:r>
        <w:rPr>
          <w:rtl w:val="true"/>
        </w:rPr>
        <w:t>הגם שעבירה זו לא נכללה בכתב האישום המתוקן</w:t>
      </w:r>
      <w:r>
        <w:rPr>
          <w:rtl w:val="true"/>
        </w:rPr>
        <w:t xml:space="preserve">. </w:t>
      </w:r>
      <w:r>
        <w:rPr>
          <w:rtl w:val="true"/>
        </w:rPr>
        <w:t>המשיב הורשע בנוסף בעבירה של החזקת סכין שהינה מעשה טרור והכנה לביצוע מעשה טרור שהינו 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בגין כלל העבירות שבהן המשיב הורשע</w:t>
      </w:r>
      <w:r>
        <w:rPr>
          <w:rtl w:val="true"/>
        </w:rPr>
        <w:t xml:space="preserve">, </w:t>
      </w:r>
      <w:r>
        <w:rPr>
          <w:rtl w:val="true"/>
        </w:rPr>
        <w:t>בשני האישומים שיוחסו לו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עונש של </w:t>
      </w:r>
      <w:r>
        <w:rPr>
          <w:rtl w:val="true"/>
        </w:rPr>
        <w:t xml:space="preserve">מאסר עולם בצירוף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; </w:t>
      </w:r>
      <w:r>
        <w:rPr>
          <w:rtl w:val="true"/>
        </w:rPr>
        <w:t xml:space="preserve">תשלום </w:t>
      </w:r>
      <w:r>
        <w:rPr>
          <w:rtl w:val="true"/>
        </w:rPr>
        <w:t xml:space="preserve">פיצוי בסך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למשפחת המנוח</w:t>
      </w:r>
      <w:r>
        <w:rPr>
          <w:rtl w:val="true"/>
        </w:rPr>
        <w:t xml:space="preserve">, </w:t>
      </w:r>
      <w:r>
        <w:rPr>
          <w:rtl w:val="true"/>
        </w:rPr>
        <w:t xml:space="preserve">הפיצוי המקסימאלי על פי </w:t>
      </w:r>
      <w:r>
        <w:rPr>
          <w:rtl w:val="true"/>
        </w:rPr>
        <w:t>החוק</w:t>
      </w:r>
      <w:r>
        <w:rPr>
          <w:rtl w:val="true"/>
        </w:rPr>
        <w:t xml:space="preserve">; </w:t>
      </w:r>
      <w:r>
        <w:rPr>
          <w:rtl w:val="true"/>
        </w:rPr>
        <w:t xml:space="preserve">וכן חילוט </w:t>
      </w:r>
      <w:r>
        <w:rPr>
          <w:rtl w:val="true"/>
        </w:rPr>
        <w:t>הרכב והכסף שנתפסו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ערעור המדינה מתייחס</w:t>
      </w:r>
      <w:r>
        <w:rPr>
          <w:rtl w:val="true"/>
        </w:rPr>
        <w:t xml:space="preserve">, </w:t>
      </w:r>
      <w:r>
        <w:rPr>
          <w:rtl w:val="true"/>
        </w:rPr>
        <w:t>אך ורק</w:t>
      </w:r>
      <w:r>
        <w:rPr>
          <w:rtl w:val="true"/>
        </w:rPr>
        <w:t xml:space="preserve">, </w:t>
      </w:r>
      <w:r>
        <w:rPr>
          <w:rtl w:val="true"/>
        </w:rPr>
        <w:t>לזיכוי המשיב מעבירות ניסיון לרצח שהינו מעשה טרור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המערערת טענה לפנינו</w:t>
      </w:r>
      <w:r>
        <w:rPr>
          <w:rtl w:val="true"/>
        </w:rPr>
        <w:t xml:space="preserve">, </w:t>
      </w:r>
      <w:r>
        <w:rPr>
          <w:rtl w:val="true"/>
        </w:rPr>
        <w:t>בכתב ובעל פה</w:t>
      </w:r>
      <w:r>
        <w:rPr>
          <w:rtl w:val="true"/>
        </w:rPr>
        <w:t xml:space="preserve">, </w:t>
      </w:r>
      <w:r>
        <w:rPr>
          <w:rtl w:val="true"/>
        </w:rPr>
        <w:t>כי בניגוד לקביעת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שרשרת ההתרחשויות העובדתיות באישום הראשון</w:t>
      </w:r>
      <w:r>
        <w:rPr>
          <w:rtl w:val="true"/>
        </w:rPr>
        <w:t xml:space="preserve">, </w:t>
      </w:r>
      <w:r>
        <w:rPr>
          <w:rtl w:val="true"/>
        </w:rPr>
        <w:t>שעליה מושתתת הכרעת הדין</w:t>
      </w:r>
      <w:r>
        <w:rPr>
          <w:rtl w:val="true"/>
        </w:rPr>
        <w:t xml:space="preserve">, </w:t>
      </w:r>
      <w:r>
        <w:rPr>
          <w:rtl w:val="true"/>
        </w:rPr>
        <w:t>מבססת גם עבירה של ניסיון רצח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הקביעה שלפיה איתור חייל מתאים לביצוע העבירה היא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tl w:val="true"/>
        </w:rPr>
        <w:t xml:space="preserve">" </w:t>
      </w:r>
      <w:r>
        <w:rPr>
          <w:rtl w:val="true"/>
        </w:rPr>
        <w:t xml:space="preserve">היא מוטעית ויש בה כדי להרחיב את מתחם ההכנה באופן בלתי סביר תוך צמצום גבולות הניסיון העניש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המושלמת</w:t>
      </w:r>
      <w:r>
        <w:rPr>
          <w:rtl w:val="true"/>
        </w:rPr>
        <w:t>".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המערערת טענה כי מדיניות משפטית ראויה ושיקולים של שמירה על שלום הציבור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תומכים בקביעה לפיה בנסיבות המקרה התקיימו יסודות עבירת ניסיון הרצח</w:t>
      </w:r>
      <w:r>
        <w:rPr>
          <w:rtl w:val="true"/>
        </w:rPr>
        <w:t xml:space="preserve">. </w:t>
      </w:r>
      <w:r>
        <w:rPr>
          <w:rtl w:val="true"/>
        </w:rPr>
        <w:t>על אותה הדרך נטען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צמצום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והרחבת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להוביל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האכיפה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יימנעו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מלסכל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פיגועים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ימתחו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קצהו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ייחשב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tl w:val="true"/>
        </w:rPr>
        <w:t xml:space="preserve">."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המערערת הוסיפה והתייחסה לפרשנות אשר לדידה יש ליתן להיקף היסוד העובדתי של עבירת ה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tl w:val="true"/>
        </w:rPr>
        <w:t xml:space="preserve">" </w:t>
      </w:r>
      <w:r>
        <w:rPr>
          <w:rtl w:val="true"/>
        </w:rPr>
        <w:t xml:space="preserve">ולמבחנים שאומצו בפסיקה לצורך כך </w:t>
      </w:r>
      <w:r>
        <w:rPr>
          <w:rtl w:val="true"/>
        </w:rPr>
        <w:t>–</w:t>
      </w:r>
      <w:r>
        <w:rPr>
          <w:rtl w:val="true"/>
        </w:rPr>
        <w:t xml:space="preserve"> מבחן </w:t>
      </w:r>
      <w:r>
        <w:rPr>
          <w:rtl w:val="true"/>
        </w:rPr>
        <w:t>"</w:t>
      </w:r>
      <w:r>
        <w:rPr>
          <w:rtl w:val="true"/>
        </w:rPr>
        <w:t>הקרבה המספקת</w:t>
      </w:r>
      <w:r>
        <w:rPr>
          <w:rtl w:val="true"/>
        </w:rPr>
        <w:t xml:space="preserve">" </w:t>
      </w:r>
      <w:r>
        <w:rPr>
          <w:rtl w:val="true"/>
        </w:rPr>
        <w:t xml:space="preserve">ומבחן </w:t>
      </w:r>
      <w:r>
        <w:rPr>
          <w:rtl w:val="true"/>
        </w:rPr>
        <w:t>"</w:t>
      </w:r>
      <w:r>
        <w:rPr>
          <w:rtl w:val="true"/>
        </w:rPr>
        <w:t>החד משמעות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באופן בו ניתח מבחנים אלו ובמסקנתו כי שניהם מלמדים שלא נחצה הרף שבין מעשי הכנה לניסיון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שבה ופירטה את השתלשלות האירועים אשר לגישתה מבססים את עבירת ניסיון הרצח באישום הראשון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מאחר שהמשיב וזאהי תצפתו על חיילים בהזדמנויות שונות לצורך מימוש תכניתם</w:t>
      </w:r>
      <w:r>
        <w:rPr>
          <w:rtl w:val="true"/>
        </w:rPr>
        <w:t xml:space="preserve">, </w:t>
      </w:r>
      <w:r>
        <w:rPr>
          <w:rtl w:val="true"/>
        </w:rPr>
        <w:t>כל שנותר על מנת שהתוכנית תתממש היה הגעת הקורבן הפוטנציאלי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לשיטתה יישום פסיקת בית משפט זה מוביל למסקנה כי התקיים היסוד העובדתי הנדרש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המערערת טענה כי אף שהמשיב נדון לעונש מאסר בפועל ממושך</w:t>
      </w:r>
      <w:r>
        <w:rPr>
          <w:rtl w:val="true"/>
        </w:rPr>
        <w:t xml:space="preserve">, </w:t>
      </w:r>
      <w:r>
        <w:rPr>
          <w:rtl w:val="true"/>
        </w:rPr>
        <w:t>אשר לגביו אין למערערת השגה של ממש</w:t>
      </w:r>
      <w:r>
        <w:rPr>
          <w:rtl w:val="true"/>
        </w:rPr>
        <w:t xml:space="preserve">, </w:t>
      </w:r>
      <w:r>
        <w:rPr>
          <w:rtl w:val="true"/>
        </w:rPr>
        <w:t>יש להרשיעו גם בעבירת ניסיון רצח ולתת לכך ביטוי עונשי מתאים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המשיב מטעם הסניגוריה הציבורית סמכו ידם על 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וטענו כי בדין זוכה מעבירת הניסיון לרצח</w:t>
      </w:r>
      <w:r>
        <w:rPr>
          <w:rtl w:val="true"/>
        </w:rPr>
        <w:t xml:space="preserve">. </w:t>
      </w:r>
      <w:r>
        <w:rPr>
          <w:rtl w:val="true"/>
        </w:rPr>
        <w:t>בגדר זאת</w:t>
      </w:r>
      <w:r>
        <w:rPr>
          <w:rtl w:val="true"/>
        </w:rPr>
        <w:t xml:space="preserve">, </w:t>
      </w:r>
      <w:r>
        <w:rPr>
          <w:rtl w:val="true"/>
        </w:rPr>
        <w:t>הפנו אף הם למסכת העובדתית שבאישום הראשון כפי שתוארה ונקבעה על ידי בית המשפט המחוזי ביחס לעבירות הניסיון לרצח</w:t>
      </w:r>
      <w:r>
        <w:rPr>
          <w:rtl w:val="true"/>
        </w:rPr>
        <w:t xml:space="preserve">, </w:t>
      </w:r>
      <w:r>
        <w:rPr>
          <w:rtl w:val="true"/>
        </w:rPr>
        <w:t>וטענו כי לא נפל פגם באופן בו יישם את המבחנים שנקבעו בפסיקה שלפיהם לא נחצה קו הגבול שבין מעשי הכנה לניסיון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פסיקת בית משפט זה במקרים קודמים תומכת בכך שהמשיב לא חצה את גדרי פעולות ההכנה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יישום המבחנים הרלוונטיים מלמד כי מעשיו של המשיב לא היו קרובים דיים לביצוע העבירה המושלמת או גילו באופן חד משמעי את כוונתו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 xml:space="preserve">אין די בתצפיות והסיורים שבוצעו כדי למלא את היסוד העובדתי הדרוש לעבירת הניסיון באשר הם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כשלעצמם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tl w:val="true"/>
        </w:rPr>
        <w:t>".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ומדויקת</w:t>
      </w:r>
      <w:r>
        <w:rPr>
          <w:rtl w:val="true"/>
        </w:rPr>
        <w:t xml:space="preserve">" </w:t>
      </w:r>
      <w:r>
        <w:rPr>
          <w:rtl w:val="true"/>
        </w:rPr>
        <w:t>וכי כקביעת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ספק חייב להיזקף לזכותו של המשיב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 xml:space="preserve">כוח המשיב הוסיפו וביקשו להבחין בין הפסיקה שאליה הפנתה המערערת מעניינו של המשיב בטענה כי המקרים שתוארו במסגרתה מצויים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tl w:val="true"/>
        </w:rPr>
        <w:t xml:space="preserve">".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כלל לא עלה בידי המערערת להציג מקרה זהה או שקול שבו נקבע כי נחצה רף ההכנה לעבר שלב הניסיון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משיכת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ורכישת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יוער כי הדיון בתיק זה נדחה לא אחת</w:t>
      </w:r>
      <w:r>
        <w:rPr>
          <w:rtl w:val="true"/>
        </w:rPr>
        <w:t xml:space="preserve">. </w:t>
      </w:r>
      <w:r>
        <w:rPr>
          <w:rtl w:val="true"/>
        </w:rPr>
        <w:t>לאחר הדיון הראשון שקיימנו בערעור המשיב הגיש בקשה להארכת מועד להגשת ערעור מצדו על פסק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ארכה זו ניתנה</w:t>
      </w:r>
      <w:r>
        <w:rPr>
          <w:rtl w:val="true"/>
        </w:rPr>
        <w:t xml:space="preserve">, </w:t>
      </w:r>
      <w:r>
        <w:rPr>
          <w:rtl w:val="true"/>
        </w:rPr>
        <w:t>והמערער הגיש הודעת ערעור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בדיון שהתקיים בפני רשמת בית משפט זה ביום </w:t>
      </w:r>
      <w:r>
        <w:rPr/>
        <w:t>12.6.2022</w:t>
      </w:r>
      <w:r>
        <w:rPr>
          <w:rtl w:val="true"/>
        </w:rPr>
        <w:t xml:space="preserve">, </w:t>
      </w:r>
      <w:r>
        <w:rPr>
          <w:rtl w:val="true"/>
        </w:rPr>
        <w:t>הצהיר כי ברצונו למשוך את הערעור</w:t>
      </w:r>
      <w:r>
        <w:rPr>
          <w:rtl w:val="true"/>
        </w:rPr>
        <w:t xml:space="preserve">. </w:t>
      </w:r>
      <w:r>
        <w:rPr>
          <w:rtl w:val="true"/>
        </w:rPr>
        <w:t>לאחר שהוסברה לו משמעות הדברים ערעורו נמחק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קיימנו לאחרונה דיון נוסף שבו נשמעו השלמות טיעון תמציתיות וכעת בשלה העת להכריע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לאחר עיון בערעור המדינה ובטענות הצדדים כפי שהובאו לפנינו בכתב 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אני סבור כי יש לדחות את הערעור ולהותיר על כנו את זיכוי המשיב מעבירות ניסיון לרצח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לפנינו מחלוקת משפטית בלבד</w:t>
      </w:r>
      <w:r>
        <w:rPr>
          <w:rtl w:val="true"/>
        </w:rPr>
        <w:t xml:space="preserve">, </w:t>
      </w:r>
      <w:r>
        <w:rPr>
          <w:rtl w:val="true"/>
        </w:rPr>
        <w:t>המתייחסת ליסוד העובדתי של עבירת ניסיון לרצח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שני הצדדים להליך זה מבקשים להסתמך על התיאור העובדתי שבהכרעת הדין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alibri" w:hAnsi="Calibri" w:cs="Calibri"/>
        </w:rPr>
      </w:pP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וזאהי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ערד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תכניתם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ערד</w:t>
      </w:r>
      <w:r>
        <w:rPr>
          <w:rtl w:val="true"/>
        </w:rPr>
        <w:t xml:space="preserve">"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וזאהי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זאהי</w:t>
      </w:r>
      <w:r>
        <w:rPr>
          <w:rtl w:val="true"/>
        </w:rPr>
        <w:t xml:space="preserve">,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ערד</w:t>
      </w:r>
      <w:r>
        <w:rPr>
          <w:rtl w:val="true"/>
        </w:rPr>
        <w:t xml:space="preserve">",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מחפשים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textAlignment w:val="auto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לפנינו שאלה משפטית אשר אין בעניינה לערכאה הדיונית יתרון של ממש על ערכאת הערעור </w:t>
      </w:r>
      <w:r>
        <w:rPr>
          <w:rtl w:val="true"/>
        </w:rPr>
        <w:t>–</w:t>
      </w:r>
      <w:r>
        <w:rPr>
          <w:rtl w:val="true"/>
        </w:rPr>
        <w:t xml:space="preserve"> האם בהסתמך על קביעות עובדתיות אלו מעשיו של המשיב חצו משלב ההכנה לשלב הניסיון</w:t>
      </w:r>
      <w:r>
        <w:rPr>
          <w:rtl w:val="true"/>
        </w:rPr>
        <w:t xml:space="preserve">. </w:t>
      </w:r>
      <w:r>
        <w:rPr>
          <w:rtl w:val="true"/>
        </w:rPr>
        <w:t>לצורך ההכרעה</w:t>
      </w:r>
      <w:r>
        <w:rPr>
          <w:rtl w:val="true"/>
        </w:rPr>
        <w:t xml:space="preserve">, </w:t>
      </w:r>
      <w:r>
        <w:rPr>
          <w:rtl w:val="true"/>
        </w:rPr>
        <w:t>אציג בקצרה תחילה את המסד הנורמטיבי הנדרש באשר ליסוד העובדתי בעבירות ניסיון ככלל</w:t>
      </w:r>
      <w:r>
        <w:rPr>
          <w:rtl w:val="true"/>
        </w:rPr>
        <w:t xml:space="preserve">, </w:t>
      </w:r>
      <w:r>
        <w:rPr>
          <w:rtl w:val="true"/>
        </w:rPr>
        <w:t>וביחס ליסודותיה של עבירת הניסיון לרצח בפרט</w:t>
      </w:r>
      <w:r>
        <w:rPr>
          <w:rtl w:val="true"/>
        </w:rPr>
        <w:t xml:space="preserve">. </w:t>
      </w: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אפנה ליישום הדברים בענייננו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הושלמה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למשיב כאמור מספר עבירות לפי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שזו לשונו</w:t>
      </w:r>
      <w:r>
        <w:rPr>
          <w:rtl w:val="true"/>
        </w:rPr>
        <w:t>: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העושה אחת מאלה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דינו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-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מאסר עשרים שנים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cs="FrankRuehl" w:ascii="FrankRuehl" w:hAnsi="FrankRuehl"/>
          <w:color w:val="000000"/>
          <w:sz w:val="28"/>
        </w:rPr>
        <w:t>1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מנסה שלא כדין לגרום למותו של אדם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;</w:t>
      </w:r>
      <w:r>
        <w:rPr>
          <w:rtl w:val="true"/>
        </w:rPr>
        <w:t>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מדובר בעבירת ניסיון </w:t>
      </w:r>
      <w:r>
        <w:rPr>
          <w:rtl w:val="true"/>
        </w:rPr>
        <w:t>"</w:t>
      </w:r>
      <w:r>
        <w:rPr>
          <w:rtl w:val="true"/>
        </w:rPr>
        <w:t>עצמאית</w:t>
      </w:r>
      <w:r>
        <w:rPr>
          <w:rtl w:val="true"/>
        </w:rPr>
        <w:t xml:space="preserve">" </w:t>
      </w:r>
      <w:r>
        <w:rPr>
          <w:rtl w:val="true"/>
        </w:rPr>
        <w:t>ובכך ייחודה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בפסיקה זה מכבר כי הוראות החלק הכללי של החוק חלות גם על עבירה זו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3.5.2015</w:t>
      </w:r>
      <w:r>
        <w:rPr>
          <w:rtl w:val="true"/>
        </w:rPr>
        <w:t>)‏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מבין אלו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ההוראה המשמעותית לענייננו היא הקבועה </w:t>
      </w:r>
      <w:hyperlink r:id="rId45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המגדיר מהו ניסיון פלילי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היסוד העובדתי בעבירת הניסיון לרצח מתגבש </w:t>
      </w:r>
      <w:r>
        <w:rPr>
          <w:rtl w:val="true"/>
        </w:rPr>
        <w:t xml:space="preserve">אפוא </w:t>
      </w:r>
      <w:r>
        <w:rPr>
          <w:rtl w:val="true"/>
        </w:rPr>
        <w:t>כאשר המעשה שבוצע יוצא מגדר פעולת הכנה גרידא</w:t>
      </w:r>
      <w:r>
        <w:rPr>
          <w:rtl w:val="true"/>
        </w:rPr>
        <w:t xml:space="preserve"> </w:t>
      </w:r>
      <w:r>
        <w:rPr>
          <w:rtl w:val="true"/>
        </w:rPr>
        <w:t>לביצועה של העבירה המושלמת – עבירת הרצח בכוונת תחיל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אשר ליסוד הנפשי</w:t>
      </w:r>
      <w:r>
        <w:rPr>
          <w:rtl w:val="true"/>
        </w:rPr>
        <w:t xml:space="preserve">, </w:t>
      </w:r>
      <w:r>
        <w:rPr>
          <w:rtl w:val="true"/>
        </w:rPr>
        <w:t>נדרש כי</w:t>
      </w:r>
      <w:r>
        <w:rPr>
          <w:rtl w:val="true"/>
        </w:rPr>
        <w:t xml:space="preserve"> המבצע עבר את העבירה </w:t>
      </w:r>
      <w:r>
        <w:rPr>
          <w:rtl w:val="true"/>
        </w:rPr>
        <w:t>"</w:t>
      </w:r>
      <w:r>
        <w:rPr>
          <w:rtl w:val="true"/>
        </w:rPr>
        <w:t>במטרה לבצעה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בתוספת</w:t>
      </w:r>
      <w:r>
        <w:rPr>
          <w:rtl w:val="true"/>
        </w:rPr>
        <w:t xml:space="preserve"> היסוד הנפשי של העבירה המוגמרת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 xml:space="preserve">כוונה תחילה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10.8.2022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להרחבה על היסוד הנפשי הנדרש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7.3.2018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‏</w:t>
      </w:r>
      <w:r>
        <w:rPr>
          <w:rtl w:val="true"/>
        </w:rPr>
        <w:t>להשלמת התמונה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עבירה זו </w:t>
      </w:r>
      <w:r>
        <w:rPr>
          <w:rtl w:val="true"/>
        </w:rPr>
        <w:t xml:space="preserve">לא נכללה בתיקון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הרפורמה בעבירות המתה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בחינתה לצורך העניין נותרה</w:t>
      </w:r>
      <w:r>
        <w:rPr>
          <w:color w:val="000000"/>
          <w:sz w:val="27"/>
          <w:sz w:val="27"/>
          <w:szCs w:val="27"/>
          <w:rtl w:val="true"/>
        </w:rPr>
        <w:t xml:space="preserve"> כפי </w:t>
      </w:r>
      <w:r>
        <w:rPr>
          <w:rtl w:val="true"/>
        </w:rPr>
        <w:t xml:space="preserve">שהייתה עובר לרפורמה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ענייננו רק בסוגיית התקיימות היסוד העובדתי של עבירת הניסיון לרצח </w:t>
      </w:r>
      <w:r>
        <w:rPr>
          <w:rtl w:val="true"/>
        </w:rPr>
        <w:t>–</w:t>
      </w:r>
      <w:r>
        <w:rPr>
          <w:rtl w:val="true"/>
        </w:rPr>
        <w:t xml:space="preserve"> האם התנהגות המשיב מהווה </w:t>
      </w:r>
      <w:r>
        <w:rPr>
          <w:rtl w:val="true"/>
        </w:rPr>
        <w:t>"</w:t>
      </w:r>
      <w:r>
        <w:rPr>
          <w:rtl w:val="true"/>
        </w:rPr>
        <w:t>מעשה שאין בו הכנה בלבד</w:t>
      </w:r>
      <w:r>
        <w:rPr>
          <w:rtl w:val="true"/>
        </w:rPr>
        <w:t xml:space="preserve">".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 xml:space="preserve">האם חרגה מגדר הכנה ועברה לשלב בו ההתנהגות המעשית חתרה לקראת השלמת הביצוע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5150/93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183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סריס</w:t>
      </w:r>
      <w:r>
        <w:rPr>
          <w:rtl w:val="true"/>
        </w:rPr>
        <w:t xml:space="preserve">)). </w:t>
      </w:r>
      <w:r>
        <w:rPr>
          <w:rFonts w:ascii="Century" w:hAnsi="Century" w:cs="Century"/>
          <w:rtl w:val="true"/>
        </w:rPr>
        <w:t>על ההבחנה המהותית שבין שלב ההכנה לשלב הניסיון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סריס</w:t>
      </w:r>
      <w:r>
        <w:rPr>
          <w:rFonts w:cs="Century" w:ascii="Century" w:hAnsi="Century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, </w:t>
      </w:r>
      <w:r>
        <w:rPr>
          <w:rtl w:val="true"/>
        </w:rPr>
        <w:t>אוסף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מתכנן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על הפעולה החוצה את מעשי ההכנה להתאפיין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קפיצה איכותית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המבחינה בין שלב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סידורים המוקדמים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המבצע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לשלב הביצוע </w:t>
      </w:r>
      <w:r>
        <w:rPr>
          <w:rFonts w:cs="Century" w:ascii="Century" w:hAnsi="Century"/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22.7.2013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סעיד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מרים גור</w:t>
      </w:r>
      <w:r>
        <w:rPr>
          <w:rFonts w:cs="Century" w:ascii="Century" w:hAnsi="Century"/>
          <w:rtl w:val="true"/>
        </w:rPr>
        <w:t>-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אריה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ההבחנה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הכנה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לבין ניסיון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Fonts w:ascii="Century" w:hAnsi="Century" w:cs="Century"/>
          <w:rtl w:val="true"/>
        </w:rPr>
        <w:t xml:space="preserve"> לב </w:t>
      </w:r>
      <w:r>
        <w:rPr>
          <w:rFonts w:cs="Century" w:ascii="Century" w:hAnsi="Century"/>
        </w:rPr>
        <w:t>505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‏‏</w:t>
      </w:r>
      <w:r>
        <w:rPr>
          <w:color w:val="000000"/>
          <w:sz w:val="27"/>
          <w:szCs w:val="27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להבחנה שבין שלב ההכנה לשלב הניסיון נודעת חשיבות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שהיא מציבה את הגבול התחתון של האחריות הפלילית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בעוד שמעשי ניסיון לביצוע עבירה הינם ענישים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מעשי ההכנה לרוב אינם ענישים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בעמוד </w:t>
      </w:r>
      <w:r>
        <w:rPr>
          <w:rFonts w:cs="Century" w:ascii="Century" w:hAnsi="Century"/>
        </w:rPr>
        <w:t>505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קו הגבול שבין התחום הפלילי לבלתי פלילי עובר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הגדרת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cs="Century" w:ascii="Century" w:hAnsi="Century"/>
          <w:rtl w:val="true"/>
        </w:rPr>
        <w:t>" (</w:t>
      </w:r>
      <w:r>
        <w:rPr>
          <w:rtl w:val="true"/>
        </w:rPr>
        <w:t>בועז סנג</w:t>
      </w:r>
      <w:r>
        <w:rPr>
          <w:rtl w:val="true"/>
        </w:rPr>
        <w:t>'</w:t>
      </w:r>
      <w:r>
        <w:rPr>
          <w:rtl w:val="true"/>
        </w:rPr>
        <w:t xml:space="preserve">רו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הישראליים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/>
        <w:t>231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</w:t>
      </w:r>
      <w:r>
        <w:rPr>
          <w:rtl w:val="true"/>
        </w:rPr>
        <w:t>))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הטעם להבחנה שבין שלבים אלו נעוץ בכך שבהעדר הצבת הגבול התחתון של האחריות הפלילית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קיים חשש כי תוטל אחריות גם על מעשים שאינם מגלים סכנה לפגיעה בערכים מוגנים או על כוונות לבצע עבירה מבלי שנלווים להם מעשים חיצוניים </w:t>
      </w:r>
      <w:r>
        <w:rPr>
          <w:rFonts w:cs="Century" w:ascii="Century" w:hAnsi="Century"/>
          <w:rtl w:val="true"/>
        </w:rPr>
        <w:t>(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9849/05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ברואיר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23.11.2006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ברואיר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והרי מן המפורסמות היא שאין עונשין על דברים שבלב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ז פלר 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כרך 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1984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משעמדתי על חשיבות ההבחנה שבין שלב ההכנה לשלב הניסיון</w:t>
      </w:r>
      <w:r>
        <w:rPr>
          <w:rtl w:val="true"/>
        </w:rPr>
        <w:t xml:space="preserve">, </w:t>
      </w:r>
      <w:r>
        <w:rPr>
          <w:rtl w:val="true"/>
        </w:rPr>
        <w:t>כמו גם על ההצדקה לה</w:t>
      </w:r>
      <w:r>
        <w:rPr>
          <w:rtl w:val="true"/>
        </w:rPr>
        <w:t xml:space="preserve">, </w:t>
      </w:r>
      <w:r>
        <w:rPr>
          <w:rtl w:val="true"/>
        </w:rPr>
        <w:t>יש להידרש לאופן ביצועה</w:t>
      </w:r>
      <w:r>
        <w:rPr>
          <w:rtl w:val="true"/>
        </w:rPr>
        <w:t xml:space="preserve">. </w:t>
      </w:r>
      <w:r>
        <w:rPr>
          <w:rtl w:val="true"/>
        </w:rPr>
        <w:t xml:space="preserve">לשון החוק ביחס לקו הגבול שבין שלב ההכנה לשלב הניסיון היא עמומה בהגדירה את הניסיון על דרך השלילה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 שאין בו הכנה בלבד</w:t>
      </w:r>
      <w:r>
        <w:rPr>
          <w:rtl w:val="true"/>
        </w:rPr>
        <w:t xml:space="preserve">".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נותר מרחב שיקול דעת משמעותי לבית המשפט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גיל </w:t>
      </w:r>
      <w:hyperlink r:id="rId54">
        <w:r>
          <w:rPr>
            <w:rStyle w:val="Hyperlink"/>
            <w:color w:val="0000FF"/>
            <w:u w:val="single"/>
            <w:rtl w:val="true"/>
          </w:rPr>
          <w:t>עשת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הטמעת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תיקון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לחוק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2005-1995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/>
        <w:t>207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 xml:space="preserve">); </w:t>
      </w:r>
      <w:r>
        <w:rPr>
          <w:rtl w:val="true"/>
        </w:rPr>
        <w:t xml:space="preserve">יורם רבין ויניב ואקי </w:t>
      </w:r>
      <w:hyperlink r:id="rId55">
        <w:r>
          <w:rPr>
            <w:rStyle w:val="Hyperlink"/>
            <w:rFonts w:cs="Miriam"/>
            <w:b/>
            <w:b/>
            <w:color w:val="000000"/>
            <w:spacing w:val="0"/>
            <w:szCs w:val="24"/>
            <w:rtl w:val="true"/>
          </w:rPr>
          <w:t>דיני</w:t>
        </w:r>
        <w:r>
          <w:rPr>
            <w:rStyle w:val="Hyperlink"/>
            <w:rFonts w:eastAsia="Garamond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color w:val="000000"/>
            <w:spacing w:val="0"/>
            <w:szCs w:val="24"/>
            <w:rtl w:val="true"/>
          </w:rPr>
          <w:t>עונשין</w:t>
        </w:r>
      </w:hyperlink>
      <w:r>
        <w:rPr>
          <w:rtl w:val="true"/>
        </w:rPr>
        <w:t xml:space="preserve"> כרך א </w:t>
      </w:r>
      <w:r>
        <w:rPr/>
        <w:t>550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רבין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וואקי</w:t>
      </w:r>
      <w:r>
        <w:rPr>
          <w:rtl w:val="true"/>
        </w:rPr>
        <w:t>)).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במרוצת השנים אימצה הפסיקה שני מבחנים עיקריים ל</w:t>
      </w:r>
      <w:r>
        <w:rPr>
          <w:rtl w:val="true"/>
        </w:rPr>
        <w:t>הבחנה ו</w:t>
      </w:r>
      <w:r>
        <w:rPr>
          <w:rtl w:val="true"/>
        </w:rPr>
        <w:t>ה</w:t>
      </w:r>
      <w:r>
        <w:rPr>
          <w:rtl w:val="true"/>
        </w:rPr>
        <w:t xml:space="preserve">כרעה האם מדובר </w:t>
      </w:r>
      <w:r>
        <w:rPr>
          <w:rtl w:val="true"/>
        </w:rPr>
        <w:t xml:space="preserve">במעשי </w:t>
      </w:r>
      <w:r>
        <w:rPr>
          <w:rtl w:val="true"/>
        </w:rPr>
        <w:t>הכנה או ניסיון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מבחן הקרבה המספקת ומבחן החד</w:t>
      </w:r>
      <w:r>
        <w:rPr>
          <w:rtl w:val="true"/>
        </w:rPr>
        <w:t>-</w:t>
      </w:r>
      <w:r>
        <w:rPr>
          <w:rtl w:val="true"/>
        </w:rPr>
        <w:t xml:space="preserve">משמעות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1996/11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23.12.2014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נחאל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231-222</w:t>
      </w:r>
      <w:r>
        <w:rPr>
          <w:rtl w:val="true"/>
        </w:rPr>
        <w:t xml:space="preserve">)).  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המספקת</w:t>
      </w:r>
      <w:r>
        <w:rPr>
          <w:rtl w:val="true"/>
        </w:rPr>
        <w:t xml:space="preserve">, </w:t>
      </w:r>
      <w:r>
        <w:rPr>
          <w:rtl w:val="true"/>
        </w:rPr>
        <w:t>יש לבחון כמה רחוק היה המבצע מהגשמת ת</w:t>
      </w:r>
      <w:r>
        <w:rPr>
          <w:rtl w:val="true"/>
        </w:rPr>
        <w:t>ו</w:t>
      </w:r>
      <w:r>
        <w:rPr>
          <w:rtl w:val="true"/>
        </w:rPr>
        <w:t>כניתו העבריינית</w:t>
      </w:r>
      <w:r>
        <w:rPr>
          <w:rtl w:val="true"/>
        </w:rPr>
        <w:t xml:space="preserve">. </w:t>
      </w:r>
      <w:r>
        <w:rPr>
          <w:rtl w:val="true"/>
        </w:rPr>
        <w:t>ככל שהוא קרוב יותר להשלמת העבירה</w:t>
      </w:r>
      <w:r>
        <w:rPr>
          <w:rtl w:val="true"/>
        </w:rPr>
        <w:t xml:space="preserve">, </w:t>
      </w:r>
      <w:r>
        <w:rPr>
          <w:rtl w:val="true"/>
        </w:rPr>
        <w:t>תגבר הנטייה לראות במעשיו כ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tl w:val="true"/>
        </w:rPr>
        <w:t xml:space="preserve">" </w:t>
      </w:r>
      <w:r>
        <w:rPr>
          <w:rtl w:val="true"/>
        </w:rPr>
        <w:t>לביצועה</w:t>
      </w:r>
      <w:r>
        <w:rPr>
          <w:rtl w:val="true"/>
        </w:rPr>
        <w:t xml:space="preserve">. </w:t>
      </w:r>
      <w:r>
        <w:rPr>
          <w:rtl w:val="true"/>
        </w:rPr>
        <w:t>אם תהליך ביצוע העבירה התקרב קרבה מספקת</w:t>
      </w:r>
      <w:r>
        <w:rPr>
          <w:rtl w:val="true"/>
        </w:rPr>
        <w:t xml:space="preserve">, </w:t>
      </w:r>
      <w:r>
        <w:rPr>
          <w:rtl w:val="true"/>
        </w:rPr>
        <w:t xml:space="preserve">מוחשית או מסוכנת להשלמת העבירה </w:t>
      </w:r>
      <w:r>
        <w:rPr>
          <w:rtl w:val="true"/>
        </w:rPr>
        <w:t>–</w:t>
      </w:r>
      <w:r>
        <w:rPr>
          <w:rtl w:val="true"/>
        </w:rPr>
        <w:t xml:space="preserve"> ייקבע כי פעולותיו חורגות ממעשי הכנה למעשי ניסיון</w:t>
      </w:r>
      <w:r>
        <w:rPr>
          <w:rtl w:val="true"/>
        </w:rPr>
        <w:t xml:space="preserve">. </w:t>
      </w:r>
      <w:r>
        <w:rPr>
          <w:rtl w:val="true"/>
        </w:rPr>
        <w:t>במקרים מסוימים גם שלבים ראשונים של הביצוע עשויים להוות ניסיון</w:t>
      </w:r>
      <w:r>
        <w:rPr>
          <w:rtl w:val="true"/>
        </w:rPr>
        <w:t xml:space="preserve">, </w:t>
      </w:r>
      <w:r>
        <w:rPr>
          <w:rtl w:val="true"/>
        </w:rPr>
        <w:t>אם הם קרובים קרבה מספקת לביצוע המושלם של העבירה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ברואיר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לעמדה כי בפועל נדרשת קרבה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האחרון</w:t>
      </w:r>
      <w:r>
        <w:rPr>
          <w:rFonts w:ascii="Century" w:hAnsi="Century" w:cs="Century"/>
          <w:rtl w:val="true"/>
        </w:rPr>
        <w:t xml:space="preserve"> הדרוש לפי תוכנית המבצע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בעמוד </w:t>
      </w:r>
      <w:r>
        <w:rPr>
          <w:rFonts w:cs="Century" w:ascii="Century" w:hAnsi="Century"/>
        </w:rPr>
        <w:t>224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במסגרת מבחן זה ניתן משקל גם למדדים של זמן ומקום</w:t>
      </w:r>
      <w:r>
        <w:rPr>
          <w:rtl w:val="true"/>
        </w:rPr>
        <w:t xml:space="preserve">. </w:t>
      </w:r>
      <w:r>
        <w:rPr>
          <w:rtl w:val="true"/>
        </w:rPr>
        <w:t xml:space="preserve">שכן </w:t>
      </w:r>
      <w:r>
        <w:rPr>
          <w:rtl w:val="true"/>
        </w:rPr>
        <w:t xml:space="preserve">קרבה להשלמת המעשה העברייני בזמן ובמקום </w:t>
      </w:r>
      <w:r>
        <w:rPr>
          <w:rtl w:val="true"/>
        </w:rPr>
        <w:t xml:space="preserve">עשויה ללמד </w:t>
      </w:r>
      <w:r>
        <w:rPr>
          <w:rtl w:val="true"/>
        </w:rPr>
        <w:t>על קרבה להשלמת הביצוע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קסימובה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לפסק דינו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31.7.2018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קסימובה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בעמודים </w:t>
      </w:r>
      <w:r>
        <w:rPr>
          <w:rFonts w:cs="Century" w:ascii="Century" w:hAnsi="Century"/>
        </w:rPr>
        <w:t>532-531</w:t>
      </w:r>
      <w:r>
        <w:rPr>
          <w:rtl w:val="true"/>
        </w:rPr>
        <w:t xml:space="preserve">; </w:t>
      </w:r>
      <w:r>
        <w:rPr>
          <w:rFonts w:cs="Miriam"/>
          <w:b/>
          <w:b/>
          <w:spacing w:val="0"/>
          <w:szCs w:val="24"/>
          <w:rtl w:val="true"/>
        </w:rPr>
        <w:t>רבין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554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המבחן השני הוא כאמור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החד</w:t>
      </w:r>
      <w:r>
        <w:rPr>
          <w:rFonts w:cs="Miriam"/>
          <w:b/>
          <w:spacing w:val="0"/>
          <w:sz w:val="22"/>
          <w:szCs w:val="24"/>
          <w:rtl w:val="true"/>
        </w:rPr>
        <w:t>-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 xml:space="preserve">המכונה גם מבחן </w:t>
      </w:r>
      <w:r>
        <w:rPr>
          <w:rtl w:val="true"/>
        </w:rPr>
        <w:t>"</w:t>
      </w:r>
      <w:r>
        <w:rPr>
          <w:rtl w:val="true"/>
        </w:rPr>
        <w:t>הסרט האילם</w:t>
      </w:r>
      <w:r>
        <w:rPr>
          <w:rtl w:val="true"/>
        </w:rPr>
        <w:t xml:space="preserve">". </w:t>
      </w:r>
      <w:r>
        <w:rPr>
          <w:rtl w:val="true"/>
        </w:rPr>
        <w:t>לפי מבחן זה</w:t>
      </w:r>
      <w:r>
        <w:rPr>
          <w:rtl w:val="true"/>
        </w:rPr>
        <w:t xml:space="preserve">, </w:t>
      </w:r>
      <w:r>
        <w:rPr>
          <w:rtl w:val="true"/>
        </w:rPr>
        <w:t>התנהגות נכללת בגדר ניסיון מקום בו החל המבצע בביצוע התחלתי המגלה באופן חד</w:t>
      </w:r>
      <w:r>
        <w:rPr>
          <w:rtl w:val="true"/>
        </w:rPr>
        <w:t>-</w:t>
      </w:r>
      <w:r>
        <w:rPr>
          <w:rtl w:val="true"/>
        </w:rPr>
        <w:t xml:space="preserve">משמעי את כוונותיו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8">
        <w:r>
          <w:rPr>
            <w:rStyle w:val="Hyperlink"/>
          </w:rPr>
          <w:t>355/88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/>
        <w:t>266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7399/95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נחושתן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תעשיות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מעליות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105</w:t>
      </w:r>
      <w:r>
        <w:rPr>
          <w:rtl w:val="true"/>
        </w:rPr>
        <w:t xml:space="preserve">, </w:t>
      </w:r>
      <w:r>
        <w:rPr/>
        <w:t>129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  <w:r>
        <w:rPr>
          <w:rtl w:val="true"/>
        </w:rPr>
        <w:t>יישומו של מבחן זה נעשה בדרך של התבוננות על התנהגות העושה</w:t>
      </w:r>
      <w:r>
        <w:rPr>
          <w:rtl w:val="true"/>
        </w:rPr>
        <w:t xml:space="preserve">, </w:t>
      </w:r>
      <w:r>
        <w:rPr>
          <w:rtl w:val="true"/>
        </w:rPr>
        <w:t>משל היה מדובר ב</w:t>
      </w:r>
      <w:r>
        <w:rPr>
          <w:rtl w:val="true"/>
        </w:rPr>
        <w:t>"</w:t>
      </w:r>
      <w:r>
        <w:rPr>
          <w:rtl w:val="true"/>
        </w:rPr>
        <w:t>סרט אילם</w:t>
      </w:r>
      <w:r>
        <w:rPr>
          <w:rtl w:val="true"/>
        </w:rPr>
        <w:t xml:space="preserve">" </w:t>
      </w:r>
      <w:r>
        <w:rPr>
          <w:rtl w:val="true"/>
        </w:rPr>
        <w:t>מבלי לשמוע את דבריו או לקרוא את מחשבותיו</w:t>
      </w:r>
      <w:r>
        <w:rPr>
          <w:rtl w:val="true"/>
        </w:rPr>
        <w:t xml:space="preserve">. </w:t>
      </w:r>
      <w:r>
        <w:rPr>
          <w:rtl w:val="true"/>
        </w:rPr>
        <w:t>כאשר מתברר לצופה</w:t>
      </w:r>
      <w:r>
        <w:rPr>
          <w:rtl w:val="true"/>
        </w:rPr>
        <w:t xml:space="preserve">, </w:t>
      </w:r>
      <w:r>
        <w:rPr>
          <w:rtl w:val="true"/>
        </w:rPr>
        <w:t>באופן חד משמעי</w:t>
      </w:r>
      <w:r>
        <w:rPr>
          <w:rtl w:val="true"/>
        </w:rPr>
        <w:t xml:space="preserve">, </w:t>
      </w:r>
      <w:r>
        <w:rPr>
          <w:rtl w:val="true"/>
        </w:rPr>
        <w:t xml:space="preserve">כי מושא הסרט מתכוון לבצע עבירה </w:t>
      </w:r>
      <w:r>
        <w:rPr>
          <w:rtl w:val="true"/>
        </w:rPr>
        <w:t>–</w:t>
      </w:r>
      <w:r>
        <w:rPr>
          <w:rtl w:val="true"/>
        </w:rPr>
        <w:t xml:space="preserve"> זו הנקודה שבה מעשיו מתגבשים לכדי ניסיון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8449/17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פסקה </w:t>
      </w:r>
      <w:r>
        <w:rPr>
          <w:color w:val="000000"/>
          <w:sz w:val="27"/>
          <w:szCs w:val="27"/>
        </w:rPr>
        <w:t>37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לפסק דינו של חברי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16.6.2019</w:t>
      </w:r>
      <w:r>
        <w:rPr>
          <w:rtl w:val="true"/>
        </w:rPr>
        <w:t>)‏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555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מורכבת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במגוון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מישורים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וראייתיים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ומטבע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</w:t>
      </w:r>
      <w:r>
        <w:rPr>
          <w:rFonts w:ascii="Century" w:hAnsi="Century" w:cs="FrankRuehl"/>
          <w:spacing w:val="10"/>
          <w:szCs w:val="28"/>
          <w:rtl w:val="true"/>
        </w:rPr>
        <w:t>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למיקומו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2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בארצות הברית למשל</w:t>
      </w:r>
      <w:r>
        <w:rPr>
          <w:rtl w:val="true"/>
        </w:rPr>
        <w:t xml:space="preserve">, </w:t>
      </w:r>
      <w:r>
        <w:rPr>
          <w:rtl w:val="true"/>
        </w:rPr>
        <w:t>הסוגיה נדונה במקרה המפורסם</w:t>
      </w:r>
      <w:r>
        <w:rPr>
          <w:rStyle w:val="apple-converted-space"/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i/>
          <w:iCs/>
        </w:rPr>
        <w:t>Rizzo</w:t>
      </w:r>
      <w:r>
        <w:rPr>
          <w:rtl w:val="true"/>
        </w:rPr>
        <w:t xml:space="preserve"> </w:t>
      </w:r>
      <w:r>
        <w:rPr>
          <w:rtl w:val="true"/>
        </w:rPr>
        <w:t>אשר הוכרע על ידי בית המשפט לערעורים במדינת ניו יורק לפני קרוב למאה שנים</w:t>
      </w:r>
      <w:r>
        <w:rPr>
          <w:rtl w:val="true"/>
        </w:rPr>
        <w:t xml:space="preserve">. </w:t>
      </w:r>
      <w:r>
        <w:rPr>
          <w:rtl w:val="true"/>
        </w:rPr>
        <w:t>באותו מקרה נקבע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מאחר שהמערערים לא איתרו את הקורבן לעבירת השוד שתכננו לבצע הם לא עברו את שלב ההכנה והתקרבו במידה מספקת </w:t>
      </w:r>
      <w:r>
        <w:rPr>
          <w:rtl w:val="true"/>
        </w:rPr>
        <w:t>("</w:t>
      </w:r>
      <w:r>
        <w:rPr>
          <w:rFonts w:cs="Times New Roman" w:ascii="Times New Roman" w:hAnsi="Times New Roman"/>
        </w:rPr>
        <w:t>dangerously</w:t>
      </w:r>
      <w:r>
        <w:rPr>
          <w:rStyle w:val="apple-converted-space"/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</w:rPr>
        <w:t>near</w:t>
      </w:r>
      <w:r>
        <w:rPr>
          <w:rtl w:val="true"/>
        </w:rPr>
        <w:t xml:space="preserve">") </w:t>
      </w:r>
      <w:r>
        <w:rPr>
          <w:rtl w:val="true"/>
        </w:rPr>
        <w:t>לביצועה לצורך הרשעתם בניסיון לכך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חרף העובדה שחיפשו אחר הקורבן במספר מקומות בעודם חמושים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People v. Rizzo, 158</w:t>
      </w:r>
      <w:r>
        <w:rPr/>
        <w:t xml:space="preserve"> </w:t>
      </w:r>
      <w:r>
        <w:rPr>
          <w:rFonts w:cs="Times New Roman" w:ascii="Times New Roman" w:hAnsi="Times New Roman"/>
        </w:rPr>
        <w:t>N.E. 888 N.Y. (1927)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בדומה לכך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Style w:val="apple-converted-space"/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i/>
          <w:iCs/>
        </w:rPr>
        <w:t>Ortiz</w:t>
      </w:r>
      <w:r>
        <w:rPr>
          <w:rtl w:val="true"/>
        </w:rPr>
        <w:t xml:space="preserve">, </w:t>
      </w:r>
      <w:r>
        <w:rPr>
          <w:rtl w:val="true"/>
        </w:rPr>
        <w:t>בית המשפט העליון במדינת מסצ</w:t>
      </w:r>
      <w:r>
        <w:rPr>
          <w:rtl w:val="true"/>
        </w:rPr>
        <w:t>'</w:t>
      </w:r>
      <w:r>
        <w:rPr>
          <w:rtl w:val="true"/>
        </w:rPr>
        <w:t>וסטס קבע כי בהינתן שהמערער לא מצא את הקורבן המיועד לעבירה חרף חיפושו אחריו בעודו חמוש</w:t>
      </w:r>
      <w:r>
        <w:rPr>
          <w:rtl w:val="true"/>
        </w:rPr>
        <w:t xml:space="preserve">, </w:t>
      </w:r>
      <w:r>
        <w:rPr>
          <w:rtl w:val="true"/>
        </w:rPr>
        <w:t>לא ניתן להרשיעו בעבירת ניסיון</w:t>
      </w:r>
      <w:r>
        <w:rPr>
          <w:rtl w:val="true"/>
        </w:rPr>
        <w:t xml:space="preserve">, </w:t>
      </w:r>
      <w:r>
        <w:rPr>
          <w:rtl w:val="true"/>
        </w:rPr>
        <w:t xml:space="preserve">שעה שלא בוצע על ידו מעשה ברמה הנדרשת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Times New Roman" w:ascii="Times New Roman" w:hAnsi="Times New Roman"/>
        </w:rPr>
        <w:t>overt act"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;</w:t>
      </w:r>
      <w:r>
        <w:rPr>
          <w:rStyle w:val="apple-converted-space"/>
          <w:rFonts w:cs="Times New Roman" w:ascii="Times New Roman" w:hAnsi="Times New Roman"/>
          <w:color w:val="000000"/>
          <w:sz w:val="28"/>
        </w:rPr>
        <w:t xml:space="preserve"> </w:t>
      </w:r>
      <w:r>
        <w:rPr>
          <w:rFonts w:cs="Times New Roman" w:ascii="Times New Roman" w:hAnsi="Times New Roman"/>
        </w:rPr>
        <w:t>Commonwealth v. Ortiz,</w:t>
      </w:r>
      <w:r>
        <w:rPr>
          <w:rStyle w:val="apple-converted-space"/>
          <w:rFonts w:cs="Times New Roman" w:ascii="Times New Roman" w:hAnsi="Times New Roman"/>
          <w:i/>
          <w:iCs/>
          <w:color w:val="000000"/>
        </w:rPr>
        <w:t xml:space="preserve"> </w:t>
      </w:r>
      <w:r>
        <w:rPr>
          <w:rFonts w:cs="Times New Roman" w:ascii="Times New Roman" w:hAnsi="Times New Roman"/>
        </w:rPr>
        <w:t>560 N.E. 2d 698 Mass. 1990</w:t>
      </w:r>
      <w:r>
        <w:rPr>
          <w:rtl w:val="true"/>
        </w:rPr>
        <w:t xml:space="preserve">). </w:t>
      </w:r>
      <w:r>
        <w:rPr>
          <w:rtl w:val="true"/>
        </w:rPr>
        <w:t xml:space="preserve">בעניין </w:t>
      </w:r>
      <w:r>
        <w:rPr>
          <w:rFonts w:cs="Times New Roman" w:ascii="Times New Roman" w:hAnsi="Times New Roman"/>
          <w:i/>
          <w:iCs/>
        </w:rPr>
        <w:t>Degroot</w:t>
      </w:r>
      <w:r>
        <w:rPr>
          <w:rtl w:val="true"/>
        </w:rPr>
        <w:t xml:space="preserve"> </w:t>
      </w:r>
      <w:r>
        <w:rPr>
          <w:rtl w:val="true"/>
        </w:rPr>
        <w:t>מהעת האחרונה</w:t>
      </w:r>
      <w:r>
        <w:rPr>
          <w:rtl w:val="true"/>
        </w:rPr>
        <w:t xml:space="preserve">, </w:t>
      </w:r>
      <w:r>
        <w:rPr>
          <w:rtl w:val="true"/>
        </w:rPr>
        <w:t>בית המשפט העליון של מינסוטה קבע כי די בכך שהמערער</w:t>
      </w:r>
      <w:r>
        <w:rPr>
          <w:rtl w:val="true"/>
        </w:rPr>
        <w:t xml:space="preserve">, </w:t>
      </w:r>
      <w:r>
        <w:rPr>
          <w:rtl w:val="true"/>
        </w:rPr>
        <w:t>אשר שוחח עם סוכן משטרה סמוי שהתחזה לנער קטין</w:t>
      </w:r>
      <w:r>
        <w:rPr>
          <w:rtl w:val="true"/>
        </w:rPr>
        <w:t xml:space="preserve">, </w:t>
      </w:r>
      <w:r>
        <w:rPr>
          <w:rtl w:val="true"/>
        </w:rPr>
        <w:t>הגיע למקום המפגש שנקבע</w:t>
      </w:r>
      <w:r>
        <w:rPr>
          <w:rtl w:val="true"/>
        </w:rPr>
        <w:t xml:space="preserve">, </w:t>
      </w:r>
      <w:r>
        <w:rPr>
          <w:rtl w:val="true"/>
        </w:rPr>
        <w:t>חנה ויצא מרכבו לצורך קיום מפגש מיני</w:t>
      </w:r>
      <w:r>
        <w:rPr>
          <w:rtl w:val="true"/>
        </w:rPr>
        <w:t xml:space="preserve">, </w:t>
      </w:r>
      <w:r>
        <w:rPr>
          <w:rtl w:val="true"/>
        </w:rPr>
        <w:t xml:space="preserve">כדי להרשיעו בעבירת ניסיון </w:t>
      </w:r>
      <w:r>
        <w:rPr>
          <w:rtl w:val="true"/>
        </w:rPr>
        <w:t>(</w:t>
      </w:r>
      <w:r>
        <w:rPr>
          <w:rtl w:val="true"/>
        </w:rPr>
        <w:t>״</w:t>
      </w:r>
      <w:r>
        <w:rPr>
          <w:rFonts w:cs="Times New Roman" w:ascii="Times New Roman" w:hAnsi="Times New Roman"/>
        </w:rPr>
        <w:t>substantial step toward, and more than</w:t>
      </w:r>
      <w:r>
        <w:rPr/>
        <w:t xml:space="preserve"> </w:t>
      </w:r>
      <w:r>
        <w:rPr>
          <w:rFonts w:cs="Times New Roman" w:ascii="Times New Roman" w:hAnsi="Times New Roman"/>
        </w:rPr>
        <w:t>preparation</w:t>
      </w:r>
      <w:r>
        <w:rPr>
          <w:rtl w:val="true"/>
        </w:rPr>
        <w:t>״</w:t>
      </w:r>
      <w:r>
        <w:rPr>
          <w:rtl w:val="true"/>
        </w:rPr>
        <w:t>) (</w:t>
      </w:r>
      <w:r>
        <w:rPr/>
        <w:t>S</w:t>
      </w:r>
      <w:r>
        <w:rPr>
          <w:rFonts w:cs="Times New Roman" w:ascii="Times New Roman" w:hAnsi="Times New Roman"/>
        </w:rPr>
        <w:t>tate v. Degroot, 946 N.W.2d 354 (Minn. 2020)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>
          <w:color w:val="000000"/>
        </w:rPr>
      </w:pPr>
      <w:r>
        <w:rPr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באנגליה גדרי שלב ההכנה נדונו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על ידי בית המשפט לערעורים בעניין </w:t>
      </w:r>
      <w:r>
        <w:rPr>
          <w:rFonts w:cs="Times New Roman" w:ascii="Times New Roman" w:hAnsi="Times New Roman"/>
          <w:i/>
          <w:iCs/>
          <w:color w:val="000000"/>
        </w:rPr>
        <w:t>Campbell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נקבע כי נסיעת המערער למקום אותו תכנן לשדוד והליכתו לקראתו בעודו מחזיק בדבר הנחזה לכלי נשק ובהודעה מאיימת הם חלק משלב ההכנה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ואינם עולים לכדי ניסיון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Times New Roman" w:hAnsi="Times New Roman" w:cs="Times New Roman"/>
          <w:color w:val="000000"/>
          <w:sz w:val="28"/>
          <w:sz w:val="28"/>
          <w:rtl w:val="true"/>
        </w:rPr>
        <w:t>״</w:t>
      </w:r>
      <w:r>
        <w:rPr>
          <w:rFonts w:cs="Times New Roman" w:ascii="Times New Roman" w:hAnsi="Times New Roman"/>
          <w:color w:val="000000"/>
        </w:rPr>
        <w:t>an act which is more than merely preparatory</w:t>
      </w:r>
      <w:r>
        <w:rPr>
          <w:rFonts w:ascii="Times New Roman" w:hAnsi="Times New Roman" w:cs="Times New Roman"/>
          <w:color w:val="000000"/>
          <w:sz w:val="28"/>
          <w:sz w:val="28"/>
          <w:rtl w:val="true"/>
        </w:rPr>
        <w:t>״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בפרט בהינתן שהמערער טרם הגיע למקום השוד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Times New Roman" w:ascii="Times New Roman" w:hAnsi="Times New Roman"/>
          <w:color w:val="000000"/>
        </w:rPr>
        <w:t>R. v. Campbell [1991] 93 Cr. App. R. 350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למקרים נוספים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 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- </w:t>
      </w:r>
      <w:r>
        <w:rPr>
          <w:rFonts w:cs="Times New Roman" w:ascii="Times New Roman" w:hAnsi="Times New Roman"/>
          <w:color w:val="000000"/>
        </w:rPr>
        <w:t xml:space="preserve">Christopher M.V. Clarkson, </w:t>
      </w:r>
      <w:r>
        <w:rPr>
          <w:rFonts w:cs="Times New Roman" w:ascii="Times New Roman" w:hAnsi="Times New Roman"/>
          <w:i/>
          <w:iCs/>
          <w:color w:val="000000"/>
        </w:rPr>
        <w:t>Attempt: The Conduct Requirement</w:t>
      </w:r>
      <w:r>
        <w:rPr>
          <w:rFonts w:cs="Times New Roman" w:ascii="Times New Roman" w:hAnsi="Times New Roman"/>
          <w:color w:val="000000"/>
        </w:rPr>
        <w:t>, 29 OXFORD J. LEGAL STUD. 25, 26-28 (2009)</w:t>
      </w:r>
      <w:r>
        <w:rPr>
          <w:color w:val="000000"/>
          <w:rtl w:val="true"/>
        </w:rPr>
        <w:t>).</w:t>
      </w:r>
    </w:p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ההשלכות הראייתיות של קביעת קו הגבול שבין מעשי הכנה למעשה ניסיון</w:t>
      </w:r>
      <w:r>
        <w:rPr>
          <w:rtl w:val="true"/>
        </w:rPr>
        <w:t xml:space="preserve">, </w:t>
      </w:r>
      <w:r>
        <w:rPr>
          <w:rtl w:val="true"/>
        </w:rPr>
        <w:t>ניתן ללמוד ממאמרם של המלומדים פרופ</w:t>
      </w:r>
      <w:r>
        <w:rPr>
          <w:rtl w:val="true"/>
        </w:rPr>
        <w:t xml:space="preserve">' </w:t>
      </w:r>
      <w:r>
        <w:rPr>
          <w:rtl w:val="true"/>
        </w:rPr>
        <w:t>גדעון פרחומובסקי והשופט הפרופ</w:t>
      </w:r>
      <w:r>
        <w:rPr>
          <w:rtl w:val="true"/>
        </w:rPr>
        <w:t xml:space="preserve">' </w:t>
      </w:r>
      <w:r>
        <w:rPr>
          <w:rtl w:val="true"/>
        </w:rPr>
        <w:t>אלכס שטיין</w:t>
      </w:r>
      <w:r>
        <w:rPr>
          <w:rStyle w:val="apple-converted-space"/>
          <w:color w:val="000000"/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" w:ascii="Times New Roman" w:hAnsi="Times New Roman"/>
        </w:rPr>
        <w:t>Gideon Parchomovsky &amp; Alex Stein,</w:t>
      </w:r>
      <w:r>
        <w:rPr>
          <w:rStyle w:val="apple-converted-space"/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i/>
          <w:iCs/>
        </w:rPr>
        <w:t>The Distortionary Effect of Evidence on Primary Behavior</w:t>
      </w:r>
      <w:r>
        <w:rPr>
          <w:rFonts w:cs="Times New Roman" w:ascii="Times New Roman" w:hAnsi="Times New Roman"/>
        </w:rPr>
        <w:t>, 124 HARV. L. REV. 518, 530-534 (2010)</w:t>
      </w:r>
      <w:r>
        <w:rPr>
          <w:rtl w:val="true"/>
        </w:rPr>
        <w:t xml:space="preserve">). </w:t>
      </w:r>
      <w:r>
        <w:rPr>
          <w:rtl w:val="true"/>
        </w:rPr>
        <w:t>במאמרם עמדו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המתח הקיים אצל גורמי אכיפת החוק בין הרצון לעצור אדם בשלב המוקדם ביותר כדי למנוע ממנו לבצע עבירה לבין הצורך בגיבוש תשתית ראייתית איתנה לצורך הרשעתו ויצירת הרתעה</w:t>
      </w:r>
      <w:r>
        <w:rPr>
          <w:rtl w:val="true"/>
        </w:rPr>
        <w:t xml:space="preserve">. </w:t>
      </w:r>
      <w:r>
        <w:rPr>
          <w:rtl w:val="true"/>
        </w:rPr>
        <w:t xml:space="preserve">מתח זה ניכר בכך שעל מנת שיהיה ניתן להוכיח שנאשם יצא משלב ההכנה </w:t>
      </w:r>
      <w:r>
        <w:rPr>
          <w:rtl w:val="true"/>
        </w:rPr>
        <w:t>(</w:t>
      </w:r>
      <w:r>
        <w:rPr>
          <w:rtl w:val="true"/>
        </w:rPr>
        <w:t>"</w:t>
      </w:r>
      <w:r>
        <w:rPr>
          <w:rFonts w:cs="Times New Roman" w:ascii="Times New Roman" w:hAnsi="Times New Roman"/>
        </w:rPr>
        <w:t>preparation</w:t>
      </w:r>
      <w:r>
        <w:rPr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ועבר לניסיון להוצאה לפועל של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להראות כי הוא נקט בצעד ממשי </w:t>
      </w:r>
      <w:r>
        <w:rPr>
          <w:rtl w:val="true"/>
        </w:rPr>
        <w:t>(</w:t>
      </w:r>
      <w:r>
        <w:rPr>
          <w:rtl w:val="true"/>
        </w:rPr>
        <w:t>"</w:t>
      </w:r>
      <w:r>
        <w:rPr>
          <w:rFonts w:cs="Times New Roman" w:ascii="Times New Roman" w:hAnsi="Times New Roman"/>
        </w:rPr>
        <w:t>substantial step</w:t>
      </w:r>
      <w:r>
        <w:rPr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לצורך השלמתה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  <w:spacing w:val="10"/>
          <w:szCs w:val="28"/>
        </w:rPr>
      </w:pPr>
      <w:r>
        <w:rPr>
          <w:rFonts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הפרט</w:t>
      </w:r>
    </w:p>
    <w:p>
      <w:pPr>
        <w:pStyle w:val="ListParagraph"/>
        <w:spacing w:lineRule="auto" w:line="360"/>
        <w:ind w:start="0"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תצפיות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6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9511/01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קובקוב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687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695-694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קובקוב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5927/11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23.8.2012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ListParagraph"/>
        <w:spacing w:lineRule="auto" w:line="36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כמשיכת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ההצטיידות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ורכישת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</w:t>
      </w:r>
      <w:r>
        <w:rPr>
          <w:rFonts w:ascii="Century" w:hAnsi="Century" w:cs="FrankRuehl"/>
          <w:spacing w:val="10"/>
          <w:szCs w:val="28"/>
          <w:rtl w:val="true"/>
        </w:rPr>
        <w:t>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המור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והתצפיות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וזאהי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צמידות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גבוהה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לביצוע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Miriam"/>
          <w:b/>
          <w:b/>
          <w:sz w:val="22"/>
          <w:sz w:val="22"/>
          <w:rtl w:val="true"/>
        </w:rPr>
        <w:t>סנג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220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מודיעין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ותצפיות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תוכניתם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הצדדים הציגו כל אחד מפסיקת בית משפט זה וביקשו למצוא בה תימוכין לטענותיהם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 פסיקה התומכת בטענות המשיב ומנגד פסיקה הנוטה לטובת עמדת המערערת</w:t>
      </w:r>
      <w:r>
        <w:rPr>
          <w:rtl w:val="true"/>
        </w:rPr>
        <w:t xml:space="preserve">. </w:t>
      </w:r>
      <w:r>
        <w:rPr>
          <w:rtl w:val="true"/>
        </w:rPr>
        <w:t>בסוגיה מורכבת שכזו</w:t>
      </w:r>
      <w:r>
        <w:rPr>
          <w:rtl w:val="true"/>
        </w:rPr>
        <w:t xml:space="preserve">, </w:t>
      </w:r>
      <w:r>
        <w:rPr>
          <w:rtl w:val="true"/>
        </w:rPr>
        <w:t>לא נקבעו כללים מוחלטים ונחרצים שעלינו ליישם</w:t>
      </w:r>
      <w:r>
        <w:rPr>
          <w:rtl w:val="true"/>
        </w:rPr>
        <w:t xml:space="preserve">. </w:t>
      </w:r>
      <w:r>
        <w:rPr>
          <w:rtl w:val="true"/>
        </w:rPr>
        <w:t>קו הגבול אינו חד וברור וכל מקרה יוכרע על בסיס נסיבותיו ובהתאם ליישום הקונקרטי של המבחנים שנקבעו בפסיקה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טרם בחינת מבחנים אלו</w:t>
      </w:r>
      <w:r>
        <w:rPr>
          <w:rtl w:val="true"/>
        </w:rPr>
        <w:t xml:space="preserve">, </w:t>
      </w:r>
      <w:r>
        <w:rPr>
          <w:rtl w:val="true"/>
        </w:rPr>
        <w:t>ראוי להידרש להבחנה משמעותית בין המקרים המרכזיים שהוצגו בפסיקה לעניין שלפנינו</w:t>
      </w:r>
      <w:r>
        <w:rPr>
          <w:rtl w:val="true"/>
        </w:rPr>
        <w:t xml:space="preserve">. </w:t>
      </w:r>
      <w:r>
        <w:rPr>
          <w:rtl w:val="true"/>
        </w:rPr>
        <w:t>דומה שברוב המקרים שבהם מתעוררת הסוגיה דנא</w:t>
      </w:r>
      <w:r>
        <w:rPr>
          <w:rtl w:val="true"/>
        </w:rPr>
        <w:t xml:space="preserve">, </w:t>
      </w:r>
      <w:r>
        <w:rPr>
          <w:rtl w:val="true"/>
        </w:rPr>
        <w:t xml:space="preserve">ובין היתר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קובקוב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הררי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נחאל</w:t>
      </w:r>
      <w:r>
        <w:rPr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11068/08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סנקר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12.7.2010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ועניין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קסימובה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נתפס המבצע בידי הרשויות בזירת העבירה</w:t>
      </w:r>
      <w:r>
        <w:rPr>
          <w:rtl w:val="true"/>
        </w:rPr>
        <w:t xml:space="preserve">, </w:t>
      </w:r>
      <w:r>
        <w:rPr>
          <w:rtl w:val="true"/>
        </w:rPr>
        <w:t>בסמוך לה</w:t>
      </w:r>
      <w:r>
        <w:rPr>
          <w:rtl w:val="true"/>
        </w:rPr>
        <w:t xml:space="preserve">, </w:t>
      </w:r>
      <w:r>
        <w:rPr>
          <w:rtl w:val="true"/>
        </w:rPr>
        <w:t>או עובר להגעתו לה</w:t>
      </w:r>
      <w:r>
        <w:rPr>
          <w:rtl w:val="true"/>
        </w:rPr>
        <w:t xml:space="preserve">. </w:t>
      </w:r>
      <w:r>
        <w:rPr>
          <w:rtl w:val="true"/>
        </w:rPr>
        <w:t>במצב זה הבירור הראייתי שנערך ממוקד בעבירת הניסיון</w:t>
      </w:r>
      <w:r>
        <w:rPr>
          <w:rtl w:val="true"/>
        </w:rPr>
        <w:t xml:space="preserve">, </w:t>
      </w:r>
      <w:r>
        <w:rPr>
          <w:rtl w:val="true"/>
        </w:rPr>
        <w:t>וסופו בקביעות מפורשות בדבר ההתרחשות העובדתית בסמוך לתפיסת המבצע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ידוע לנו היום שבו נעשה הניסיון</w:t>
      </w:r>
      <w:r>
        <w:rPr>
          <w:rtl w:val="true"/>
        </w:rPr>
        <w:t xml:space="preserve">, </w:t>
      </w:r>
      <w:r>
        <w:rPr>
          <w:rtl w:val="true"/>
        </w:rPr>
        <w:t>הפעולות שנעשו בגדרו</w:t>
      </w:r>
      <w:r>
        <w:rPr>
          <w:rtl w:val="true"/>
        </w:rPr>
        <w:t xml:space="preserve">, </w:t>
      </w:r>
      <w:r>
        <w:rPr>
          <w:rtl w:val="true"/>
        </w:rPr>
        <w:t>היכן נתפס המבצע</w:t>
      </w:r>
      <w:r>
        <w:rPr>
          <w:rtl w:val="true"/>
        </w:rPr>
        <w:t xml:space="preserve">, </w:t>
      </w:r>
      <w:r>
        <w:rPr>
          <w:rtl w:val="true"/>
        </w:rPr>
        <w:t>מה היה באמתחתו כאשר נתפס וכיוצא באלה</w:t>
      </w:r>
      <w:r>
        <w:rPr>
          <w:rtl w:val="true"/>
        </w:rPr>
        <w:t xml:space="preserve">. </w:t>
      </w:r>
      <w:r>
        <w:rPr>
          <w:rtl w:val="true"/>
        </w:rPr>
        <w:t>לא כך במקרה זה</w:t>
      </w:r>
      <w:r>
        <w:rPr>
          <w:rtl w:val="true"/>
        </w:rPr>
        <w:t xml:space="preserve">, </w:t>
      </w:r>
      <w:r>
        <w:rPr>
          <w:rtl w:val="true"/>
        </w:rPr>
        <w:t>שבו נותרה עמימות מסוימת מאחר שידוע לנו בקווים כללים בלבד על שארע באותם סיורים</w:t>
      </w:r>
      <w:r>
        <w:rPr>
          <w:rtl w:val="true"/>
        </w:rPr>
        <w:t xml:space="preserve">, </w:t>
      </w:r>
      <w:r>
        <w:rPr>
          <w:rtl w:val="true"/>
        </w:rPr>
        <w:t>בעיקר מדברי המשיב בחקירותיו על ידי שירות הביטחון הכללי כפי שתועדו בזיכרון דברים שנערך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לעמימות מסוימת זו מספר השלכות על ענייננו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 שארחיב בהמשך</w:t>
      </w:r>
      <w:r>
        <w:rPr>
          <w:rtl w:val="true"/>
        </w:rPr>
        <w:t xml:space="preserve">, </w:t>
      </w:r>
      <w:r>
        <w:rPr>
          <w:rtl w:val="true"/>
        </w:rPr>
        <w:t>היא מקשה עלינו ליישם את המבחנים האמורים שנקבעו להבחנה בין מעשי ניסיון למעשי הכנה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במקרה דנן לפנינו תיאור כללי בלבד שכן נתיב הסיורים אינו ידוע</w:t>
      </w:r>
      <w:r>
        <w:rPr>
          <w:rtl w:val="true"/>
        </w:rPr>
        <w:t xml:space="preserve">; </w:t>
      </w:r>
      <w:r>
        <w:rPr>
          <w:rtl w:val="true"/>
        </w:rPr>
        <w:t>אין קביעה עובדתית ביחס ליום או השעה שבה נערכו הסיורים</w:t>
      </w:r>
      <w:r>
        <w:rPr>
          <w:rtl w:val="true"/>
        </w:rPr>
        <w:t xml:space="preserve">; </w:t>
      </w:r>
      <w:r>
        <w:rPr>
          <w:rtl w:val="true"/>
        </w:rPr>
        <w:t>אף לא ברור האם בסיורים אלו נותרו המשיב וזאהי ברכבם או יצאו ממנו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מהודעות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 </w:t>
      </w:r>
      <w:r>
        <w:rPr>
          <w:rtl w:val="true"/>
        </w:rPr>
        <w:t xml:space="preserve">אנו למדים כביכול כי כאשר הגיעו השניים לאזור הבסיס עשו שם </w:t>
      </w:r>
      <w:r>
        <w:rPr>
          <w:rtl w:val="true"/>
        </w:rPr>
        <w:t>"</w:t>
      </w:r>
      <w:r>
        <w:rPr>
          <w:rtl w:val="true"/>
        </w:rPr>
        <w:t>מנגל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מחוץ לרכב</w:t>
      </w:r>
      <w:r>
        <w:rPr>
          <w:rtl w:val="true"/>
        </w:rPr>
        <w:t xml:space="preserve">, </w:t>
      </w:r>
      <w:r>
        <w:rPr>
          <w:rtl w:val="true"/>
        </w:rPr>
        <w:t>אולם סוגיה זו לא הוכרעה על 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נקבע המרחק מנקודת התצפית שבה היו המשיב וזאהי לחיילים</w:t>
      </w:r>
      <w:r>
        <w:rPr>
          <w:rtl w:val="true"/>
        </w:rPr>
        <w:t xml:space="preserve">, </w:t>
      </w:r>
      <w:r>
        <w:rPr>
          <w:rtl w:val="true"/>
        </w:rPr>
        <w:t>או מתי במהלך סיורים אלו המשיב הציג בפני זאהי את הסכין או היכן עשה זאת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עליי הקביעה כי אין חובה בקיומו של קורבן קונקרטי להתגבשות היסוד הנפשי הנדרש בעבירת הניסיון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נחאל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35</w:t>
      </w:r>
      <w:r>
        <w:rPr>
          <w:rtl w:val="true"/>
        </w:rPr>
        <w:t xml:space="preserve">; </w:t>
      </w:r>
      <w:r>
        <w:rPr>
          <w:color w:val="000000"/>
          <w:sz w:val="27"/>
          <w:sz w:val="27"/>
          <w:szCs w:val="27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סעיד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7"/>
          <w:sz w:val="27"/>
          <w:szCs w:val="27"/>
          <w:rtl w:val="true"/>
        </w:rPr>
        <w:t xml:space="preserve">בפסקה </w:t>
      </w:r>
      <w:r>
        <w:rPr>
          <w:color w:val="000000"/>
          <w:sz w:val="27"/>
          <w:szCs w:val="27"/>
        </w:rPr>
        <w:t>45</w:t>
      </w:r>
      <w:r>
        <w:rPr>
          <w:rtl w:val="true"/>
        </w:rPr>
        <w:t xml:space="preserve">). </w:t>
      </w:r>
      <w:r>
        <w:rPr>
          <w:rtl w:val="true"/>
        </w:rPr>
        <w:t>אולם ראוי לעמוד על כך שענייננו מופשט מכך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לצד העובדה שאין קורבן קונקרטי</w:t>
      </w:r>
      <w:r>
        <w:rPr>
          <w:rtl w:val="true"/>
        </w:rPr>
        <w:t xml:space="preserve">, </w:t>
      </w:r>
      <w:r>
        <w:rPr>
          <w:rtl w:val="true"/>
        </w:rPr>
        <w:t xml:space="preserve">אף אין בכתב האישום עיתוי קונקרטי או זירה קונקרטית </w:t>
      </w:r>
      <w:r>
        <w:rPr>
          <w:rtl w:val="true"/>
        </w:rPr>
        <w:t>–</w:t>
      </w:r>
      <w:r>
        <w:rPr>
          <w:rtl w:val="true"/>
        </w:rPr>
        <w:t xml:space="preserve"> לכל הפחות ביחס לסיורים ברחבי ערד</w:t>
      </w:r>
      <w:r>
        <w:rPr>
          <w:rtl w:val="true"/>
        </w:rPr>
        <w:t xml:space="preserve">, </w:t>
      </w:r>
      <w:r>
        <w:rPr>
          <w:rtl w:val="true"/>
        </w:rPr>
        <w:t>כשם שאין קביעות מפורטות באשר למעשיו של המשיב באותם הסיורים כאמור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קצרה הדרך לייחס למשיב ניסיון לרצוח כל חייל שאותו ראה במהלך פרק הזמן המשמעותי שלאחר גיבוש תוכניתו </w:t>
      </w:r>
      <w:r>
        <w:rPr>
          <w:rtl w:val="true"/>
        </w:rPr>
        <w:t>–</w:t>
      </w:r>
      <w:r>
        <w:rPr>
          <w:rtl w:val="true"/>
        </w:rPr>
        <w:t xml:space="preserve"> בין אם מדובר בחייל חמוש ובין אם לאו</w:t>
      </w:r>
      <w:r>
        <w:rPr>
          <w:rtl w:val="true"/>
        </w:rPr>
        <w:t xml:space="preserve">, </w:t>
      </w:r>
      <w:r>
        <w:rPr>
          <w:rtl w:val="true"/>
        </w:rPr>
        <w:t>בין אם היה בגפו</w:t>
      </w:r>
      <w:r>
        <w:rPr>
          <w:rtl w:val="true"/>
        </w:rPr>
        <w:t xml:space="preserve">, </w:t>
      </w:r>
      <w:r>
        <w:rPr>
          <w:rtl w:val="true"/>
        </w:rPr>
        <w:t>ובין אם בקבוצה</w:t>
      </w:r>
      <w:r>
        <w:rPr>
          <w:rtl w:val="true"/>
        </w:rPr>
        <w:t xml:space="preserve">. </w:t>
      </w:r>
      <w:r>
        <w:rPr>
          <w:rtl w:val="true"/>
        </w:rPr>
        <w:t>מכאן עולה חשש מפני הרחבה ניכרת של גדרי עבירת הניסיון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משהערתי זאת</w:t>
      </w:r>
      <w:r>
        <w:rPr>
          <w:rtl w:val="true"/>
        </w:rPr>
        <w:t xml:space="preserve">, </w:t>
      </w:r>
      <w:r>
        <w:rPr>
          <w:rtl w:val="true"/>
        </w:rPr>
        <w:t>אפנה ליישום המבחנים שאומצו בפסיקה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החד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משמעות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הסרט האילם שאותו עלינו לבחון אינו שלם</w:t>
      </w:r>
      <w:r>
        <w:rPr>
          <w:rtl w:val="true"/>
        </w:rPr>
        <w:t xml:space="preserve">, </w:t>
      </w:r>
      <w:r>
        <w:rPr>
          <w:rtl w:val="true"/>
        </w:rPr>
        <w:t>שכן חסרים בו נתונים ופרטים</w:t>
      </w:r>
      <w:r>
        <w:rPr>
          <w:rtl w:val="true"/>
        </w:rPr>
        <w:t xml:space="preserve">. </w:t>
      </w:r>
      <w:r>
        <w:rPr>
          <w:rtl w:val="true"/>
        </w:rPr>
        <w:t>אם נבחן אך ורק את התיאור שנכלל בקביעותיו העובדתיות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נתקשה להבחין במעשה גלוי המלמד את הצופה מן הצד באופן חד משמעי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בדבר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כוונתו הפלילית ומטרתו הקונקרטית של מבצע העבירה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כך ביחס לסיורים הרכובים והתצפיות שהשניים ערכו באזור ערד וכך גם ביחס להגעת השניים לאזור הבסיס</w:t>
      </w:r>
      <w:r>
        <w:rPr>
          <w:rtl w:val="true"/>
        </w:rPr>
        <w:t xml:space="preserve">. </w:t>
      </w:r>
      <w:r>
        <w:rPr>
          <w:rtl w:val="true"/>
        </w:rPr>
        <w:t>אמנם במקרה זה הם עצרו את הרכב על הר הצופה לבסיס</w:t>
      </w:r>
      <w:r>
        <w:rPr>
          <w:rtl w:val="true"/>
        </w:rPr>
        <w:t xml:space="preserve">, </w:t>
      </w:r>
      <w:r>
        <w:rPr>
          <w:rtl w:val="true"/>
        </w:rPr>
        <w:t>אולם לא ניתן לאתר מעשה כה ברור וחד</w:t>
      </w:r>
      <w:r>
        <w:rPr>
          <w:rtl w:val="true"/>
        </w:rPr>
        <w:t>-</w:t>
      </w:r>
      <w:r>
        <w:rPr>
          <w:rtl w:val="true"/>
        </w:rPr>
        <w:t>משמעי כנדרש המלמד על כוונה פלילית</w:t>
      </w:r>
      <w:r>
        <w:rPr>
          <w:rtl w:val="true"/>
        </w:rPr>
        <w:t xml:space="preserve">. </w:t>
      </w:r>
      <w:r>
        <w:rPr>
          <w:rtl w:val="true"/>
        </w:rPr>
        <w:t>בנסיבות שלפנינו</w:t>
      </w:r>
      <w:r>
        <w:rPr>
          <w:rtl w:val="true"/>
        </w:rPr>
        <w:t xml:space="preserve">, </w:t>
      </w:r>
      <w:r>
        <w:rPr>
          <w:rtl w:val="true"/>
        </w:rPr>
        <w:t>מבחן זה מוביל לכך שתצפית לשם איסוף מודיעין גרידא דינה כתצפית שנועדה לאיתור קורבן</w:t>
      </w:r>
      <w:r>
        <w:rPr>
          <w:rtl w:val="true"/>
        </w:rPr>
        <w:t xml:space="preserve">. </w:t>
      </w:r>
      <w:r>
        <w:rPr>
          <w:rtl w:val="true"/>
        </w:rPr>
        <w:t>בעיני הצופה מן הצד</w:t>
      </w:r>
      <w:r>
        <w:rPr>
          <w:rtl w:val="true"/>
        </w:rPr>
        <w:t xml:space="preserve">, </w:t>
      </w:r>
      <w:r>
        <w:rPr>
          <w:rtl w:val="true"/>
        </w:rPr>
        <w:t xml:space="preserve">בגדר </w:t>
      </w:r>
      <w:r>
        <w:rPr>
          <w:rtl w:val="true"/>
        </w:rPr>
        <w:t>"</w:t>
      </w:r>
      <w:r>
        <w:rPr>
          <w:rtl w:val="true"/>
        </w:rPr>
        <w:t>סרט אילם</w:t>
      </w:r>
      <w:r>
        <w:rPr>
          <w:rtl w:val="true"/>
        </w:rPr>
        <w:t xml:space="preserve">", </w:t>
      </w:r>
      <w:r>
        <w:rPr>
          <w:rtl w:val="true"/>
        </w:rPr>
        <w:t>הדברים יראו בצורה דומה</w:t>
      </w:r>
      <w:r>
        <w:rPr>
          <w:rtl w:val="true"/>
        </w:rPr>
        <w:t>.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 אל לנו להשלים את שרואה הצופה מן הצד באמצעות ידיעותינו בדבר מחשבותיו של המבצע</w:t>
      </w:r>
      <w:r>
        <w:rPr>
          <w:rtl w:val="true"/>
        </w:rPr>
        <w:t xml:space="preserve">, </w:t>
      </w:r>
      <w:r>
        <w:rPr>
          <w:rtl w:val="true"/>
        </w:rPr>
        <w:t>ובכלל זה כי מאחר שלא אותר קורבן מתאים המשיב נמנע מלהשלים את תוכניתו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</w:t>
      </w:r>
      <w:r>
        <w:rPr>
          <w:rFonts w:ascii="Century" w:hAnsi="Century" w:cs="Century"/>
          <w:rtl w:val="true"/>
        </w:rPr>
        <w:t>אני מוצא קושי רב בטענת המערערת כי מהאישום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המשיב רצח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ללמוד על התקיימות היסוד העובדתי שבעבירת הניסיון לרצח באישום הראשון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הלכה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בטענה זו מבקשת המערערת להשלים את שחסר ביסוד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ascii="Century" w:hAnsi="Century" w:cs="Century"/>
          <w:rtl w:val="true"/>
        </w:rPr>
        <w:t xml:space="preserve"> באישום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באמצעות הבלטת עוצמת היסוד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בשילוב עם היסוד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ascii="Century" w:hAnsi="Century" w:cs="Century"/>
          <w:rtl w:val="true"/>
        </w:rPr>
        <w:t xml:space="preserve"> שבאישום השני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האירועים מושא האישום השני כלל אינם חלק מה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סרט האילם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אשר נבחן במסגרת האישום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האירועים מושא האישום השני המשיב הורשע ונענש בחומרה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שראוי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ועניין זה כלל אינו עומד להכרעה בערעור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כמו כן יש להזכיר שהמשיב וזאהי הסוו את מטרת התצפית שערכו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tl w:val="true"/>
        </w:rPr>
        <w:t>"</w:t>
      </w:r>
      <w:r>
        <w:rPr>
          <w:rtl w:val="true"/>
        </w:rPr>
        <w:t>התחזו</w:t>
      </w:r>
      <w:r>
        <w:rPr>
          <w:rtl w:val="true"/>
        </w:rPr>
        <w:t xml:space="preserve">" </w:t>
      </w:r>
      <w:r>
        <w:rPr>
          <w:rtl w:val="true"/>
        </w:rPr>
        <w:t>למטיילים במקום ולצורך כך הצטיידו ב</w:t>
      </w:r>
      <w:r>
        <w:rPr>
          <w:rtl w:val="true"/>
        </w:rPr>
        <w:t>"</w:t>
      </w:r>
      <w:r>
        <w:rPr>
          <w:rtl w:val="true"/>
        </w:rPr>
        <w:t>קפה ואוכל</w:t>
      </w:r>
      <w:r>
        <w:rPr>
          <w:rtl w:val="true"/>
        </w:rPr>
        <w:t xml:space="preserve">" </w:t>
      </w:r>
      <w:r>
        <w:rPr>
          <w:rtl w:val="true"/>
        </w:rPr>
        <w:t>כלשון כתב האישום</w:t>
      </w:r>
      <w:r>
        <w:rPr>
          <w:rtl w:val="true"/>
        </w:rPr>
        <w:t xml:space="preserve">. </w:t>
      </w:r>
      <w:r>
        <w:rPr>
          <w:rtl w:val="true"/>
        </w:rPr>
        <w:t>מבלי לקבוע מסמרות</w:t>
      </w:r>
      <w:r>
        <w:rPr>
          <w:rtl w:val="true"/>
        </w:rPr>
        <w:t xml:space="preserve">, </w:t>
      </w:r>
      <w:r>
        <w:rPr>
          <w:rtl w:val="true"/>
        </w:rPr>
        <w:t>דומני כי במקרים שכאלו</w:t>
      </w:r>
      <w:r>
        <w:rPr>
          <w:rtl w:val="true"/>
        </w:rPr>
        <w:t xml:space="preserve">, </w:t>
      </w:r>
      <w:r>
        <w:rPr>
          <w:rtl w:val="true"/>
        </w:rPr>
        <w:t>שבהם הוכח כי נעשה ניסיון להסוות את המעשים בכסות תמימה</w:t>
      </w:r>
      <w:r>
        <w:rPr>
          <w:rtl w:val="true"/>
        </w:rPr>
        <w:t xml:space="preserve">, </w:t>
      </w:r>
      <w:r>
        <w:rPr>
          <w:rtl w:val="true"/>
        </w:rPr>
        <w:t>עשוי מבחן החד</w:t>
      </w:r>
      <w:r>
        <w:rPr>
          <w:rtl w:val="true"/>
        </w:rPr>
        <w:t>-</w:t>
      </w:r>
      <w:r>
        <w:rPr>
          <w:rtl w:val="true"/>
        </w:rPr>
        <w:t>משמעות להיות מצמצ</w:t>
      </w:r>
      <w:r>
        <w:rPr>
          <w:rtl w:val="true"/>
        </w:rPr>
        <w:t>ם</w:t>
      </w:r>
      <w:r>
        <w:rPr>
          <w:rtl w:val="true"/>
        </w:rPr>
        <w:t xml:space="preserve"> יתר על המידה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225</w:t>
      </w:r>
      <w:r>
        <w:rPr>
          <w:rtl w:val="true"/>
        </w:rPr>
        <w:t xml:space="preserve">). </w:t>
      </w:r>
      <w:r>
        <w:rPr>
          <w:rtl w:val="true"/>
        </w:rPr>
        <w:t xml:space="preserve">באותם מקרים ראוי יהיה לייחס משקל גבוה יותר למבחן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המספקת</w:t>
      </w:r>
      <w:r>
        <w:rPr>
          <w:rtl w:val="true"/>
        </w:rPr>
        <w:t xml:space="preserve">, </w:t>
      </w:r>
      <w:r>
        <w:rPr>
          <w:rtl w:val="true"/>
        </w:rPr>
        <w:t>אשר יישקף באופן מדויק יותר את מצב הדברים הראוי</w:t>
      </w:r>
      <w:r>
        <w:rPr>
          <w:rtl w:val="true"/>
        </w:rPr>
        <w:t xml:space="preserve">. </w:t>
      </w:r>
      <w:r>
        <w:rPr>
          <w:rtl w:val="true"/>
        </w:rPr>
        <w:t>מאחר שאני סבור</w:t>
      </w:r>
      <w:r>
        <w:rPr>
          <w:rtl w:val="true"/>
        </w:rPr>
        <w:t xml:space="preserve">, </w:t>
      </w:r>
      <w:r>
        <w:rPr>
          <w:rtl w:val="true"/>
        </w:rPr>
        <w:t>כפי שארחיב כעת</w:t>
      </w:r>
      <w:r>
        <w:rPr>
          <w:rtl w:val="true"/>
        </w:rPr>
        <w:t xml:space="preserve">, </w:t>
      </w:r>
      <w:r>
        <w:rPr>
          <w:rtl w:val="true"/>
        </w:rPr>
        <w:t>כי בענייננו גם מבחן הקרבה המספקת אינו מתקיים</w:t>
      </w:r>
      <w:r>
        <w:rPr>
          <w:rtl w:val="true"/>
        </w:rPr>
        <w:t xml:space="preserve">, </w:t>
      </w:r>
      <w:r>
        <w:rPr>
          <w:rtl w:val="true"/>
        </w:rPr>
        <w:t>אין לכך השפעה על תוצאת ההליך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>
          <w:sz w:val="22"/>
        </w:rPr>
      </w:pP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מבחן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המספקת</w:t>
      </w:r>
      <w:r>
        <w:rPr>
          <w:rFonts w:ascii="Century" w:hAnsi="Century" w:cs="Century"/>
          <w:rtl w:val="true"/>
        </w:rPr>
        <w:t xml:space="preserve"> יש לבחון את הצעדים שנותרו למבצע ובגדר זאת כמה פעולות נותרו לביצוע ומה חשיבותן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מתן משקל למדדים של קרבה בזמן ובמקום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textAlignment w:val="auto"/>
        <w:rPr>
          <w:sz w:val="22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לסיורים והתצפיות שהשניים ערכו ברחבי ערד</w:t>
      </w:r>
      <w:r>
        <w:rPr>
          <w:rFonts w:cs="Century" w:ascii="Century" w:hAnsi="Century"/>
          <w:rtl w:val="true"/>
        </w:rPr>
        <w:t xml:space="preserve">, </w:t>
      </w:r>
      <w:r>
        <w:rPr>
          <w:sz w:val="22"/>
          <w:sz w:val="22"/>
          <w:rtl w:val="true"/>
        </w:rPr>
        <w:t>מאחר שאנו לא יודעים מה הצעדים שכבר ננקטו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 אנו יודעים בבירור מה הצעדים שנותרו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 למשל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 נקבע כי המשיב יצא מהרכב בשלב כלשהו בסיורים 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 לא נטען כי המשיב או זאהי עצרו את רכבם במסגרתם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פשיטא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כי לא דומה המתנה ברכב או מחוצה לו עם סכין שלוף בסמוך לתחנת אוטובוס ספציפית בערד ולאחר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מעקב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אחר קורבן מסוים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לסיורים רכובים ברחבי ערד לקיום תצפיות על תחנות אוטובוס ובתי קפה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כלל אין לפנינו זירה קונקרטית שבה ניתן לבחון את הדברים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 הפעם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 לנו להשלים את שחסר במסגרת היסוד העובדתי באמצעות היסוד הנפשי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המסד העובדתי כפי שנטען בכתב האישום וכפי שנקבע בהכרעת הדין אינו מספק על מנת להראות כי המשיב חרג ממעשי הכנה</w:t>
      </w:r>
      <w:r>
        <w:rPr>
          <w:sz w:val="22"/>
          <w:rtl w:val="true"/>
        </w:rPr>
        <w:t xml:space="preserve">.  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textAlignment w:val="auto"/>
        <w:rPr>
          <w:sz w:val="22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ביחס להגעת השניים להר הצופה לעבר הבסיס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אמנם נקבע כי המשיב וזאהי הגיעו ל</w:t>
      </w:r>
      <w:r>
        <w:rPr>
          <w:rtl w:val="true"/>
        </w:rPr>
        <w:t>"</w:t>
      </w:r>
      <w:r>
        <w:rPr>
          <w:rtl w:val="true"/>
        </w:rPr>
        <w:t>אזור</w:t>
      </w:r>
      <w:r>
        <w:rPr>
          <w:rtl w:val="true"/>
        </w:rPr>
        <w:t xml:space="preserve">" </w:t>
      </w:r>
      <w:r>
        <w:rPr>
          <w:rtl w:val="true"/>
        </w:rPr>
        <w:t>הבסיס ועצרו שם את הרכב</w:t>
      </w:r>
      <w:r>
        <w:rPr>
          <w:rtl w:val="true"/>
        </w:rPr>
        <w:t xml:space="preserve">, </w:t>
      </w:r>
      <w:r>
        <w:rPr>
          <w:rtl w:val="true"/>
        </w:rPr>
        <w:t>אולם אין ממצא עובדתי באשר למרחק שבו היו מהבסיס</w:t>
      </w:r>
      <w:r>
        <w:rPr>
          <w:rtl w:val="true"/>
        </w:rPr>
        <w:t xml:space="preserve">. </w:t>
      </w:r>
      <w:r>
        <w:rPr>
          <w:rtl w:val="true"/>
        </w:rPr>
        <w:t>בדיון לפנינו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 xml:space="preserve">כוח המערערת אמרה כי המרחק היה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ברזולוציו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מיום </w:t>
      </w:r>
      <w:r>
        <w:rPr/>
        <w:t>28.7.2021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sz w:val="22"/>
        </w:rPr>
        <w:t>20-19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ברי כי שאלה זו בעלת נפקות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 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מאחר שהיא משליכה במישרין על היקף הפעולות הנדרשות להשלמת העבירה</w:t>
      </w:r>
      <w:r>
        <w:rPr>
          <w:sz w:val="22"/>
          <w:rtl w:val="true"/>
        </w:rPr>
        <w:t>.</w:t>
      </w:r>
    </w:p>
    <w:p>
      <w:pPr>
        <w:pStyle w:val="Ruller42"/>
        <w:ind w:end="0"/>
        <w:jc w:val="both"/>
        <w:textAlignment w:val="auto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ind w:end="0"/>
        <w:jc w:val="both"/>
        <w:textAlignment w:val="auto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כלל לא אותר קורבן פוטנציאלי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 לו היה מאותר קורבן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הרי שגם אם נקבל את העמדה כי המרחק היה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מאות מטרים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 xml:space="preserve">נדרשה תנועה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משמעותית</w:t>
      </w:r>
      <w:r>
        <w:rPr>
          <w:sz w:val="22"/>
          <w:sz w:val="22"/>
          <w:rtl w:val="true"/>
        </w:rPr>
        <w:t xml:space="preserve"> לעברו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 אם באופן רגלי ובין אם באופן רכוב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נותרה אפוא כברת דרך להשלמת 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העדר קביעה ביחס למרחק הפיזי משליכה גם על מישור הזמן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 מדובר במאות מטרים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 שנדרש פרק זמן משמעותי להשלמת הניסיון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בעוד המשיב התקדם מרחק מה לעבר ביצוע 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נותרו לו מספר צעדים משמעותיים להשלמתה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 שלא ניתן לקבוע כי מבחן זה מתקיים</w:t>
      </w:r>
      <w:r>
        <w:rPr>
          <w:sz w:val="22"/>
          <w:rtl w:val="true"/>
        </w:rPr>
        <w:t xml:space="preserve">.  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וסיורים</w:t>
      </w:r>
      <w:r>
        <w:rPr>
          <w:rtl w:val="true"/>
        </w:rPr>
        <w:t xml:space="preserve">. </w:t>
      </w:r>
      <w:r>
        <w:rPr>
          <w:rtl w:val="true"/>
        </w:rPr>
        <w:t>האתר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זירת</w:t>
      </w:r>
      <w:r>
        <w:rPr>
          <w:rtl w:val="true"/>
        </w:rPr>
        <w:t xml:space="preserve">"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איכות</w:t>
      </w:r>
      <w:r>
        <w:rPr>
          <w:rtl w:val="true"/>
        </w:rPr>
        <w:t xml:space="preserve">" </w:t>
      </w:r>
      <w:r>
        <w:rPr>
          <w:rtl w:val="true"/>
        </w:rPr>
        <w:t>הצעדים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מטעמים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מעשיו של המשיב במסגרת 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הקשור לעבירות של ניסיון לרצח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אמנם בקצה מתחם ההכנה אולם לא הוכח ברף הנדרש במשפט הפלילי כי הם חורגים לשלב הניסיון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המשמעות היא שיש לזכות את המשיב מעבירות אלו ולוּ מחמת הספק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מבחינה מעשית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ושלא כטענת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קביעות אלו מצרות את צעדי גופי הביטחון כהוא זה במאמציהם לסכל פעולות 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 הכנה אינם ענישים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ענייננו בחריג ולא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מעשי הכנה לביצוע מעשה טרור ענישים ובצדם עונשי מאסר כבדים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המחוקק הרחיב על ההצדקה לכך בדברי ההסבר לחוק המאבק בטרור והדברים ברורים ומשכנעים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</w:t>
      </w:r>
      <w:r>
        <w:rPr>
          <w:rtl w:val="true"/>
        </w:rPr>
        <w:t>-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תושלם</w:t>
      </w:r>
      <w:r>
        <w:rPr>
          <w:rtl w:val="true"/>
        </w:rPr>
        <w:t xml:space="preserve">), </w:t>
      </w:r>
      <w:r>
        <w:rPr>
          <w:rtl w:val="true"/>
        </w:rPr>
        <w:t>בחומרה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להעניש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הגלומה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הטרור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יושלמו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ותוצאתם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הצפויה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>דברי הסבר להצעת 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הממשלה </w:t>
      </w:r>
      <w:r>
        <w:rPr>
          <w:rFonts w:cs="Century" w:ascii="Century" w:hAnsi="Century"/>
        </w:rPr>
        <w:t>949</w:t>
      </w:r>
      <w:r>
        <w:rPr>
          <w:rtl w:val="true"/>
        </w:rPr>
        <w:t xml:space="preserve">, </w:t>
      </w:r>
      <w:r>
        <w:rPr/>
        <w:t>1066</w:t>
      </w:r>
      <w:r>
        <w:rPr>
          <w:rtl w:val="true"/>
        </w:rPr>
        <w:t xml:space="preserve">, </w:t>
      </w:r>
      <w:r>
        <w:rPr/>
        <w:t>1100-1099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בית המשפט המחוזי הרשיע את המשיב בגין האישום הראשון בלבד גם בעבירות של קשירת קשר לביצוע מעשה טרור</w:t>
      </w:r>
      <w:r>
        <w:rPr>
          <w:rtl w:val="true"/>
        </w:rPr>
        <w:t xml:space="preserve">, </w:t>
      </w:r>
      <w:r>
        <w:rPr>
          <w:rtl w:val="true"/>
        </w:rPr>
        <w:t xml:space="preserve">עבירה שהעונש המרבי בגינה הוא </w:t>
      </w:r>
      <w:r>
        <w:rPr>
          <w:rFonts w:cs="Miriam" w:ascii="Century" w:hAnsi="Century"/>
          <w:b/>
          <w:spacing w:val="0"/>
          <w:sz w:val="22"/>
          <w:szCs w:val="24"/>
        </w:rPr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>החזקת סכין שהינה מעשה טרור</w:t>
      </w:r>
      <w:r>
        <w:rPr>
          <w:rtl w:val="true"/>
        </w:rPr>
        <w:t xml:space="preserve">, </w:t>
      </w:r>
      <w:r>
        <w:rPr>
          <w:rtl w:val="true"/>
        </w:rPr>
        <w:t xml:space="preserve">שהעונש בגינה הוא עד </w:t>
      </w:r>
      <w:r>
        <w:rPr>
          <w:rFonts w:cs="Miriam" w:ascii="Century" w:hAnsi="Century"/>
          <w:b/>
          <w:spacing w:val="0"/>
          <w:sz w:val="22"/>
          <w:szCs w:val="24"/>
        </w:rPr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>והכנה לביצוע מעשה טרור שהינו רצח</w:t>
      </w:r>
      <w:r>
        <w:rPr>
          <w:rtl w:val="true"/>
        </w:rPr>
        <w:t xml:space="preserve">, </w:t>
      </w:r>
      <w:r>
        <w:rPr>
          <w:rtl w:val="true"/>
        </w:rPr>
        <w:t xml:space="preserve">עבירה שהעונש המרבי בגינה הוא </w:t>
      </w:r>
      <w:r>
        <w:rPr>
          <w:rFonts w:cs="Miriam" w:ascii="Century" w:hAnsi="Century"/>
          <w:b/>
          <w:spacing w:val="0"/>
          <w:sz w:val="22"/>
          <w:szCs w:val="24"/>
        </w:rPr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גם אם המשיב היה נתפס באחד מהסיורים שערך עם זאהי</w:t>
      </w:r>
      <w:r>
        <w:rPr>
          <w:rtl w:val="true"/>
        </w:rPr>
        <w:t xml:space="preserve">, </w:t>
      </w:r>
      <w:r>
        <w:rPr>
          <w:rtl w:val="true"/>
        </w:rPr>
        <w:t>טרם ביצוע הפיגוע</w:t>
      </w:r>
      <w:r>
        <w:rPr>
          <w:rtl w:val="true"/>
        </w:rPr>
        <w:t xml:space="preserve">, </w:t>
      </w:r>
      <w:r>
        <w:rPr>
          <w:rtl w:val="true"/>
        </w:rPr>
        <w:t>ניתן היה להגיש נגדו כתב אישום בגין עבירות חמורות אלו</w:t>
      </w:r>
      <w:r>
        <w:rPr>
          <w:rtl w:val="true"/>
        </w:rPr>
        <w:t xml:space="preserve">. </w:t>
      </w:r>
      <w:r>
        <w:rPr>
          <w:rtl w:val="true"/>
        </w:rPr>
        <w:t>לו היה מורשע</w:t>
      </w:r>
      <w:r>
        <w:rPr>
          <w:rtl w:val="true"/>
        </w:rPr>
        <w:t xml:space="preserve">, </w:t>
      </w:r>
      <w:r>
        <w:rPr>
          <w:rtl w:val="true"/>
        </w:rPr>
        <w:t>ראוי היה לגזור עליו עונש מאסר ארוך שנים וייתכן שאף דומה לעונש שהיה נגזר עליו אם היה מורשע גם בעבירה של ניסיון לרצח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איני רואה ממש בטענת המערערת כי קביעה שהמשיב לא עבר עבירה של ניסיון לרצח תוביל לכך שרשויות האכיפה </w:t>
      </w:r>
      <w:r>
        <w:rPr>
          <w:rtl w:val="true"/>
        </w:rPr>
        <w:t>"</w:t>
      </w:r>
      <w:r>
        <w:rPr>
          <w:rtl w:val="true"/>
        </w:rPr>
        <w:t>יימנעו מלסכל פיגועים</w:t>
      </w:r>
      <w:r>
        <w:rPr>
          <w:rtl w:val="true"/>
        </w:rPr>
        <w:t xml:space="preserve">" </w:t>
      </w:r>
      <w:r>
        <w:rPr>
          <w:rtl w:val="true"/>
        </w:rPr>
        <w:t>עד לרגע האחרון</w:t>
      </w:r>
      <w:r>
        <w:rPr>
          <w:rtl w:val="true"/>
        </w:rPr>
        <w:t xml:space="preserve">. </w:t>
      </w:r>
      <w:r>
        <w:rPr>
          <w:rtl w:val="true"/>
        </w:rPr>
        <w:t>רשויות אלו עושות את מלאכתן במקצועיות ולמרבה המזל עולה בידן פעמים רבות לסכל פעולות טרור עוד בשלב ההכנה</w:t>
      </w:r>
      <w:r>
        <w:rPr>
          <w:rtl w:val="true"/>
        </w:rPr>
        <w:t xml:space="preserve">. </w:t>
      </w:r>
      <w:r>
        <w:rPr>
          <w:rtl w:val="true"/>
        </w:rPr>
        <w:t>אף אין צורך להכביר במילים בדבר האחריות הכבדה המוטלת על כתפיהן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ממילא אין כל ספק שמעשיו החמורים של המשיב גם באישום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חצו את הרף הפלילי באופן ברור ומובהק</w:t>
      </w:r>
      <w:r>
        <w:rPr>
          <w:rtl w:val="true"/>
        </w:rPr>
        <w:t xml:space="preserve">. </w:t>
      </w:r>
      <w:r>
        <w:rPr>
          <w:rtl w:val="true"/>
        </w:rPr>
        <w:t>השאלה היא האם הם עולים גם כדי מספר עבירות של ניסיון לרצח</w:t>
      </w:r>
      <w:r>
        <w:rPr>
          <w:rtl w:val="true"/>
        </w:rPr>
        <w:t xml:space="preserve">. </w:t>
      </w:r>
      <w:r>
        <w:rPr>
          <w:rtl w:val="true"/>
        </w:rPr>
        <w:t>לשאלה זו אני סבור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יש להשיב בשלילה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 xml:space="preserve">לא ניתן לסיים פסק דין זה מבלי להתייחס למעשהו של המשיב </w:t>
      </w:r>
      <w:r>
        <w:rPr>
          <w:rtl w:val="true"/>
        </w:rPr>
        <w:t>–</w:t>
      </w:r>
      <w:r>
        <w:rPr>
          <w:rtl w:val="true"/>
        </w:rPr>
        <w:t xml:space="preserve"> בן בליעל אשר רצח את המנוח</w:t>
      </w:r>
      <w:r>
        <w:rPr>
          <w:rtl w:val="true"/>
        </w:rPr>
        <w:t xml:space="preserve">, </w:t>
      </w:r>
      <w:r>
        <w:rPr>
          <w:rtl w:val="true"/>
        </w:rPr>
        <w:t>חייל צעיר</w:t>
      </w:r>
      <w:r>
        <w:rPr>
          <w:rtl w:val="true"/>
        </w:rPr>
        <w:t xml:space="preserve">, </w:t>
      </w:r>
      <w:r>
        <w:rPr>
          <w:rtl w:val="true"/>
        </w:rPr>
        <w:t>בדמי ימיו</w:t>
      </w:r>
      <w:r>
        <w:rPr>
          <w:rtl w:val="true"/>
        </w:rPr>
        <w:t xml:space="preserve">. </w:t>
      </w:r>
      <w:r>
        <w:rPr>
          <w:rtl w:val="true"/>
        </w:rPr>
        <w:t>חומרה יתרה יש בעובדה שהמשיב הוא אזרח ישראלי אשר גדל והתחנך במדינה זו והועסק כטכנאי הרדמה במוסד ציבורי</w:t>
      </w:r>
      <w:r>
        <w:rPr>
          <w:rtl w:val="true"/>
        </w:rPr>
        <w:t xml:space="preserve">, </w:t>
      </w:r>
      <w:r>
        <w:rPr>
          <w:rtl w:val="true"/>
        </w:rPr>
        <w:t>בית החולים סורוקה בבאר שבע</w:t>
      </w:r>
      <w:r>
        <w:rPr>
          <w:rtl w:val="true"/>
        </w:rPr>
        <w:t xml:space="preserve">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>מצא הוא להזדהות עם אויביה של המדינה ולהוציא לפועל את תוכניתו הזדונית לרצוח חייל</w:t>
      </w:r>
      <w:r>
        <w:rPr>
          <w:rtl w:val="true"/>
        </w:rPr>
        <w:t xml:space="preserve">. </w:t>
      </w:r>
      <w:r>
        <w:rPr>
          <w:rtl w:val="true"/>
        </w:rPr>
        <w:t>בדין הושת עליו עונש של מאסר עולם 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במצטבר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מובן כי העונש שנגזר על המשיב</w:t>
      </w:r>
      <w:r>
        <w:rPr>
          <w:rtl w:val="true"/>
        </w:rPr>
        <w:t xml:space="preserve">, </w:t>
      </w:r>
      <w:r>
        <w:rPr>
          <w:rtl w:val="true"/>
        </w:rPr>
        <w:t>כבד ככל שהוא</w:t>
      </w:r>
      <w:r>
        <w:rPr>
          <w:rtl w:val="true"/>
        </w:rPr>
        <w:t xml:space="preserve">, </w:t>
      </w:r>
      <w:r>
        <w:rPr>
          <w:rtl w:val="true"/>
        </w:rPr>
        <w:t>אין בו כדי לספק נחמה למשפחת המנוח</w:t>
      </w:r>
      <w:r>
        <w:rPr>
          <w:rtl w:val="true"/>
        </w:rPr>
        <w:t xml:space="preserve">. </w:t>
      </w:r>
      <w:r>
        <w:rPr>
          <w:rtl w:val="true"/>
        </w:rPr>
        <w:t>משפחתו של רון ז</w:t>
      </w:r>
      <w:r>
        <w:rPr>
          <w:rtl w:val="true"/>
        </w:rPr>
        <w:t>"</w:t>
      </w:r>
      <w:r>
        <w:rPr>
          <w:rtl w:val="true"/>
        </w:rPr>
        <w:t>ל ליוותה את הדיונים באיפוק ובאצילות נפש ראויים להערכה וליבנו איתם</w:t>
      </w:r>
      <w:r>
        <w:rPr>
          <w:rtl w:val="true"/>
        </w:rPr>
        <w:t xml:space="preserve">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 xml:space="preserve">דבר לא ימלא את החלל שנפער בליבם או יקהה את כאבם </w:t>
      </w:r>
      <w:r>
        <w:rPr>
          <w:rtl w:val="true"/>
        </w:rPr>
        <w:t>–</w:t>
      </w:r>
      <w:r>
        <w:rPr>
          <w:rtl w:val="true"/>
        </w:rPr>
        <w:t xml:space="preserve"> לא העונש שנגזר על רוצח בנם</w:t>
      </w:r>
      <w:r>
        <w:rPr>
          <w:rtl w:val="true"/>
        </w:rPr>
        <w:t xml:space="preserve">, </w:t>
      </w:r>
      <w:r>
        <w:rPr>
          <w:rtl w:val="true"/>
        </w:rPr>
        <w:t xml:space="preserve">מאסר עולם בתוספת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ואף לא עונש מאסר כבד עוד 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מדי יום באים בשערי בית המשפט מי שביצעו עבירות מהחמורות שישנן</w:t>
      </w:r>
      <w:r>
        <w:rPr>
          <w:rtl w:val="true"/>
        </w:rPr>
        <w:t xml:space="preserve">, </w:t>
      </w:r>
      <w:r>
        <w:rPr>
          <w:rtl w:val="true"/>
        </w:rPr>
        <w:t>אשר קשה לאתר ולו נקודת זכות אחת לטובתם</w:t>
      </w:r>
      <w:r>
        <w:rPr>
          <w:rtl w:val="true"/>
        </w:rPr>
        <w:t xml:space="preserve">. </w:t>
      </w:r>
      <w:r>
        <w:rPr>
          <w:rtl w:val="true"/>
        </w:rPr>
        <w:t>יהיו שיגידו שביחס לאלו</w:t>
      </w:r>
      <w:r>
        <w:rPr>
          <w:rtl w:val="true"/>
        </w:rPr>
        <w:t xml:space="preserve">, </w:t>
      </w:r>
      <w:r>
        <w:rPr>
          <w:rtl w:val="true"/>
        </w:rPr>
        <w:t>הגרועים שבפושעים</w:t>
      </w:r>
      <w:r>
        <w:rPr>
          <w:rtl w:val="true"/>
        </w:rPr>
        <w:t xml:space="preserve">, </w:t>
      </w:r>
      <w:r>
        <w:rPr>
          <w:rtl w:val="true"/>
        </w:rPr>
        <w:t>מי שרצחו ללא רחם</w:t>
      </w:r>
      <w:r>
        <w:rPr>
          <w:rtl w:val="true"/>
        </w:rPr>
        <w:t xml:space="preserve">, </w:t>
      </w:r>
      <w:r>
        <w:rPr>
          <w:rtl w:val="true"/>
        </w:rPr>
        <w:t xml:space="preserve">מה לנו </w:t>
      </w:r>
      <w:r>
        <w:rPr>
          <w:rtl w:val="true"/>
        </w:rPr>
        <w:t>"</w:t>
      </w:r>
      <w:r>
        <w:rPr>
          <w:rtl w:val="true"/>
        </w:rPr>
        <w:t>דקדוקי עניות</w:t>
      </w:r>
      <w:r>
        <w:rPr>
          <w:rtl w:val="true"/>
        </w:rPr>
        <w:t xml:space="preserve">" </w:t>
      </w:r>
      <w:r>
        <w:rPr>
          <w:rtl w:val="true"/>
        </w:rPr>
        <w:t>משפטיים כאלו ואחרים לרבות ביחס לקו הגבול שבין מעשי הכנה לניסיון</w:t>
      </w:r>
      <w:r>
        <w:rPr>
          <w:rtl w:val="true"/>
        </w:rPr>
        <w:t xml:space="preserve">. </w:t>
      </w:r>
      <w:r>
        <w:rPr>
          <w:rtl w:val="true"/>
        </w:rPr>
        <w:t xml:space="preserve">לכך אשיב בקול ברור </w:t>
      </w:r>
      <w:r>
        <w:rPr>
          <w:rtl w:val="true"/>
        </w:rPr>
        <w:t>–</w:t>
      </w:r>
      <w:r>
        <w:rPr>
          <w:rtl w:val="true"/>
        </w:rPr>
        <w:t xml:space="preserve"> שורת הדין חלה כלפי כל באי בית המשפט וגם כלפי המשיב</w:t>
      </w:r>
      <w:r>
        <w:rPr>
          <w:rtl w:val="true"/>
        </w:rPr>
        <w:t xml:space="preserve">, </w:t>
      </w:r>
      <w:r>
        <w:rPr>
          <w:rtl w:val="true"/>
        </w:rPr>
        <w:t>על מעשיו הנתעבים הראויים לכל גנאי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textAlignment w:val="auto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auto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המשיב ביצע עבירות רבות וחמורות ועונשו נגזר בהתאם</w:t>
      </w:r>
      <w:r>
        <w:rPr>
          <w:rtl w:val="true"/>
        </w:rPr>
        <w:t xml:space="preserve">. </w:t>
      </w:r>
      <w:r>
        <w:rPr>
          <w:rtl w:val="true"/>
        </w:rPr>
        <w:t>כשם שהורשע כדין בעבירות אלו ונענש בגינן</w:t>
      </w:r>
      <w:r>
        <w:rPr>
          <w:rtl w:val="true"/>
        </w:rPr>
        <w:t xml:space="preserve">, </w:t>
      </w:r>
      <w:r>
        <w:rPr>
          <w:rtl w:val="true"/>
        </w:rPr>
        <w:t>זוכה כדין מעבירות הניסיון לרצח</w:t>
      </w:r>
      <w:r>
        <w:rPr>
          <w:rtl w:val="true"/>
        </w:rPr>
        <w:t xml:space="preserve">. </w:t>
      </w:r>
      <w:r>
        <w:rPr>
          <w:rtl w:val="true"/>
        </w:rPr>
        <w:t>אציע לחבריי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נדחה 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לדחייה</w:t>
      </w:r>
      <w:r>
        <w:rPr>
          <w:rtl w:val="true"/>
        </w:rPr>
        <w:t xml:space="preserve">.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22.1.2023</w:t>
      </w:r>
      <w:r>
        <w:rPr>
          <w:rtl w:val="true"/>
        </w:rPr>
        <w:t xml:space="preserve">). </w:t>
      </w:r>
      <w:bookmarkEnd w:id="24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19033120</w:t>
      </w:r>
      <w:r>
        <w:rPr>
          <w:sz w:val="16"/>
          <w:rtl w:val="true"/>
        </w:rPr>
        <w:t>_</w:t>
      </w:r>
      <w:r>
        <w:rPr>
          <w:sz w:val="16"/>
        </w:rPr>
        <w:t>J15.docx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54678313-3312/19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6"/>
      <w:footerReference w:type="default" r:id="rId6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3312/19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אבו גודה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sz w:val="28"/>
      <w:szCs w:val="28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apple-converted-space">
    <w:name w:val="apple-converted-space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431196" TargetMode="External"/><Relationship Id="rId3" Type="http://schemas.openxmlformats.org/officeDocument/2006/relationships/hyperlink" Target="http://www.nevo.co.il/safrut/book/5718" TargetMode="External"/><Relationship Id="rId4" Type="http://schemas.openxmlformats.org/officeDocument/2006/relationships/hyperlink" Target="http://www.nevo.co.il/safrut/book/5718" TargetMode="External"/><Relationship Id="rId5" Type="http://schemas.openxmlformats.org/officeDocument/2006/relationships/hyperlink" Target="http://www.nevo.co.il/safrut/bookgroup/412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safrut/bookgroup/1431" TargetMode="External"/><Relationship Id="rId8" Type="http://schemas.openxmlformats.org/officeDocument/2006/relationships/hyperlink" Target="http://www.nevo.co.il/safrut/bookgroup/14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305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141771" TargetMode="External"/><Relationship Id="rId16" Type="http://schemas.openxmlformats.org/officeDocument/2006/relationships/hyperlink" Target="http://www.nevo.co.il/law/141771/28.a.3" TargetMode="External"/><Relationship Id="rId17" Type="http://schemas.openxmlformats.org/officeDocument/2006/relationships/hyperlink" Target="http://www.nevo.co.il/law/141771/30.a" TargetMode="External"/><Relationship Id="rId18" Type="http://schemas.openxmlformats.org/officeDocument/2006/relationships/hyperlink" Target="http://www.nevo.co.il/law/141771/37" TargetMode="External"/><Relationship Id="rId19" Type="http://schemas.openxmlformats.org/officeDocument/2006/relationships/hyperlink" Target="http://www.nevo.co.il/law/141771/37.a" TargetMode="External"/><Relationship Id="rId20" Type="http://schemas.openxmlformats.org/officeDocument/2006/relationships/hyperlink" Target="http://www.nevo.co.il/law/141771/38.c.1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98569/10a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law/74903/184" TargetMode="External"/><Relationship Id="rId25" Type="http://schemas.openxmlformats.org/officeDocument/2006/relationships/hyperlink" Target="http://www.nevo.co.il/law/70301/305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5.1" TargetMode="External"/><Relationship Id="rId28" Type="http://schemas.openxmlformats.org/officeDocument/2006/relationships/hyperlink" Target="http://www.nevo.co.il/law/141771/37.a" TargetMode="External"/><Relationship Id="rId29" Type="http://schemas.openxmlformats.org/officeDocument/2006/relationships/hyperlink" Target="http://www.nevo.co.il/law/141771" TargetMode="External"/><Relationship Id="rId30" Type="http://schemas.openxmlformats.org/officeDocument/2006/relationships/hyperlink" Target="http://www.nevo.co.il/law/70301/186.a" TargetMode="External"/><Relationship Id="rId31" Type="http://schemas.openxmlformats.org/officeDocument/2006/relationships/hyperlink" Target="http://www.nevo.co.il/law/141771/37.a" TargetMode="External"/><Relationship Id="rId32" Type="http://schemas.openxmlformats.org/officeDocument/2006/relationships/hyperlink" Target="http://www.nevo.co.il/law/141771/28.a.3" TargetMode="External"/><Relationship Id="rId33" Type="http://schemas.openxmlformats.org/officeDocument/2006/relationships/hyperlink" Target="http://www.nevo.co.il/law/70301/300.a.2" TargetMode="External"/><Relationship Id="rId34" Type="http://schemas.openxmlformats.org/officeDocument/2006/relationships/hyperlink" Target="http://www.nevo.co.il/law/141771/37" TargetMode="External"/><Relationship Id="rId35" Type="http://schemas.openxmlformats.org/officeDocument/2006/relationships/hyperlink" Target="http://www.nevo.co.il/law/141771/30.a" TargetMode="External"/><Relationship Id="rId36" Type="http://schemas.openxmlformats.org/officeDocument/2006/relationships/hyperlink" Target="http://www.nevo.co.il/law/98569/10a" TargetMode="External"/><Relationship Id="rId37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law/70301/300.a.2" TargetMode="External"/><Relationship Id="rId39" Type="http://schemas.openxmlformats.org/officeDocument/2006/relationships/hyperlink" Target="http://www.nevo.co.il/law/70301/499.a.1" TargetMode="External"/><Relationship Id="rId40" Type="http://schemas.openxmlformats.org/officeDocument/2006/relationships/hyperlink" Target="http://www.nevo.co.il/law/141771/38.c.1" TargetMode="External"/><Relationship Id="rId41" Type="http://schemas.openxmlformats.org/officeDocument/2006/relationships/hyperlink" Target="http://www.nevo.co.il/law/74903/184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law/70301/305.1" TargetMode="External"/><Relationship Id="rId44" Type="http://schemas.openxmlformats.org/officeDocument/2006/relationships/hyperlink" Target="http://www.nevo.co.il/case/8245314" TargetMode="External"/><Relationship Id="rId45" Type="http://schemas.openxmlformats.org/officeDocument/2006/relationships/hyperlink" Target="http://www.nevo.co.il/law/70301/25" TargetMode="External"/><Relationship Id="rId46" Type="http://schemas.openxmlformats.org/officeDocument/2006/relationships/hyperlink" Target="http://www.nevo.co.il/case/27672788" TargetMode="External"/><Relationship Id="rId47" Type="http://schemas.openxmlformats.org/officeDocument/2006/relationships/hyperlink" Target="http://www.nevo.co.il/case/21651517" TargetMode="External"/><Relationship Id="rId48" Type="http://schemas.openxmlformats.org/officeDocument/2006/relationships/hyperlink" Target="http://www.nevo.co.il/case/25591764" TargetMode="External"/><Relationship Id="rId49" Type="http://schemas.openxmlformats.org/officeDocument/2006/relationships/hyperlink" Target="http://www.nevo.co.il/case/17925687" TargetMode="External"/><Relationship Id="rId50" Type="http://schemas.openxmlformats.org/officeDocument/2006/relationships/hyperlink" Target="http://www.nevo.co.il/case/5691461" TargetMode="External"/><Relationship Id="rId51" Type="http://schemas.openxmlformats.org/officeDocument/2006/relationships/hyperlink" Target="http://www.nevo.co.il/safrut/book/5718" TargetMode="External"/><Relationship Id="rId52" Type="http://schemas.openxmlformats.org/officeDocument/2006/relationships/hyperlink" Target="http://www.nevo.co.il/case/6140432" TargetMode="External"/><Relationship Id="rId53" Type="http://schemas.openxmlformats.org/officeDocument/2006/relationships/hyperlink" Target="http://www.nevo.co.il/safrut/bookgroup/412" TargetMode="External"/><Relationship Id="rId54" Type="http://schemas.openxmlformats.org/officeDocument/2006/relationships/hyperlink" Target="http://www.nevo.co.il/safrut/bookgroup/1431" TargetMode="External"/><Relationship Id="rId55" Type="http://schemas.openxmlformats.org/officeDocument/2006/relationships/hyperlink" Target="http://www.nevo.co.il/safrut/bookgroup/2258" TargetMode="External"/><Relationship Id="rId56" Type="http://schemas.openxmlformats.org/officeDocument/2006/relationships/hyperlink" Target="http://www.nevo.co.il/case/5804761" TargetMode="External"/><Relationship Id="rId57" Type="http://schemas.openxmlformats.org/officeDocument/2006/relationships/hyperlink" Target="http://www.nevo.co.il/case/22289810" TargetMode="External"/><Relationship Id="rId58" Type="http://schemas.openxmlformats.org/officeDocument/2006/relationships/hyperlink" Target="http://www.nevo.co.il/case/17920174" TargetMode="External"/><Relationship Id="rId59" Type="http://schemas.openxmlformats.org/officeDocument/2006/relationships/hyperlink" Target="http://www.nevo.co.il/case/6102864" TargetMode="External"/><Relationship Id="rId60" Type="http://schemas.openxmlformats.org/officeDocument/2006/relationships/hyperlink" Target="http://www.nevo.co.il/case/23353997" TargetMode="External"/><Relationship Id="rId61" Type="http://schemas.openxmlformats.org/officeDocument/2006/relationships/hyperlink" Target="http://www.nevo.co.il/case/6154475" TargetMode="External"/><Relationship Id="rId62" Type="http://schemas.openxmlformats.org/officeDocument/2006/relationships/hyperlink" Target="http://www.nevo.co.il/case/5594119" TargetMode="External"/><Relationship Id="rId63" Type="http://schemas.openxmlformats.org/officeDocument/2006/relationships/hyperlink" Target="http://www.nevo.co.il/case/5777967" TargetMode="External"/><Relationship Id="rId64" Type="http://schemas.openxmlformats.org/officeDocument/2006/relationships/hyperlink" Target="https://supreme.court.gov.il/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2023-01-23T08:51:00Z</dcterms:created>
  <dc:creator>h4</dc:creator>
  <dc:description/>
  <cp:keywords/>
  <dc:language>en-IL</dc:language>
  <cp:lastModifiedBy>orly</cp:lastModifiedBy>
  <cp:lastPrinted>2023-01-22T11:00:00Z</cp:lastPrinted>
  <dcterms:modified xsi:type="dcterms:W3CDTF">2023-01-23T08:51:00Z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אבו גודה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412;1431</vt:lpwstr>
  </property>
  <property fmtid="{D5CDD505-2E9C-101B-9397-08002B2CF9AE}" pid="9" name="BOOKLISTTMP1">
    <vt:lpwstr>5718</vt:lpwstr>
  </property>
  <property fmtid="{D5CDD505-2E9C-101B-9397-08002B2CF9AE}" pid="10" name="CASESLISTTMP1">
    <vt:lpwstr>23431196;8245314;27672788;21651517;25591764;17925687;5691461;6140432;5804761;22289810;17920174;6102864;23353997;6154475;5594119;5777967</vt:lpwstr>
  </property>
  <property fmtid="{D5CDD505-2E9C-101B-9397-08002B2CF9AE}" pid="11" name="CITY">
    <vt:lpwstr/>
  </property>
  <property fmtid="{D5CDD505-2E9C-101B-9397-08002B2CF9AE}" pid="12" name="DATE">
    <vt:lpwstr>20230122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סולברג;ד' מינץ;י' אלרון</vt:lpwstr>
  </property>
  <property fmtid="{D5CDD505-2E9C-101B-9397-08002B2CF9AE}" pid="16" name="LAWLISTTMP1">
    <vt:lpwstr>70301/305.1:3;186.a;300.a.2:2;499.a.1;025</vt:lpwstr>
  </property>
  <property fmtid="{D5CDD505-2E9C-101B-9397-08002B2CF9AE}" pid="17" name="LAWLISTTMP2">
    <vt:lpwstr>141771/037.a:2;028.a.3;037;030.a;038.c.1</vt:lpwstr>
  </property>
  <property fmtid="{D5CDD505-2E9C-101B-9397-08002B2CF9AE}" pid="18" name="LAWLISTTMP3">
    <vt:lpwstr>98569/010a</vt:lpwstr>
  </property>
  <property fmtid="{D5CDD505-2E9C-101B-9397-08002B2CF9AE}" pid="19" name="LAWLISTTMP4">
    <vt:lpwstr>74903/184</vt:lpwstr>
  </property>
  <property fmtid="{D5CDD505-2E9C-101B-9397-08002B2CF9AE}" pid="20" name="LAWYER">
    <vt:lpwstr>שירן ברגמן;נועם גוטמן;אושרה פטל רוזנברג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BOOKNEVO">
    <vt:lpwstr>2258</vt:lpwstr>
  </property>
  <property fmtid="{D5CDD505-2E9C-101B-9397-08002B2CF9AE}" pid="32" name="NOSE11">
    <vt:lpwstr>עונשין</vt:lpwstr>
  </property>
  <property fmtid="{D5CDD505-2E9C-101B-9397-08002B2CF9AE}" pid="33" name="NOSE110">
    <vt:lpwstr/>
  </property>
  <property fmtid="{D5CDD505-2E9C-101B-9397-08002B2CF9AE}" pid="34" name="NOSE12">
    <vt:lpwstr>עונשין</vt:lpwstr>
  </property>
  <property fmtid="{D5CDD505-2E9C-101B-9397-08002B2CF9AE}" pid="35" name="NOSE13">
    <vt:lpwstr>עונשין</vt:lpwstr>
  </property>
  <property fmtid="{D5CDD505-2E9C-101B-9397-08002B2CF9AE}" pid="36" name="NOSE14">
    <vt:lpwstr/>
  </property>
  <property fmtid="{D5CDD505-2E9C-101B-9397-08002B2CF9AE}" pid="37" name="NOSE15">
    <vt:lpwstr/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77;77;77</vt:lpwstr>
  </property>
  <property fmtid="{D5CDD505-2E9C-101B-9397-08002B2CF9AE}" pid="43" name="NOSE21">
    <vt:lpwstr>עבירות</vt:lpwstr>
  </property>
  <property fmtid="{D5CDD505-2E9C-101B-9397-08002B2CF9AE}" pid="44" name="NOSE210">
    <vt:lpwstr/>
  </property>
  <property fmtid="{D5CDD505-2E9C-101B-9397-08002B2CF9AE}" pid="45" name="NOSE22">
    <vt:lpwstr>ניסיון</vt:lpwstr>
  </property>
  <property fmtid="{D5CDD505-2E9C-101B-9397-08002B2CF9AE}" pid="46" name="NOSE23">
    <vt:lpwstr>ניסיון</vt:lpwstr>
  </property>
  <property fmtid="{D5CDD505-2E9C-101B-9397-08002B2CF9AE}" pid="47" name="NOSE24">
    <vt:lpwstr/>
  </property>
  <property fmtid="{D5CDD505-2E9C-101B-9397-08002B2CF9AE}" pid="48" name="NOSE25">
    <vt:lpwstr/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1443;1440;1440</vt:lpwstr>
  </property>
  <property fmtid="{D5CDD505-2E9C-101B-9397-08002B2CF9AE}" pid="54" name="NOSE31">
    <vt:lpwstr>ניסיון לרצח</vt:lpwstr>
  </property>
  <property fmtid="{D5CDD505-2E9C-101B-9397-08002B2CF9AE}" pid="55" name="NOSE310">
    <vt:lpwstr/>
  </property>
  <property fmtid="{D5CDD505-2E9C-101B-9397-08002B2CF9AE}" pid="56" name="NOSE32">
    <vt:lpwstr>רצח</vt:lpwstr>
  </property>
  <property fmtid="{D5CDD505-2E9C-101B-9397-08002B2CF9AE}" pid="57" name="NOSE33">
    <vt:lpwstr>יסודותיו</vt:lpwstr>
  </property>
  <property fmtid="{D5CDD505-2E9C-101B-9397-08002B2CF9AE}" pid="58" name="NOSE34">
    <vt:lpwstr/>
  </property>
  <property fmtid="{D5CDD505-2E9C-101B-9397-08002B2CF9AE}" pid="59" name="NOSE35">
    <vt:lpwstr/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8867;8746;8744</vt:lpwstr>
  </property>
  <property fmtid="{D5CDD505-2E9C-101B-9397-08002B2CF9AE}" pid="65" name="PADIDATE">
    <vt:lpwstr>20230123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3312</vt:lpwstr>
  </property>
  <property fmtid="{D5CDD505-2E9C-101B-9397-08002B2CF9AE}" pid="71" name="PROCYEAR">
    <vt:lpwstr>19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410120230122</vt:lpwstr>
  </property>
  <property fmtid="{D5CDD505-2E9C-101B-9397-08002B2CF9AE}" pid="75" name="TYPE_N_DATE">
    <vt:lpwstr>41020230122</vt:lpwstr>
  </property>
  <property fmtid="{D5CDD505-2E9C-101B-9397-08002B2CF9AE}" pid="76" name="VOLUME">
    <vt:lpwstr/>
  </property>
  <property fmtid="{D5CDD505-2E9C-101B-9397-08002B2CF9AE}" pid="77" name="WORDNUMPAGES">
    <vt:lpwstr>21</vt:lpwstr>
  </property>
</Properties>
</file>