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3336/18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השאם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סמארה</w:t>
            </w:r>
          </w:p>
        </w:tc>
      </w:tr>
    </w:tbl>
    <w:p>
      <w:pPr>
        <w:pStyle w:val="Ruller31"/>
        <w:ind w:end="0"/>
        <w:jc w:val="start"/>
        <w:rPr>
          <w:sz w:val="8"/>
          <w:szCs w:val="14"/>
        </w:rPr>
      </w:pPr>
      <w:r>
        <w:rPr>
          <w:sz w:val="8"/>
          <w:szCs w:val="14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40313-09-15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7.11.18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המשיב חורג לקולא באופן משמעותי מהראוי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עולה בקנה אחד עם המגמה המוצהרת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בשנים האחרונות בדבר החמרת רמת הענישה בעבירות נשק ועל כן יש לקבל 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על קולת העונש שהוטל על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הכולל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בעקבות הרשעתו 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הודאתו בעובדות כתב אישום 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נשיאת נשק ותחמושת והחזקת תחמושת – שני כלי נשק מאולתרים מסוג תת מקלע עם מחסניות בתוכם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</w:t>
      </w:r>
      <w:r>
        <w:rPr>
          <w:rFonts w:cs="Times New Roman" w:ascii="Times New Roman" w:hAnsi="Times New Roman"/>
          <w:spacing w:val="0"/>
          <w:sz w:val="24"/>
          <w:szCs w:val="26"/>
        </w:rPr>
        <w:t>47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כדורי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ערכאת הערעור אינה גוזרת מחדש את דינו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ואינה נוטה להתערב בעונש שנגזר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בנסיבות חריגות שבהן נפלה טעות בולטת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כאשר העונש חורג באופן קיצוני מהענישה המקובלת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שוכנע כי העונש שהוטל על המשיב חורג לקולא באופן משמעותי מהראוי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עולה בקנה אחד עם המגמה המוצהרת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בשנים האחרונות בדבר החמרת רמת הענישה בעבירות נשק ועל כן יש לקבל 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 יש להחמיר את עונשו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בשים לב לחומרת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שמדובר בשני כלי נשק מסוג תת מקלע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לנסיעתו המהירה של המשיב לאחר שאותתו לו השוטרים לעצור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שלא ניתן הסבר מספק למטרת ההחזקה בנשק ולעברו הפלילי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בדגש על תקופות המאסר הממושכות והעבירות הדומות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נעלמה מעיני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העובדה כי המשיב שיקם את חייו בצורה טובה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נמנע מביצוע עבירות במשך שנים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וקיבל המלצות חיוביות משירות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בעבירות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בנסיבות שנמנו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העונש להלום את חומרתן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נוכח הכלל לפיו ערכאת הערעור אינה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הוחלט לחמיר בעונש בצורה מתונה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שעונש המאסר בפועל יעמוד על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רכיבי העונש יוותרו על כנם כפי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bookmarkStart w:id="17" w:name="_GoBack"/>
      <w:bookmarkEnd w:id="17"/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12.3.2018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40313-09-15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18.9.2015</w:t>
      </w:r>
      <w:r>
        <w:rPr>
          <w:rtl w:val="true"/>
        </w:rPr>
        <w:t xml:space="preserve"> </w:t>
      </w:r>
      <w:r>
        <w:rPr>
          <w:rtl w:val="true"/>
        </w:rPr>
        <w:t>ביצעו מספר שוטרים בתפקיד תצפית במסגרת פעילות בילוש בעיר טירה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3:00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הבחינו השוטרים ברכב בו נהג המשיב ועמו שני אנשים נוספים</w:t>
      </w:r>
      <w:r>
        <w:rPr>
          <w:rtl w:val="true"/>
        </w:rPr>
        <w:t xml:space="preserve">, </w:t>
      </w:r>
      <w:r>
        <w:rPr>
          <w:rtl w:val="true"/>
        </w:rPr>
        <w:t>והם נסעו אחר הרכב</w:t>
      </w:r>
      <w:r>
        <w:rPr>
          <w:rtl w:val="true"/>
        </w:rPr>
        <w:t xml:space="preserve">, </w:t>
      </w:r>
      <w:r>
        <w:rPr>
          <w:rtl w:val="true"/>
        </w:rPr>
        <w:t>כרזו למשיב לעצור והדליקו אורות כחולים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החל המשיב בנסיעה מהירה וכשהגיע לדרך ללא מוצא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השוטרים נעצרו אחריו</w:t>
      </w:r>
      <w:r>
        <w:rPr>
          <w:rtl w:val="true"/>
        </w:rPr>
        <w:t xml:space="preserve">, </w:t>
      </w:r>
      <w:r>
        <w:rPr>
          <w:rtl w:val="true"/>
        </w:rPr>
        <w:t>חסמו את הדרך</w:t>
      </w:r>
      <w:r>
        <w:rPr>
          <w:rtl w:val="true"/>
        </w:rPr>
        <w:t xml:space="preserve">, </w:t>
      </w:r>
      <w:r>
        <w:rPr>
          <w:rtl w:val="true"/>
        </w:rPr>
        <w:t xml:space="preserve">ביצעו חיפוש ברכב ובמהלכו תפסו בתא המטען שני רובי </w:t>
      </w:r>
      <w:r>
        <w:rPr>
          <w:rtl w:val="true"/>
        </w:rPr>
        <w:t>"</w:t>
      </w:r>
      <w:r>
        <w:rPr>
          <w:rtl w:val="true"/>
        </w:rPr>
        <w:t>קרל גוסטב</w:t>
      </w:r>
      <w:r>
        <w:rPr>
          <w:rtl w:val="true"/>
        </w:rPr>
        <w:t xml:space="preserve">" </w:t>
      </w:r>
      <w:r>
        <w:rPr>
          <w:rtl w:val="true"/>
        </w:rPr>
        <w:t>מאולתרים עם מחסניות בתוכם</w:t>
      </w:r>
      <w:r>
        <w:rPr>
          <w:rtl w:val="true"/>
        </w:rPr>
        <w:t xml:space="preserve">, </w:t>
      </w:r>
      <w:r>
        <w:rPr>
          <w:rtl w:val="true"/>
        </w:rPr>
        <w:t>כשהם מכוסים בשק יוטה בצבע חום</w:t>
      </w:r>
      <w:r>
        <w:rPr>
          <w:rtl w:val="true"/>
        </w:rPr>
        <w:t xml:space="preserve">. </w:t>
      </w:r>
      <w:r>
        <w:rPr>
          <w:rtl w:val="true"/>
        </w:rPr>
        <w:t xml:space="preserve">כן נתפס גם קרטון שהכיל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וגרב שחורה ובה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 נוספים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המשיב בן </w:t>
      </w:r>
      <w:r>
        <w:rPr/>
        <w:t>55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השנים האחרונות</w:t>
      </w:r>
      <w:r>
        <w:rPr>
          <w:rtl w:val="true"/>
        </w:rPr>
        <w:t xml:space="preserve">, </w:t>
      </w:r>
      <w:r>
        <w:rPr>
          <w:rtl w:val="true"/>
        </w:rPr>
        <w:t xml:space="preserve">הוא עובד כממונה על הגבייה בתאגיד המים </w:t>
      </w:r>
      <w:r>
        <w:rPr>
          <w:rtl w:val="true"/>
        </w:rPr>
        <w:t>"</w:t>
      </w:r>
      <w:r>
        <w:rPr>
          <w:rtl w:val="true"/>
        </w:rPr>
        <w:t>מעיינות המשולש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השנים שקדמו לכך</w:t>
      </w:r>
      <w:r>
        <w:rPr>
          <w:rtl w:val="true"/>
        </w:rPr>
        <w:t xml:space="preserve">, </w:t>
      </w:r>
      <w:r>
        <w:rPr>
          <w:rtl w:val="true"/>
        </w:rPr>
        <w:t>עבד במחלקת הגבייה של עיריית טייבה</w:t>
      </w:r>
      <w:r>
        <w:rPr>
          <w:rtl w:val="true"/>
        </w:rPr>
        <w:t xml:space="preserve">. </w:t>
      </w:r>
      <w:r>
        <w:rPr>
          <w:rtl w:val="true"/>
        </w:rPr>
        <w:t xml:space="preserve">המשיב 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ומחזיק בתעודת בגרות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גדל במשפחה נורמטיבית</w:t>
      </w:r>
      <w:r>
        <w:rPr>
          <w:rtl w:val="true"/>
        </w:rPr>
        <w:t xml:space="preserve">, </w:t>
      </w:r>
      <w:r>
        <w:rPr>
          <w:rtl w:val="true"/>
        </w:rPr>
        <w:t xml:space="preserve">ובגיל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עבר להתגורר אצל דודו</w:t>
      </w:r>
      <w:r>
        <w:rPr>
          <w:rtl w:val="true"/>
        </w:rPr>
        <w:t xml:space="preserve">. </w:t>
      </w:r>
      <w:r>
        <w:rPr>
          <w:rtl w:val="true"/>
        </w:rPr>
        <w:t>עם סיום לימודיו בתיכון נהג לבלות עם חברה שולית</w:t>
      </w:r>
      <w:r>
        <w:rPr>
          <w:rtl w:val="true"/>
        </w:rPr>
        <w:t xml:space="preserve">, </w:t>
      </w:r>
      <w:r>
        <w:rPr>
          <w:rtl w:val="true"/>
        </w:rPr>
        <w:t>מה שמנע ממנו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להשתלב בלימודים אקדמיים</w:t>
      </w:r>
      <w:r>
        <w:rPr>
          <w:rtl w:val="true"/>
        </w:rPr>
        <w:t xml:space="preserve">. </w:t>
      </w:r>
      <w:r>
        <w:rPr>
          <w:rtl w:val="true"/>
        </w:rPr>
        <w:t>המשיב תיאר השתלבות לא סדירה בתעסוקה שהתאפיינה בעבודות מזדמנות לתקופות קצרות</w:t>
      </w:r>
      <w:r>
        <w:rPr>
          <w:rtl w:val="true"/>
        </w:rPr>
        <w:t xml:space="preserve">, </w:t>
      </w:r>
      <w:r>
        <w:rPr>
          <w:rtl w:val="true"/>
        </w:rPr>
        <w:t>ואף ביצע עבירות וריצה מאסרים</w:t>
      </w:r>
      <w:r>
        <w:rPr>
          <w:rtl w:val="true"/>
        </w:rPr>
        <w:t xml:space="preserve">. </w:t>
      </w:r>
      <w:r>
        <w:rPr>
          <w:rtl w:val="true"/>
        </w:rPr>
        <w:t xml:space="preserve">בגיל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שוחרר ממאסרו האחרון והחליט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לערוך שינוי משמעותי בחייו</w:t>
      </w:r>
      <w:r>
        <w:rPr>
          <w:rtl w:val="true"/>
        </w:rPr>
        <w:t xml:space="preserve">, </w:t>
      </w:r>
      <w:r>
        <w:rPr>
          <w:rtl w:val="true"/>
        </w:rPr>
        <w:t>ניתק קשרים עברייניים קודמים והשתלב בתעסוקה באופן נורמטיבי ומקובל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בהתייחסו לעבירות בהן הורשע</w:t>
      </w:r>
      <w:r>
        <w:rPr>
          <w:rtl w:val="true"/>
        </w:rPr>
        <w:t xml:space="preserve">, </w:t>
      </w:r>
      <w:r>
        <w:rPr>
          <w:rtl w:val="true"/>
        </w:rPr>
        <w:t>קיבל המשיב אחריות מלאה על מעורבותו</w:t>
      </w:r>
      <w:r>
        <w:rPr>
          <w:rtl w:val="true"/>
        </w:rPr>
        <w:t xml:space="preserve">, </w:t>
      </w:r>
      <w:r>
        <w:rPr>
          <w:rtl w:val="true"/>
        </w:rPr>
        <w:t>ביטא חרטה וצער עמוקים</w:t>
      </w:r>
      <w:r>
        <w:rPr>
          <w:rtl w:val="true"/>
        </w:rPr>
        <w:t xml:space="preserve">, </w:t>
      </w:r>
      <w:r>
        <w:rPr>
          <w:rtl w:val="true"/>
        </w:rPr>
        <w:t>וחש בושה בגינן</w:t>
      </w:r>
      <w:r>
        <w:rPr>
          <w:rtl w:val="true"/>
        </w:rPr>
        <w:t xml:space="preserve">. </w:t>
      </w:r>
      <w:r>
        <w:rPr>
          <w:rtl w:val="true"/>
        </w:rPr>
        <w:t>המשיב הסביר כי מעורבותו במעשים מגיעה על רקע קשרים בעייתיים קודמים</w:t>
      </w:r>
      <w:r>
        <w:rPr>
          <w:rtl w:val="true"/>
        </w:rPr>
        <w:t xml:space="preserve">, </w:t>
      </w:r>
      <w:r>
        <w:rPr>
          <w:rtl w:val="true"/>
        </w:rPr>
        <w:t>ונובעת מהקושי שלו להציב גבולות בפניהם</w:t>
      </w:r>
      <w:r>
        <w:rPr>
          <w:rtl w:val="true"/>
        </w:rPr>
        <w:t xml:space="preserve">. </w:t>
      </w:r>
      <w:r>
        <w:rPr>
          <w:rtl w:val="true"/>
        </w:rPr>
        <w:t>המשיב ציין את הפער בין התנהלותו הבעייתית ובין ניהול אורח חיים נורמטיבי במשך שנים</w:t>
      </w:r>
      <w:r>
        <w:rPr>
          <w:rtl w:val="true"/>
        </w:rPr>
        <w:t xml:space="preserve">, </w:t>
      </w:r>
      <w:r>
        <w:rPr>
          <w:rtl w:val="true"/>
        </w:rPr>
        <w:t>והוסיף כי פעל מתוך רצון לשמור על תדמיתו הגברית מול גורמים עברייניים מהעבר</w:t>
      </w:r>
      <w:r>
        <w:rPr>
          <w:rtl w:val="true"/>
        </w:rPr>
        <w:t xml:space="preserve">. </w:t>
      </w:r>
      <w:r>
        <w:rPr>
          <w:rtl w:val="true"/>
        </w:rPr>
        <w:t>במסגרת צו פיקוח מעצר</w:t>
      </w:r>
      <w:r>
        <w:rPr>
          <w:rtl w:val="true"/>
        </w:rPr>
        <w:t xml:space="preserve">, </w:t>
      </w:r>
      <w:r>
        <w:rPr>
          <w:rtl w:val="true"/>
        </w:rPr>
        <w:t>השתלב המשיב בקבוצה המיועדת לעצורי בית</w:t>
      </w:r>
      <w:r>
        <w:rPr>
          <w:rtl w:val="true"/>
        </w:rPr>
        <w:t xml:space="preserve">, </w:t>
      </w:r>
      <w:r>
        <w:rPr>
          <w:rtl w:val="true"/>
        </w:rPr>
        <w:t>אליה הגיע באופן רצוף ויציב ולקח בה חלק פעיל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המשיב ביטא הכרה ראשונית בבעייתיות שבהתנהלותו</w:t>
      </w:r>
      <w:r>
        <w:rPr>
          <w:rtl w:val="true"/>
        </w:rPr>
        <w:t xml:space="preserve">, </w:t>
      </w:r>
      <w:r>
        <w:rPr>
          <w:rtl w:val="true"/>
        </w:rPr>
        <w:t>נכונות לזהות מצבי סיכון ועריכת שינוי בדפוסיו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בשקלול כל הפרמטרים</w:t>
      </w:r>
      <w:r>
        <w:rPr>
          <w:rtl w:val="true"/>
        </w:rPr>
        <w:t xml:space="preserve">, </w:t>
      </w:r>
      <w:r>
        <w:rPr>
          <w:rtl w:val="true"/>
        </w:rPr>
        <w:t>רמת הסיכון להתנהגות אלימה מצד המשיב היא נמוכה</w:t>
      </w:r>
      <w:r>
        <w:rPr>
          <w:rtl w:val="true"/>
        </w:rPr>
        <w:t xml:space="preserve">, </w:t>
      </w:r>
      <w:r>
        <w:rPr>
          <w:rtl w:val="true"/>
        </w:rPr>
        <w:t>וכי החומרה הצפויה אם תבוצע עבירת אלימות</w:t>
      </w:r>
      <w:r>
        <w:rPr>
          <w:rtl w:val="true"/>
        </w:rPr>
        <w:t xml:space="preserve">, </w:t>
      </w:r>
      <w:r>
        <w:rPr>
          <w:rtl w:val="true"/>
        </w:rPr>
        <w:t>נמוכה אף היא</w:t>
      </w:r>
      <w:r>
        <w:rPr>
          <w:rtl w:val="true"/>
        </w:rPr>
        <w:t xml:space="preserve">. </w:t>
      </w:r>
      <w:r>
        <w:rPr>
          <w:rtl w:val="true"/>
        </w:rPr>
        <w:t>עוד העריך שירות המבחן כי נדרשת מעורבות טיפולית בעניין המשיב כדי להגביר את הסיכוי לשיקומו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המליץ על מאסר בדרך של עבודות שירות וצו מבחן</w:t>
      </w:r>
      <w:r>
        <w:rPr>
          <w:rtl w:val="true"/>
        </w:rPr>
        <w:t xml:space="preserve">, </w:t>
      </w:r>
      <w:r>
        <w:rPr>
          <w:rtl w:val="true"/>
        </w:rPr>
        <w:t xml:space="preserve">כדי לא לקטוע את ההליך השיקומי בו התמיד המשיב במשך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שהורשע במסגרת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קמא את דינו של המשיב ביום </w:t>
      </w:r>
      <w:r>
        <w:rPr/>
        <w:t>12.3.2018</w:t>
      </w:r>
      <w:r>
        <w:rPr>
          <w:rtl w:val="true"/>
        </w:rPr>
        <w:t xml:space="preserve">. </w:t>
      </w:r>
      <w:r>
        <w:rPr>
          <w:rtl w:val="true"/>
        </w:rPr>
        <w:t>בגזר הדין התייחס בית המשפט קמא לפגיעה בערך ההגנה על ביטחון הציבור</w:t>
      </w:r>
      <w:r>
        <w:rPr>
          <w:rtl w:val="true"/>
        </w:rPr>
        <w:t xml:space="preserve">, </w:t>
      </w:r>
      <w:r>
        <w:rPr>
          <w:rtl w:val="true"/>
        </w:rPr>
        <w:t>וציין כי נשיאת נשק חם מסוג תת מקלע</w:t>
      </w:r>
      <w:r>
        <w:rPr>
          <w:rtl w:val="true"/>
        </w:rPr>
        <w:t xml:space="preserve">, </w:t>
      </w:r>
      <w:r>
        <w:rPr>
          <w:rtl w:val="true"/>
        </w:rPr>
        <w:t>יוצרת סיכון שמא יגיע הנשק לגורמים שיעשו בו שימוש למטרות פסולות</w:t>
      </w:r>
      <w:r>
        <w:rPr>
          <w:rtl w:val="true"/>
        </w:rPr>
        <w:t xml:space="preserve">. </w:t>
      </w:r>
      <w:r>
        <w:rPr>
          <w:rtl w:val="true"/>
        </w:rPr>
        <w:t>בית המשפט קמא קבע כי מידת הפגיעה בערך המוגן ממוקמת ברף הבינוני</w:t>
      </w:r>
      <w:r>
        <w:rPr>
          <w:rtl w:val="true"/>
        </w:rPr>
        <w:t xml:space="preserve">. </w:t>
      </w:r>
      <w:r>
        <w:rPr>
          <w:rtl w:val="true"/>
        </w:rPr>
        <w:t>כן התייחס בית המשפט קמא לעובדה כי מדובר בנשיאת שני כלי נשק מאולתרים מסוג תת מקלע</w:t>
      </w:r>
      <w:r>
        <w:rPr>
          <w:rtl w:val="true"/>
        </w:rPr>
        <w:t xml:space="preserve">, </w:t>
      </w:r>
      <w:r>
        <w:rPr>
          <w:rtl w:val="true"/>
        </w:rPr>
        <w:t>וציין כי עבירה בנשק מסוג זה חמורה מעבירה בנשק מסוג אקדח</w:t>
      </w:r>
      <w:r>
        <w:rPr>
          <w:rtl w:val="true"/>
        </w:rPr>
        <w:t xml:space="preserve">, </w:t>
      </w:r>
      <w:r>
        <w:rPr>
          <w:rtl w:val="true"/>
        </w:rPr>
        <w:t>בשל פוטנציאל הנזק הרב הטמון בכלי נשק אלה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לכך</w:t>
      </w:r>
      <w:r>
        <w:rPr>
          <w:rtl w:val="true"/>
        </w:rPr>
        <w:t xml:space="preserve">, </w:t>
      </w:r>
      <w:r>
        <w:rPr>
          <w:rtl w:val="true"/>
        </w:rPr>
        <w:t>התייחס בית המשפט קמא לנסיבות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כגון שעת הלילה המאוחרת</w:t>
      </w:r>
      <w:r>
        <w:rPr>
          <w:rtl w:val="true"/>
        </w:rPr>
        <w:t xml:space="preserve">, </w:t>
      </w:r>
      <w:r>
        <w:rPr>
          <w:rtl w:val="true"/>
        </w:rPr>
        <w:t>נהיגתו המהירה של המשיב בעת שנקרא על ידי השוטרים לעצור ומציאת כלי הנשק בתא המטען של רכבו כשהם מכוסים בשק יוטה</w:t>
      </w:r>
      <w:r>
        <w:rPr>
          <w:rtl w:val="true"/>
        </w:rPr>
        <w:t xml:space="preserve">. </w:t>
      </w:r>
      <w:r>
        <w:rPr>
          <w:rtl w:val="true"/>
        </w:rPr>
        <w:t>כן נתן בית המשפט קמא דעתו לפוטנציאל הנזק בעבירות המשיב</w:t>
      </w:r>
      <w:r>
        <w:rPr>
          <w:rtl w:val="true"/>
        </w:rPr>
        <w:t xml:space="preserve">, </w:t>
      </w:r>
      <w:r>
        <w:rPr>
          <w:rtl w:val="true"/>
        </w:rPr>
        <w:t xml:space="preserve">ולרקע שהציג למעשיו </w:t>
      </w:r>
      <w:r>
        <w:rPr>
          <w:rtl w:val="true"/>
        </w:rPr>
        <w:t>–</w:t>
      </w:r>
      <w:r>
        <w:rPr>
          <w:rtl w:val="true"/>
        </w:rPr>
        <w:t xml:space="preserve"> שמירה על תדמיתו הגברית בפני גורמים עברייניים מהעבר</w:t>
      </w:r>
      <w:r>
        <w:rPr>
          <w:rtl w:val="true"/>
        </w:rPr>
        <w:t xml:space="preserve">, </w:t>
      </w:r>
      <w:r>
        <w:rPr>
          <w:rtl w:val="true"/>
        </w:rPr>
        <w:t>והקושי להציב גבולות בפניהם</w:t>
      </w:r>
      <w:r>
        <w:rPr>
          <w:rtl w:val="true"/>
        </w:rPr>
        <w:t xml:space="preserve">. </w:t>
      </w:r>
      <w:r>
        <w:rPr>
          <w:rtl w:val="true"/>
        </w:rPr>
        <w:t>לאחר הדברים הללו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קמא קבע כי מתחם העונש יעמוד על </w:t>
      </w:r>
      <w:r>
        <w:rPr/>
        <w:t>40-16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ציין בית המשפט קמא כי לא קיימים שיקולים המצדיקים סטייה מהמתחם</w:t>
      </w:r>
      <w:r>
        <w:rPr>
          <w:rtl w:val="true"/>
        </w:rPr>
        <w:t xml:space="preserve">, </w:t>
      </w:r>
      <w:r>
        <w:rPr>
          <w:rtl w:val="true"/>
        </w:rPr>
        <w:t>לחומרא או לקולא</w:t>
      </w:r>
      <w:r>
        <w:rPr>
          <w:rtl w:val="true"/>
        </w:rPr>
        <w:t xml:space="preserve">. </w:t>
      </w:r>
      <w:r>
        <w:rPr>
          <w:rtl w:val="true"/>
        </w:rPr>
        <w:t>בית המשפט קמא ציין כי נתן דעתו לכך שב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השנים האחרונות ניהל המשיב אורח חיים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וכן לכך שבמשך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היה נתון תחת צו פיקוח של שירות המבחן</w:t>
      </w:r>
      <w:r>
        <w:rPr>
          <w:rtl w:val="true"/>
        </w:rPr>
        <w:t xml:space="preserve">, </w:t>
      </w:r>
      <w:r>
        <w:rPr>
          <w:rtl w:val="true"/>
        </w:rPr>
        <w:t>שיתף פעולה ואף לקח חלק בקבוצה לעצורי בית ונתרם ממנה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סבר בית המשפט קמא כי מדובר בהליך טיפול ראשוני שאינו  מצדיק סטייה מן המתחם</w:t>
      </w:r>
      <w:r>
        <w:rPr>
          <w:rtl w:val="true"/>
        </w:rPr>
        <w:t xml:space="preserve">. </w:t>
      </w:r>
      <w:r>
        <w:rPr>
          <w:rtl w:val="true"/>
        </w:rPr>
        <w:t xml:space="preserve">אשר לאורח החיים הנורמטיבי </w:t>
      </w:r>
      <w:r>
        <w:rPr>
          <w:rtl w:val="true"/>
        </w:rPr>
        <w:t>–</w:t>
      </w:r>
      <w:r>
        <w:rPr>
          <w:rtl w:val="true"/>
        </w:rPr>
        <w:t xml:space="preserve"> נאמר כי זה יילקח בחשבון בתוך גדרי המתחם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התייחס בית המשפט קמא לכך שלחובת המשיב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בגינן ריצה עונשי מאסר ממושכים </w:t>
      </w:r>
      <w:r>
        <w:rPr>
          <w:rtl w:val="true"/>
        </w:rPr>
        <w:t>(</w:t>
      </w:r>
      <w:r>
        <w:rPr>
          <w:rtl w:val="true"/>
        </w:rPr>
        <w:t xml:space="preserve">המצטברים יחדיו לכדי כמעט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). </w:t>
      </w:r>
      <w:r>
        <w:rPr>
          <w:rtl w:val="true"/>
        </w:rPr>
        <w:t xml:space="preserve">על אף שמדובר בעבירות ישנות מאד </w:t>
      </w:r>
      <w:r>
        <w:rPr>
          <w:rtl w:val="true"/>
        </w:rPr>
        <w:t>(</w:t>
      </w:r>
      <w:r>
        <w:rPr>
          <w:rtl w:val="true"/>
        </w:rPr>
        <w:t xml:space="preserve">הראשונה משנת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 xml:space="preserve">השנייה משנת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 xml:space="preserve">והשלישית משנת </w:t>
      </w:r>
      <w:r>
        <w:rPr/>
        <w:t>2001</w:t>
      </w:r>
      <w:r>
        <w:rPr>
          <w:rtl w:val="true"/>
        </w:rPr>
        <w:t xml:space="preserve">), </w:t>
      </w:r>
      <w:r>
        <w:rPr>
          <w:rtl w:val="true"/>
        </w:rPr>
        <w:t>צוין כי מדובר בעבירות בעלות מאפיינים דומים לעבירות בתיק זה</w:t>
      </w:r>
      <w:r>
        <w:rPr>
          <w:rtl w:val="true"/>
        </w:rPr>
        <w:t xml:space="preserve">, </w:t>
      </w:r>
      <w:r>
        <w:rPr>
          <w:rtl w:val="true"/>
        </w:rPr>
        <w:t>ולכן לא ניתן להתעלם מהן</w:t>
      </w:r>
      <w:r>
        <w:rPr>
          <w:rtl w:val="true"/>
        </w:rPr>
        <w:t xml:space="preserve">. </w:t>
      </w:r>
      <w:r>
        <w:rPr>
          <w:rtl w:val="true"/>
        </w:rPr>
        <w:t>עוד הדגיש בית המשפט קמא את שיקול הרתעת היחיד</w:t>
      </w:r>
      <w:r>
        <w:rPr>
          <w:rtl w:val="true"/>
        </w:rPr>
        <w:t xml:space="preserve">, </w:t>
      </w:r>
      <w:r>
        <w:rPr>
          <w:rtl w:val="true"/>
        </w:rPr>
        <w:t>וציין כי למרות שהצליח המשיב במשך שנים רבות לשקם את חייו</w:t>
      </w:r>
      <w:r>
        <w:rPr>
          <w:rtl w:val="true"/>
        </w:rPr>
        <w:t xml:space="preserve">, </w:t>
      </w:r>
      <w:r>
        <w:rPr>
          <w:rtl w:val="true"/>
        </w:rPr>
        <w:t>כשל וחזר לבצע עבירות נשק</w:t>
      </w:r>
      <w:r>
        <w:rPr>
          <w:rtl w:val="true"/>
        </w:rPr>
        <w:t xml:space="preserve">, </w:t>
      </w:r>
      <w:r>
        <w:rPr>
          <w:rtl w:val="true"/>
        </w:rPr>
        <w:t>על אף עונשי המאסר הארוכים שהושתו עליו בעבר בגין עבירות דומות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יש לגזור על המשיב עונש בחלקו הנמוך יחסית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ונגזרו עליו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בניכוי ימי מעצרו</w:t>
      </w:r>
      <w:r>
        <w:rPr>
          <w:rFonts w:cs="Century" w:ascii="Century" w:hAnsi="Century"/>
          <w:rtl w:val="true"/>
        </w:rPr>
        <w:t xml:space="preserve">),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ועוד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 הגישה ערעור על גזר הדין</w:t>
      </w:r>
      <w:r>
        <w:rPr>
          <w:rtl w:val="true"/>
        </w:rPr>
        <w:t xml:space="preserve">, </w:t>
      </w:r>
      <w:r>
        <w:rPr>
          <w:rtl w:val="true"/>
        </w:rPr>
        <w:t>בטענה כי אין הלימה בין העונש שהושת על המשיב לבין חומרת מעשיו</w:t>
      </w:r>
      <w:r>
        <w:rPr>
          <w:rtl w:val="true"/>
        </w:rPr>
        <w:t xml:space="preserve">, </w:t>
      </w:r>
      <w:r>
        <w:rPr>
          <w:rtl w:val="true"/>
        </w:rPr>
        <w:t>וכי הוא אינו מבטא את מדיניות הענישה הראויה בעבירות נשק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המערערת הציגה בכתב הערעור את המגמה המוצהרת של בית משפט זה להעלות את רמת הענישה בעבירות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וציינה את עמדתה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ענישה בעבירות אלה צריכה להעביר מסר משמעותי ומרתיע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בכדי לצמצם את תופעת ההחזקה הבלתי חוקית בנשק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מתחם העונש שנקבע על ידי בית המשפט קמא אינו מגשים מטרה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נמוך יתר על המידה ואינו משקף את הסיכון הרב הטמון בביצוע עבירות הנשק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 נכון בעיקר כשמדובר בנשק מסוג תת מקלע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במספר כלי נשק שהוחזקו יחדיו וכן במי שביצע עבירות נשק בעבר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המערערת טוענת כי בית המשפט קמא לא נתן משקל מספק לנסיבות ביצוע 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לניסיון ההימלטות מהשוטרים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להסבר העמום למניע להחזקת הנשק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לעובדה כי מדובר בשני כלי נשק מסוג תת מקלע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טעונים במחסנית וכן לעברו הפלילי של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שעונשי המאסר הארוכים שהוטלו עליו בעבירות דומות לא מנעו ממנו לשוב ולבצע עבירות בנשק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הוסיפה המערערת כי העונש שנגזר על המשיב אינו נותן ביטוי מספיק לשיקולי הרתעת היחיד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מתחשב כלל בשיקולי הרתעת הרבים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לא נעלם מעיני המערערת השינוי החיובי שערך המשיב בחייו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שסבורה היא כי לא ניתן לתת לכך משקל רב נוכח חומרת העבירות שביצע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 שנערך בפנינו</w:t>
      </w:r>
      <w:r>
        <w:rPr>
          <w:rtl w:val="true"/>
        </w:rPr>
        <w:t xml:space="preserve">, </w:t>
      </w:r>
      <w:r>
        <w:rPr>
          <w:rtl w:val="true"/>
        </w:rPr>
        <w:t>טען המשיב כי גזר הדין של בית המשפט קמא מבוסס</w:t>
      </w:r>
      <w:r>
        <w:rPr>
          <w:rtl w:val="true"/>
        </w:rPr>
        <w:t xml:space="preserve">, </w:t>
      </w:r>
      <w:r>
        <w:rPr>
          <w:rtl w:val="true"/>
        </w:rPr>
        <w:t>מנומק</w:t>
      </w:r>
      <w:r>
        <w:rPr>
          <w:rtl w:val="true"/>
        </w:rPr>
        <w:t xml:space="preserve">, </w:t>
      </w:r>
      <w:r>
        <w:rPr>
          <w:rtl w:val="true"/>
        </w:rPr>
        <w:t>ולקח בחשבון את כל הנסיבות הרלוונטיות</w:t>
      </w:r>
      <w:r>
        <w:rPr>
          <w:rtl w:val="true"/>
        </w:rPr>
        <w:t xml:space="preserve">, </w:t>
      </w:r>
      <w:r>
        <w:rPr>
          <w:rtl w:val="true"/>
        </w:rPr>
        <w:t>ולכן יש להותירו על כנו</w:t>
      </w:r>
      <w:r>
        <w:rPr>
          <w:rtl w:val="true"/>
        </w:rPr>
        <w:t xml:space="preserve">. </w:t>
      </w:r>
      <w:r>
        <w:rPr>
          <w:rtl w:val="true"/>
        </w:rPr>
        <w:t>המשיב טוען כי לא ניתן ללמוד מעובדות כתב האישום שכוונת המשיב הייתה לפגוע באחר</w:t>
      </w:r>
      <w:r>
        <w:rPr>
          <w:rtl w:val="true"/>
        </w:rPr>
        <w:t xml:space="preserve">, </w:t>
      </w:r>
      <w:r>
        <w:rPr>
          <w:rtl w:val="true"/>
        </w:rPr>
        <w:t>ומוסיף שעל אף הרשעותיו הקודמות</w:t>
      </w:r>
      <w:r>
        <w:rPr>
          <w:rtl w:val="true"/>
        </w:rPr>
        <w:t xml:space="preserve">, </w:t>
      </w:r>
      <w:r>
        <w:rPr>
          <w:rtl w:val="true"/>
        </w:rPr>
        <w:t>המשיב שיקם את חייו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tl w:val="true"/>
        </w:rPr>
        <w:t xml:space="preserve">, </w:t>
      </w:r>
      <w:r>
        <w:rPr>
          <w:rtl w:val="true"/>
        </w:rPr>
        <w:t>הביא ילדים לעולם</w:t>
      </w:r>
      <w:r>
        <w:rPr>
          <w:rtl w:val="true"/>
        </w:rPr>
        <w:t xml:space="preserve">, </w:t>
      </w:r>
      <w:r>
        <w:rPr>
          <w:rtl w:val="true"/>
        </w:rPr>
        <w:t>והתמיד בעבודה מסודרת במשך שנים רבות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תסקירי שירות המבחן בעניינו היו חיוביים</w:t>
      </w:r>
      <w:r>
        <w:rPr>
          <w:rtl w:val="true"/>
        </w:rPr>
        <w:t xml:space="preserve">, </w:t>
      </w:r>
      <w:r>
        <w:rPr>
          <w:rtl w:val="true"/>
        </w:rPr>
        <w:t>והוא התמיד במסגרת הטיפולית הקבוצתית</w:t>
      </w:r>
      <w:r>
        <w:rPr>
          <w:rtl w:val="true"/>
        </w:rPr>
        <w:t xml:space="preserve">. </w:t>
      </w:r>
      <w:r>
        <w:rPr>
          <w:rtl w:val="true"/>
        </w:rPr>
        <w:t>עוד ביקש המשיב להתחשב בגילו</w:t>
      </w:r>
      <w:r>
        <w:rPr>
          <w:rtl w:val="true"/>
        </w:rPr>
        <w:t xml:space="preserve">, </w:t>
      </w:r>
      <w:r>
        <w:rPr>
          <w:rtl w:val="true"/>
        </w:rPr>
        <w:t>במצבה הכלכלי הקשה של משפחתו</w:t>
      </w:r>
      <w:r>
        <w:rPr>
          <w:rtl w:val="true"/>
        </w:rPr>
        <w:t xml:space="preserve">, </w:t>
      </w:r>
      <w:r>
        <w:rPr>
          <w:rtl w:val="true"/>
        </w:rPr>
        <w:t xml:space="preserve">וכן בעובדה שחלפו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ביצוע העבירה</w:t>
      </w:r>
      <w:r>
        <w:rPr>
          <w:rtl w:val="true"/>
        </w:rPr>
        <w:t xml:space="preserve">, </w:t>
      </w:r>
      <w:r>
        <w:rPr>
          <w:rtl w:val="true"/>
        </w:rPr>
        <w:t>ללא ביצוע עבירות נוספות מצד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הלכה היא כי ערכאת הערעור אינה גוזרת מחדש את דינו של המשיב</w:t>
      </w:r>
      <w:r>
        <w:rPr>
          <w:rtl w:val="true"/>
        </w:rPr>
        <w:t xml:space="preserve">, </w:t>
      </w:r>
      <w:r>
        <w:rPr>
          <w:rtl w:val="true"/>
        </w:rPr>
        <w:t>ואינה נוטה להתערב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 שבהן נפלה טעות בולטת בגזר הדין</w:t>
      </w:r>
      <w:r>
        <w:rPr>
          <w:rtl w:val="true"/>
        </w:rPr>
        <w:t xml:space="preserve">, </w:t>
      </w:r>
      <w:r>
        <w:rPr>
          <w:rtl w:val="true"/>
        </w:rPr>
        <w:t>או כאשר העונש חורג באופן קיצוני מהענישה המקובלת במקרים דומים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3091/18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טרייגר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29.1.2009</w:t>
      </w:r>
      <w:r>
        <w:rPr>
          <w:sz w:val="28"/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8095/16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30.3.2017</w:t>
      </w:r>
      <w:r>
        <w:rPr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 עיון בחומרים ושמיעת הצדדים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הגענו למסקנה כי במקרה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שהוטל על המשיב חורג לקולא באופן משמעותי מהראוי ועל כן יש לקבל את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זה נקט בשנים האחרונות מגמה מוצהרת של החמרת רמת הענישה בעבירות נשק</w:t>
      </w:r>
      <w:r>
        <w:rPr>
          <w:rtl w:val="true"/>
        </w:rPr>
        <w:t xml:space="preserve">, </w:t>
      </w:r>
      <w:r>
        <w:rPr>
          <w:rtl w:val="true"/>
        </w:rPr>
        <w:t>ועמד על כך פעמים רבות בשורה ארוכה של פסקי דין</w:t>
      </w:r>
      <w:r>
        <w:rPr>
          <w:rtl w:val="true"/>
        </w:rPr>
        <w:t xml:space="preserve">. </w:t>
      </w:r>
      <w:r>
        <w:rPr>
          <w:rtl w:val="true"/>
        </w:rPr>
        <w:t xml:space="preserve">ראו למשל את דבריו של השופט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אדמונד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אליהם גם התייחסה המערערת</w:t>
      </w:r>
      <w:r>
        <w:rPr>
          <w:rFonts w:cs="Century" w:ascii="Century" w:hAnsi="Century"/>
          <w:sz w:val="22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חטאם</w:t>
      </w:r>
      <w:r>
        <w:rPr>
          <w:rtl w:val="true"/>
        </w:rPr>
        <w:t xml:space="preserve">" </w:t>
      </w:r>
      <w:r>
        <w:rPr>
          <w:rtl w:val="true"/>
        </w:rPr>
        <w:t>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761/07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22.2.2007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Fonts w:cs="Miriam" w:ascii="Century" w:hAnsi="Century"/>
          <w:b/>
          <w:spacing w:val="0"/>
          <w:szCs w:val="24"/>
          <w:rtl w:val="true"/>
        </w:rPr>
        <w:t>")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כן ראו דבריה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אף שבית המשפט קמא כתב פסק דין מנומק ויסודי</w:t>
      </w:r>
      <w:r>
        <w:rPr>
          <w:rtl w:val="true"/>
        </w:rPr>
        <w:t xml:space="preserve">, </w:t>
      </w:r>
      <w:r>
        <w:rPr>
          <w:rtl w:val="true"/>
        </w:rPr>
        <w:t>סברנו כי מתחם העונש</w:t>
      </w:r>
      <w:r>
        <w:rPr>
          <w:rtl w:val="true"/>
        </w:rPr>
        <w:t xml:space="preserve">, </w:t>
      </w:r>
      <w:r>
        <w:rPr>
          <w:rtl w:val="true"/>
        </w:rPr>
        <w:t>וכנגזר מכך העונש שהושת על המשיב</w:t>
      </w:r>
      <w:r>
        <w:rPr>
          <w:rtl w:val="true"/>
        </w:rPr>
        <w:t xml:space="preserve">, </w:t>
      </w:r>
      <w:r>
        <w:rPr>
          <w:rtl w:val="true"/>
        </w:rPr>
        <w:t>אכן מקלים מהראוי</w:t>
      </w:r>
      <w:r>
        <w:rPr>
          <w:rtl w:val="true"/>
        </w:rPr>
        <w:t xml:space="preserve">, </w:t>
      </w:r>
      <w:r>
        <w:rPr>
          <w:rtl w:val="true"/>
        </w:rPr>
        <w:t>ואינם עולים בקנה אחד עם המגמה האמורה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4">
        <w:bookmarkStart w:id="18" w:name="Text1"/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3156/11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זראיעה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bookmarkEnd w:id="18"/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21.2.2012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סמיטיווטסון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שנעברה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וקנס כספי בסך של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7285/01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11.10.2001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נמצא המשיב מחזיק ללא רשות כדין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מקלע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אקדח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מחסניות ותחמושת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נוסף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גם בגין הצתת שתי מצלמות 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גזר על המשיב באותו עניין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וקנס בסך של </w:t>
      </w:r>
      <w:r>
        <w:rPr>
          <w:rFonts w:cs="Century" w:ascii="Century" w:hAnsi="Century"/>
        </w:rPr>
        <w:t>3,000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משפט זה קבע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מופלג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בקולתו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החמירו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והותיר על כנו את הקנס</w:t>
      </w:r>
      <w:r>
        <w:rPr>
          <w:rFonts w:cs="Century" w:ascii="Century" w:hAnsi="Century"/>
          <w:rtl w:val="true"/>
        </w:rPr>
        <w:t>.</w:t>
      </w:r>
      <w:r>
        <w:rPr>
          <w:rFonts w:cs="David"/>
          <w:sz w:val="2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נהג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משטרתית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נמצא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מחזיק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מחסנית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ותחמושת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עטופים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ומוסתרים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בתחתוניו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נוסף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תעודת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להונותם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אדמונד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</w:t>
      </w:r>
      <w:r>
        <w:rPr>
          <w:rtl w:val="true"/>
        </w:rPr>
        <w:t xml:space="preserve">.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יטרח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המוסמכת</w:t>
      </w:r>
      <w:r>
        <w:rPr>
          <w:rtl w:val="true"/>
        </w:rPr>
        <w:t xml:space="preserve">. </w:t>
      </w:r>
      <w:r>
        <w:rPr>
          <w:rtl w:val="true"/>
        </w:rPr>
        <w:t>ולהיפך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שבעתיים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וכזהו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הדברים הללו</w:t>
      </w:r>
      <w:r>
        <w:rPr>
          <w:rtl w:val="true"/>
        </w:rPr>
        <w:t xml:space="preserve">, </w:t>
      </w:r>
      <w:r>
        <w:rPr>
          <w:rtl w:val="true"/>
        </w:rPr>
        <w:t>מצאנו כי במקרה זה יש להחמיר את עונשו של המשיב</w:t>
      </w:r>
      <w:r>
        <w:rPr>
          <w:rtl w:val="true"/>
        </w:rPr>
        <w:t xml:space="preserve">. </w:t>
      </w:r>
      <w:r>
        <w:rPr>
          <w:rtl w:val="true"/>
        </w:rPr>
        <w:t>זאת בשים לב לחומרת העבירה</w:t>
      </w:r>
      <w:r>
        <w:rPr>
          <w:rtl w:val="true"/>
        </w:rPr>
        <w:t xml:space="preserve">; </w:t>
      </w:r>
      <w:r>
        <w:rPr>
          <w:rtl w:val="true"/>
        </w:rPr>
        <w:t>לכך שמדובר בשני כלי נשק מסוג תת מקלע</w:t>
      </w:r>
      <w:r>
        <w:rPr>
          <w:rtl w:val="true"/>
        </w:rPr>
        <w:t xml:space="preserve">; </w:t>
      </w:r>
      <w:r>
        <w:rPr>
          <w:rtl w:val="true"/>
        </w:rPr>
        <w:t>לנסיעתו המהירה של המשיב לאחר שאותתו לו השוטרים לעצור</w:t>
      </w:r>
      <w:r>
        <w:rPr>
          <w:rtl w:val="true"/>
        </w:rPr>
        <w:t xml:space="preserve">; </w:t>
      </w:r>
      <w:r>
        <w:rPr>
          <w:rtl w:val="true"/>
        </w:rPr>
        <w:t>לכך שלא ניתן הסבר מספק למטרת ההחזקה בנשק ולעברו הפלילי של המשיב</w:t>
      </w:r>
      <w:r>
        <w:rPr>
          <w:rtl w:val="true"/>
        </w:rPr>
        <w:t xml:space="preserve">, </w:t>
      </w:r>
      <w:r>
        <w:rPr>
          <w:rtl w:val="true"/>
        </w:rPr>
        <w:t>בדגש על תקופות המאסר הממושכות והעבירות הדומות בהן הורשע</w:t>
      </w:r>
      <w:r>
        <w:rPr>
          <w:rtl w:val="true"/>
        </w:rPr>
        <w:t xml:space="preserve">. </w:t>
      </w:r>
      <w:r>
        <w:rPr>
          <w:rtl w:val="true"/>
        </w:rPr>
        <w:t>לא נעלמה מעינינו העובדה כי המשיב שיקם את חייו בצורה טובה</w:t>
      </w:r>
      <w:r>
        <w:rPr>
          <w:rtl w:val="true"/>
        </w:rPr>
        <w:t xml:space="preserve">, </w:t>
      </w:r>
      <w:r>
        <w:rPr>
          <w:rtl w:val="true"/>
        </w:rPr>
        <w:t>נמנע מביצוע עבירות במשך שנים רבות</w:t>
      </w:r>
      <w:r>
        <w:rPr>
          <w:rtl w:val="true"/>
        </w:rPr>
        <w:t xml:space="preserve">, </w:t>
      </w:r>
      <w:r>
        <w:rPr>
          <w:rtl w:val="true"/>
        </w:rPr>
        <w:t>וקיבל המלצות חיוביות משירות המבחן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מדובר בעבירות חמורות</w:t>
      </w:r>
      <w:r>
        <w:rPr>
          <w:rtl w:val="true"/>
        </w:rPr>
        <w:t xml:space="preserve">, </w:t>
      </w:r>
      <w:r>
        <w:rPr>
          <w:rtl w:val="true"/>
        </w:rPr>
        <w:t>ובהתחשב בנסיבות שנמנו לעיל</w:t>
      </w:r>
      <w:r>
        <w:rPr>
          <w:rtl w:val="true"/>
        </w:rPr>
        <w:t xml:space="preserve">, </w:t>
      </w:r>
      <w:r>
        <w:rPr>
          <w:rtl w:val="true"/>
        </w:rPr>
        <w:t>על העונש להלום את חומרתן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דין ערעור המדינה להתקבל</w:t>
      </w:r>
      <w:r>
        <w:rPr>
          <w:rtl w:val="true"/>
        </w:rPr>
        <w:t xml:space="preserve">. </w:t>
      </w:r>
      <w:r>
        <w:rPr>
          <w:rtl w:val="true"/>
        </w:rPr>
        <w:t xml:space="preserve">כלל הוא כי </w:t>
      </w:r>
      <w:r>
        <w:rPr>
          <w:sz w:val="22"/>
          <w:sz w:val="22"/>
          <w:rtl w:val="true"/>
        </w:rPr>
        <w:t>ערכאת הערעור אינה ממצה את הדין</w:t>
      </w:r>
      <w:r>
        <w:rPr>
          <w:rtl w:val="true"/>
        </w:rPr>
        <w:t xml:space="preserve">, </w:t>
      </w:r>
      <w:r>
        <w:rPr>
          <w:rtl w:val="true"/>
        </w:rPr>
        <w:t>ולכן נחמיר בעונש</w:t>
      </w:r>
      <w:r>
        <w:rPr>
          <w:sz w:val="22"/>
          <w:sz w:val="22"/>
          <w:rtl w:val="true"/>
        </w:rPr>
        <w:t xml:space="preserve"> בצורה מתונ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כך ש</w:t>
      </w:r>
      <w:r>
        <w:rPr>
          <w:rFonts w:ascii="Century" w:hAnsi="Century" w:cs="Century"/>
          <w:rtl w:val="true"/>
        </w:rPr>
        <w:t xml:space="preserve">עונש המאסר בפועל יעמוד על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שאר רכיבי העונש יוותרו על כנם כפי שקבע בית המשפט קמא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29.11.2018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color w:val="FFFFFF"/>
          <w:sz w:val="16"/>
          <w:szCs w:val="2"/>
        </w:rPr>
      </w:pPr>
      <w:r>
        <w:rPr>
          <w:color w:val="FFFFFF"/>
          <w:sz w:val="16"/>
          <w:szCs w:val="2"/>
          <w:rtl w:val="true"/>
        </w:rPr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18033360</w:t>
      </w:r>
      <w:r>
        <w:rPr>
          <w:sz w:val="16"/>
          <w:rtl w:val="true"/>
        </w:rPr>
        <w:t>_</w:t>
      </w:r>
      <w:r>
        <w:rPr>
          <w:sz w:val="16"/>
        </w:rPr>
        <w:t>Y02.doc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54678313-3336/18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3336/18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השאם סמארה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9083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case/20590832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5875466" TargetMode="External"/><Relationship Id="rId11" Type="http://schemas.openxmlformats.org/officeDocument/2006/relationships/hyperlink" Target="http://www.nevo.co.il/case/21506839" TargetMode="External"/><Relationship Id="rId12" Type="http://schemas.openxmlformats.org/officeDocument/2006/relationships/hyperlink" Target="http://www.nevo.co.il/case/5724364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case/5878682" TargetMode="External"/><Relationship Id="rId15" Type="http://schemas.openxmlformats.org/officeDocument/2006/relationships/hyperlink" Target="http://www.nevo.co.il/case/6100233" TargetMode="External"/><Relationship Id="rId16" Type="http://schemas.openxmlformats.org/officeDocument/2006/relationships/hyperlink" Target="https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2018-12-03T12:02:00Z</dcterms:created>
  <dc:creator> </dc:creator>
  <dc:description/>
  <cp:keywords/>
  <dc:language>en-IL</dc:language>
  <cp:lastModifiedBy>hofit</cp:lastModifiedBy>
  <cp:lastPrinted>2018-11-15T08:30:00Z</cp:lastPrinted>
  <dcterms:modified xsi:type="dcterms:W3CDTF">2018-12-03T12:02:00Z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השאם סמארה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20590832:2;5875466;21506839;5724364;6473037;5878682;6100233</vt:lpwstr>
  </property>
  <property fmtid="{D5CDD505-2E9C-101B-9397-08002B2CF9AE}" pid="9" name="CITY">
    <vt:lpwstr/>
  </property>
  <property fmtid="{D5CDD505-2E9C-101B-9397-08002B2CF9AE}" pid="10" name="DATE">
    <vt:lpwstr>20181129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גרוסקופף;ח' מלצר</vt:lpwstr>
  </property>
  <property fmtid="{D5CDD505-2E9C-101B-9397-08002B2CF9AE}" pid="14" name="LAWLISTTMP1">
    <vt:lpwstr>70301/144.b;144.a</vt:lpwstr>
  </property>
  <property fmtid="{D5CDD505-2E9C-101B-9397-08002B2CF9AE}" pid="15" name="LAWYER">
    <vt:lpwstr>ברכה וייס;אופיר טישלר;אלי כהן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עבירות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1446;1446;1443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עבירות נשק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13800;8982;15842</vt:lpwstr>
  </property>
  <property fmtid="{D5CDD505-2E9C-101B-9397-08002B2CF9AE}" pid="59" name="PADIDATE">
    <vt:lpwstr>20181202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3336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410120181129</vt:lpwstr>
  </property>
  <property fmtid="{D5CDD505-2E9C-101B-9397-08002B2CF9AE}" pid="69" name="TYPE_N_DATE">
    <vt:lpwstr>41020181129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