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כהן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11810-05-16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22.3.2018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שויצר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sz w:val="22"/>
          <w:sz w:val="22"/>
          <w:szCs w:val="26"/>
          <w:rtl w:val="true"/>
        </w:rPr>
        <w:t>בשם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שירות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המבחן</w:t>
      </w:r>
      <w:r>
        <w:rPr>
          <w:sz w:val="22"/>
          <w:szCs w:val="26"/>
          <w:rtl w:val="true"/>
        </w:rPr>
        <w:t>:</w:t>
      </w:r>
      <w:r>
        <w:rPr>
          <w:sz w:val="22"/>
          <w:szCs w:val="26"/>
          <w:rtl w:val="true"/>
        </w:rPr>
        <w:tab/>
      </w:r>
      <w:r>
        <w:rPr>
          <w:sz w:val="22"/>
          <w:szCs w:val="26"/>
          <w:rtl w:val="true"/>
        </w:rPr>
        <w:t xml:space="preserve">              </w:t>
      </w:r>
      <w:r>
        <w:rPr>
          <w:sz w:val="22"/>
          <w:sz w:val="22"/>
          <w:szCs w:val="26"/>
          <w:rtl w:val="true"/>
        </w:rPr>
        <w:t>גב</w:t>
      </w:r>
      <w:r>
        <w:rPr>
          <w:sz w:val="22"/>
          <w:szCs w:val="26"/>
          <w:rtl w:val="true"/>
        </w:rPr>
        <w:t xml:space="preserve">' </w:t>
      </w:r>
      <w:r>
        <w:rPr>
          <w:sz w:val="22"/>
          <w:sz w:val="22"/>
          <w:szCs w:val="26"/>
          <w:rtl w:val="true"/>
        </w:rPr>
        <w:t>ברכה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וייס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6"/>
        </w:rPr>
      </w:pPr>
      <w:r>
        <w:rPr>
          <w:sz w:val="22"/>
          <w:szCs w:val="2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הפקרה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התעבורה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וסבתו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כשללא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מנטלי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בהשתלבותו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תעסוקתית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ולימודית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העדכני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ערעור על גזר דינו של בית המשפט המחוזי בבאר שבע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30.11.2017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11810-05-16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בגדרו נגזרו על המערער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לריצוי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פסילת רישיון נהיגה למשך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מיום שחרורו ממאסר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מאסר ופסילה מותנים וכן תשלום פיצוי לקטין בו פגע המערער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וזאת בגין ביצוע עבירות של הפקרה לאחר פגיעה ונהיגה בזמן פסילה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במסגרת הסדר טיעון שגובש בין הצדדים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הודה המערער בעובדות 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ועל יסוד הודאתו זו נמצא אשם ביום </w:t>
      </w:r>
      <w:r>
        <w:rPr>
          <w:rFonts w:cs="Century" w:ascii="Century" w:hAnsi="Century"/>
          <w:sz w:val="22"/>
        </w:rPr>
        <w:t>27.4.2017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בהפקרה לאחר פגיעה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עבירה לפי </w:t>
      </w:r>
      <w:hyperlink r:id="rId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התעבורה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נוסח חדש</w:t>
      </w:r>
      <w:r>
        <w:rPr>
          <w:rFonts w:cs="Century" w:ascii="Century" w:hAnsi="Century"/>
          <w:sz w:val="22"/>
          <w:rtl w:val="true"/>
        </w:rPr>
        <w:t xml:space="preserve">], </w:t>
      </w:r>
      <w:r>
        <w:rPr>
          <w:rFonts w:ascii="Century" w:hAnsi="Century" w:cs="Century"/>
          <w:sz w:val="22"/>
          <w:sz w:val="22"/>
          <w:rtl w:val="true"/>
        </w:rPr>
        <w:t>התשכ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1961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Fonts w:ascii="Century" w:hAnsi="Century" w:cs="Century"/>
          <w:sz w:val="22"/>
          <w:sz w:val="22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ונהיגה בזמן פסילה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עבירה לפי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לפקודת התעבורה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פי עובדות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28.4.2016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סמוך לשעה </w:t>
      </w:r>
      <w:r>
        <w:rPr>
          <w:rFonts w:cs="Century" w:ascii="Century" w:hAnsi="Century"/>
          <w:sz w:val="22"/>
        </w:rPr>
        <w:t>17:30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נהג המערער ברכב פרטי מסוג הונדה בכביש עירוני דו סטרי בעל שטח הפרדה המפריד בין המסלולים בקרית מלאכי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פגע עם חזית רכבו בקטין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יליד אוגוסט </w:t>
      </w:r>
      <w:r>
        <w:rPr>
          <w:rFonts w:cs="Century" w:ascii="Century" w:hAnsi="Century"/>
          <w:sz w:val="22"/>
        </w:rPr>
        <w:t>2013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חצה את הכביש מימין לשמאל לפני רכב חונה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והמשיך בנסיעתו מבלי לעמוד על תוצאות התאונה ומבלי להזעיק עזרה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כתוצאה מפגיעת הרכב בקטין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הלה הובהל לבית חולים ואושפז בו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כתוצאה מהתאונה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נגרמו לקטין חבלות ופגיעות שונות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יוער כי בתקופה זו המערער היה פסול לנהיגה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וזאת לאחר שביום </w:t>
      </w:r>
      <w:r>
        <w:rPr>
          <w:rFonts w:cs="Century" w:ascii="Century" w:hAnsi="Century"/>
          <w:sz w:val="22"/>
        </w:rPr>
        <w:t>7.12.2015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גזר עליו בית המשפט לתעבורה באשדוד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שישה חודשי פסילה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בהוראת בית המשפט המחוזי ולנוכח גילו הצעיר של המערער</w:t>
      </w:r>
      <w:r>
        <w:rPr>
          <w:rtl w:val="true"/>
        </w:rPr>
        <w:t xml:space="preserve">, </w:t>
      </w:r>
      <w:r>
        <w:rPr>
          <w:rtl w:val="true"/>
        </w:rPr>
        <w:t>נערך תסקיר בעניינו</w:t>
      </w:r>
      <w:r>
        <w:rPr>
          <w:rtl w:val="true"/>
        </w:rPr>
        <w:t xml:space="preserve">, </w:t>
      </w:r>
      <w:r>
        <w:rPr>
          <w:rtl w:val="true"/>
        </w:rPr>
        <w:t>אשר פרש את נסיבותיו האישיות</w:t>
      </w:r>
      <w:r>
        <w:rPr>
          <w:rtl w:val="true"/>
        </w:rPr>
        <w:t xml:space="preserve">: </w:t>
      </w:r>
      <w:r>
        <w:rPr>
          <w:rtl w:val="true"/>
        </w:rPr>
        <w:t xml:space="preserve">רווק 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מתגורר עם אמו</w:t>
      </w:r>
      <w:r>
        <w:rPr>
          <w:rtl w:val="true"/>
        </w:rPr>
        <w:t xml:space="preserve">, </w:t>
      </w:r>
      <w:r>
        <w:rPr>
          <w:rtl w:val="true"/>
        </w:rPr>
        <w:t>גדל בבית סבו וסבתו אחרי שנלקח מבית הוריו בגיל שנה</w:t>
      </w:r>
      <w:r>
        <w:rPr>
          <w:rtl w:val="true"/>
        </w:rPr>
        <w:t xml:space="preserve">, </w:t>
      </w:r>
      <w:r>
        <w:rPr>
          <w:rtl w:val="true"/>
        </w:rPr>
        <w:t xml:space="preserve">בעל השכלה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רשום ללימודי הנדסאי בניין</w:t>
      </w:r>
      <w:r>
        <w:rPr>
          <w:rtl w:val="true"/>
        </w:rPr>
        <w:t xml:space="preserve">, </w:t>
      </w:r>
      <w:r>
        <w:rPr>
          <w:rtl w:val="true"/>
        </w:rPr>
        <w:t>שירת שירות צבאי מלא</w:t>
      </w:r>
      <w:r>
        <w:rPr>
          <w:rtl w:val="true"/>
        </w:rPr>
        <w:t xml:space="preserve">, </w:t>
      </w:r>
      <w:r>
        <w:rPr>
          <w:rtl w:val="true"/>
        </w:rPr>
        <w:t>כאשר לאור מצבה הכלכלי של משפחתו קיבל אישור לצאת לעבודה במהלך השירות</w:t>
      </w:r>
      <w:r>
        <w:rPr>
          <w:rtl w:val="true"/>
        </w:rPr>
        <w:t xml:space="preserve">. </w:t>
      </w:r>
      <w:r>
        <w:rPr>
          <w:rtl w:val="true"/>
        </w:rPr>
        <w:t>המערער תומך באופן יומיומי באמו ובסבתו עקב מצבן הבריאותי הרעוע</w:t>
      </w:r>
      <w:r>
        <w:rPr>
          <w:rtl w:val="true"/>
        </w:rPr>
        <w:t xml:space="preserve">, </w:t>
      </w:r>
      <w:r>
        <w:rPr>
          <w:rtl w:val="true"/>
        </w:rPr>
        <w:t>לרבות ליווין לטיפולים רפואיים</w:t>
      </w:r>
      <w:r>
        <w:rPr>
          <w:rtl w:val="true"/>
        </w:rPr>
        <w:t xml:space="preserve">, </w:t>
      </w:r>
      <w:r>
        <w:rPr>
          <w:rtl w:val="true"/>
        </w:rPr>
        <w:t>תחזוקת הבית וסיוע כלכלי</w:t>
      </w:r>
      <w:r>
        <w:rPr>
          <w:rtl w:val="true"/>
        </w:rPr>
        <w:t xml:space="preserve">. </w:t>
      </w:r>
      <w:r>
        <w:rPr>
          <w:rtl w:val="true"/>
        </w:rPr>
        <w:t>המערער הביע בפני שירות המבחן חרטה על התנהגותו וחרדה רבה לגורלו של הקטין</w:t>
      </w:r>
      <w:r>
        <w:rPr>
          <w:rtl w:val="true"/>
        </w:rPr>
        <w:t xml:space="preserve">, </w:t>
      </w:r>
      <w:r>
        <w:rPr>
          <w:rtl w:val="true"/>
        </w:rPr>
        <w:t>וכן הביע עמדות נורמטיביות הכוללות רצון להתחיל את לימודיו ושאיפות להמשיך לנהל אורח חיים יציב ותקין</w:t>
      </w:r>
      <w:r>
        <w:rPr>
          <w:rtl w:val="true"/>
        </w:rPr>
        <w:t xml:space="preserve">, </w:t>
      </w:r>
      <w:r>
        <w:rPr>
          <w:rtl w:val="true"/>
        </w:rPr>
        <w:t>ללא מעורבות בפלילים ובעבירות תנועה</w:t>
      </w:r>
      <w:r>
        <w:rPr>
          <w:rtl w:val="true"/>
        </w:rPr>
        <w:t xml:space="preserve">. </w:t>
      </w:r>
      <w:r>
        <w:rPr>
          <w:rtl w:val="true"/>
        </w:rPr>
        <w:t>מבחינת גורמי הסיכון בעניינו של המערער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למרות עמדות ותפיסות נורמטיביות</w:t>
      </w:r>
      <w:r>
        <w:rPr>
          <w:rtl w:val="true"/>
        </w:rPr>
        <w:t xml:space="preserve">, </w:t>
      </w:r>
      <w:r>
        <w:rPr>
          <w:rtl w:val="true"/>
        </w:rPr>
        <w:t>במצבי דחק בהם ייתכן שמישהו מהמשמעותיים לו יפגע</w:t>
      </w:r>
      <w:r>
        <w:rPr>
          <w:rtl w:val="true"/>
        </w:rPr>
        <w:t xml:space="preserve">, </w:t>
      </w:r>
      <w:r>
        <w:rPr>
          <w:rtl w:val="true"/>
        </w:rPr>
        <w:t>המערער פועל ללא שיקול דעת ומתקשה לשלוט על דחפיו ולהציב לעצמו גבולות</w:t>
      </w:r>
      <w:r>
        <w:rPr>
          <w:rtl w:val="true"/>
        </w:rPr>
        <w:t xml:space="preserve">, </w:t>
      </w:r>
      <w:r>
        <w:rPr>
          <w:rtl w:val="true"/>
        </w:rPr>
        <w:t>כפי שקרה בענייננו</w:t>
      </w:r>
      <w:r>
        <w:rPr>
          <w:rtl w:val="true"/>
        </w:rPr>
        <w:t xml:space="preserve">. </w:t>
      </w:r>
      <w:r>
        <w:rPr>
          <w:rtl w:val="true"/>
        </w:rPr>
        <w:t>לצורך צמצום הסיכון לביצוע עברות נוספות בתחום התעבורה</w:t>
      </w:r>
      <w:r>
        <w:rPr>
          <w:rtl w:val="true"/>
        </w:rPr>
        <w:t xml:space="preserve">, </w:t>
      </w:r>
      <w:r>
        <w:rPr>
          <w:rtl w:val="true"/>
        </w:rPr>
        <w:t xml:space="preserve">הוצע למערער להשתלב בקבוצה טיפולית בתחום התעבורה שמתקיימת בשירותו של שירות המבחן בשיתוף עם עמותת </w:t>
      </w:r>
      <w:r>
        <w:rPr>
          <w:rtl w:val="true"/>
        </w:rPr>
        <w:t>"</w:t>
      </w:r>
      <w:r>
        <w:rPr>
          <w:rtl w:val="true"/>
        </w:rPr>
        <w:t>אור ירוק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הטיפולית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לאור נסיבות המקרה והסכמת המערער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וכן לאור הערכת שירות המבחן כי קיימת חשיבות לשלבו בקבוצה טיפולית לצורך צמצום הסיכון לביצוע עבירות נוספות בתחום התעבורה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להטיל על המערער צו מבחן למשך שנה במהלכו ישתתף בקבוצה הטיפולית</w:t>
      </w:r>
      <w:r>
        <w:rPr>
          <w:rtl w:val="true"/>
        </w:rPr>
        <w:t xml:space="preserve">. </w:t>
      </w:r>
      <w:r>
        <w:rPr>
          <w:rtl w:val="true"/>
        </w:rPr>
        <w:t>כן המליץ שירות המבחן על הטלת עונש מאסר לריצוי בדרך של עבודות שירות ועל הטלת מאסר על תנאי</w:t>
      </w:r>
      <w:r>
        <w:rPr>
          <w:rtl w:val="true"/>
        </w:rPr>
        <w:t xml:space="preserve">. </w:t>
      </w:r>
      <w:r>
        <w:rPr>
          <w:rtl w:val="true"/>
        </w:rPr>
        <w:t>לאחר הגשת התסקיר</w:t>
      </w:r>
      <w:r>
        <w:rPr>
          <w:rtl w:val="true"/>
        </w:rPr>
        <w:t xml:space="preserve">, </w:t>
      </w:r>
      <w:r>
        <w:rPr>
          <w:rtl w:val="true"/>
        </w:rPr>
        <w:t>השתתף המערער בקבוצה הטיפולית</w:t>
      </w:r>
      <w:r>
        <w:rPr>
          <w:rtl w:val="true"/>
        </w:rPr>
        <w:t xml:space="preserve">, </w:t>
      </w:r>
      <w:r>
        <w:rPr>
          <w:rtl w:val="true"/>
        </w:rPr>
        <w:t>אך לאחר שנעדר משני מפגשים הוחלט להפסיק את השתתפותו</w:t>
      </w:r>
      <w:r>
        <w:rPr>
          <w:rtl w:val="true"/>
        </w:rPr>
        <w:t xml:space="preserve">. </w:t>
      </w:r>
      <w:r>
        <w:rPr>
          <w:rtl w:val="true"/>
        </w:rPr>
        <w:t>יוער כי כיום משתתף המערער בקבוצה טיפולית אחרת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הטיעונים לעונש בפני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עתרה התביעה להשית על המערער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נטען כי מתחם העונש ההולם נע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וכי יש למקם את עונשו של המערער באמצעו של המתחם לאור מכלול הנסיבות והנתונים</w:t>
      </w:r>
      <w:r>
        <w:rPr>
          <w:rtl w:val="true"/>
        </w:rPr>
        <w:t xml:space="preserve">, </w:t>
      </w:r>
      <w:r>
        <w:rPr>
          <w:rtl w:val="true"/>
        </w:rPr>
        <w:t>ולאור חשיבות ההרתעה הן כלפי המערער והן כלפי הציבור</w:t>
      </w:r>
      <w:r>
        <w:rPr>
          <w:rtl w:val="true"/>
        </w:rPr>
        <w:t xml:space="preserve">. </w:t>
      </w:r>
      <w:r>
        <w:rPr>
          <w:rtl w:val="true"/>
        </w:rPr>
        <w:t>עוד הדגישה התביעה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המשך נסיעתו של המערער ממקום התאונה לאחר שפגע בקטין עם רכבו</w:t>
      </w:r>
      <w:r>
        <w:rPr>
          <w:rtl w:val="true"/>
        </w:rPr>
        <w:t xml:space="preserve">, </w:t>
      </w:r>
      <w:r>
        <w:rPr>
          <w:rtl w:val="true"/>
        </w:rPr>
        <w:t>וכן את העובדה שהמערער נהג לאחר שרישיונו נפסל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צוין כי נגרמו לקטין פציעות חמורות בעת אירוע התאונה</w:t>
      </w:r>
      <w:r>
        <w:rPr>
          <w:rtl w:val="true"/>
        </w:rPr>
        <w:t xml:space="preserve">, </w:t>
      </w:r>
      <w:r>
        <w:rPr>
          <w:rtl w:val="true"/>
        </w:rPr>
        <w:t>וכי למרות שמצבו השתפר</w:t>
      </w:r>
      <w:r>
        <w:rPr>
          <w:rtl w:val="true"/>
        </w:rPr>
        <w:t xml:space="preserve">, </w:t>
      </w:r>
      <w:r>
        <w:rPr>
          <w:rtl w:val="true"/>
        </w:rPr>
        <w:t>עדיין לא ניתן לדעת את היקף פגיעותיו</w:t>
      </w:r>
      <w:r>
        <w:rPr>
          <w:rtl w:val="true"/>
        </w:rPr>
        <w:t xml:space="preserve">. </w:t>
      </w:r>
      <w:r>
        <w:rPr>
          <w:rtl w:val="true"/>
        </w:rPr>
        <w:t>באשר להמלצת שירות המבחן</w:t>
      </w:r>
      <w:r>
        <w:rPr>
          <w:rtl w:val="true"/>
        </w:rPr>
        <w:t xml:space="preserve">, </w:t>
      </w:r>
      <w:r>
        <w:rPr>
          <w:rtl w:val="true"/>
        </w:rPr>
        <w:t>גרסה התביעה כי על המערער להשתלב בטיפול במסגרת בית סוהר בלבד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 בא</w:t>
      </w:r>
      <w:r>
        <w:rPr>
          <w:rtl w:val="true"/>
        </w:rPr>
        <w:t>-</w:t>
      </w:r>
      <w:r>
        <w:rPr>
          <w:rtl w:val="true"/>
        </w:rPr>
        <w:t xml:space="preserve">כוח המערער כי בנסיבות המקרה מתחם העונש ההולם נע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התייחס לנסיבות התאונה</w:t>
      </w:r>
      <w:r>
        <w:rPr>
          <w:rtl w:val="true"/>
        </w:rPr>
        <w:t xml:space="preserve">, </w:t>
      </w:r>
      <w:r>
        <w:rPr>
          <w:rtl w:val="true"/>
        </w:rPr>
        <w:t>לפיהן הקטין רץ בין שתי מכוניות באופן שהתאונה הייתה בלתי נמנעת</w:t>
      </w:r>
      <w:r>
        <w:rPr>
          <w:rtl w:val="true"/>
        </w:rPr>
        <w:t xml:space="preserve">, </w:t>
      </w:r>
      <w:r>
        <w:rPr>
          <w:rtl w:val="true"/>
        </w:rPr>
        <w:t>לעצם העובדה שהקטין קיבל טיפול רפואי מידי וכיום</w:t>
      </w:r>
      <w:r>
        <w:rPr>
          <w:rtl w:val="true"/>
        </w:rPr>
        <w:t xml:space="preserve">, </w:t>
      </w:r>
      <w:r>
        <w:rPr>
          <w:rtl w:val="true"/>
        </w:rPr>
        <w:t>לטענת אביו של האחרון</w:t>
      </w:r>
      <w:r>
        <w:rPr>
          <w:rtl w:val="true"/>
        </w:rPr>
        <w:t xml:space="preserve">, </w:t>
      </w:r>
      <w:r>
        <w:rPr>
          <w:rtl w:val="true"/>
        </w:rPr>
        <w:t>מצבו טוב</w:t>
      </w:r>
      <w:r>
        <w:rPr>
          <w:rtl w:val="true"/>
        </w:rPr>
        <w:t xml:space="preserve">, </w:t>
      </w:r>
      <w:r>
        <w:rPr>
          <w:rtl w:val="true"/>
        </w:rPr>
        <w:t>וכן להבעת החרטה העמוקה של המערער על המקרה</w:t>
      </w:r>
      <w:r>
        <w:rPr>
          <w:rtl w:val="true"/>
        </w:rPr>
        <w:t xml:space="preserve">. </w:t>
      </w:r>
      <w:r>
        <w:rPr>
          <w:rtl w:val="true"/>
        </w:rPr>
        <w:t>עוד נטען כי המערער שיתף פעולה באופן מלא לאורך כל ההליך</w:t>
      </w:r>
      <w:r>
        <w:rPr>
          <w:rtl w:val="true"/>
        </w:rPr>
        <w:t xml:space="preserve">, </w:t>
      </w:r>
      <w:r>
        <w:rPr>
          <w:rtl w:val="true"/>
        </w:rPr>
        <w:t>לרבות השתלבותו במסגרת טיפולית</w:t>
      </w:r>
      <w:r>
        <w:rPr>
          <w:rtl w:val="true"/>
        </w:rPr>
        <w:t xml:space="preserve">. </w:t>
      </w:r>
      <w:r>
        <w:rPr>
          <w:rtl w:val="true"/>
        </w:rPr>
        <w:t>באשר לרכיב הפסילה</w:t>
      </w:r>
      <w:r>
        <w:rPr>
          <w:rtl w:val="true"/>
        </w:rPr>
        <w:t xml:space="preserve">, </w:t>
      </w:r>
      <w:r>
        <w:rPr>
          <w:rtl w:val="true"/>
        </w:rPr>
        <w:t>נטען כי יש להתחשב בכך שהמערער מטפל באמו</w:t>
      </w:r>
      <w:r>
        <w:rPr>
          <w:rtl w:val="true"/>
        </w:rPr>
        <w:t xml:space="preserve">, </w:t>
      </w:r>
      <w:r>
        <w:rPr>
          <w:rtl w:val="true"/>
        </w:rPr>
        <w:t>סבו וסבתו</w:t>
      </w:r>
      <w:r>
        <w:rPr>
          <w:rtl w:val="true"/>
        </w:rPr>
        <w:t xml:space="preserve">, </w:t>
      </w:r>
      <w:r>
        <w:rPr>
          <w:rtl w:val="true"/>
        </w:rPr>
        <w:t>ולכן אין להחמיר עמו יתר על המידה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30.11.2017</w:t>
      </w:r>
      <w:r>
        <w:rPr>
          <w:rtl w:val="true"/>
        </w:rPr>
        <w:t xml:space="preserve"> </w:t>
      </w:r>
      <w:r>
        <w:rPr>
          <w:rtl w:val="true"/>
        </w:rPr>
        <w:t>נגזר דינו של המערער</w:t>
      </w:r>
      <w:r>
        <w:rPr>
          <w:rtl w:val="true"/>
        </w:rPr>
        <w:t xml:space="preserve">. </w:t>
      </w:r>
      <w:r>
        <w:rPr>
          <w:rtl w:val="true"/>
        </w:rPr>
        <w:t>במסגרת קביעת מתחם העונש ההולם בחן בית המשפט את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הדגיש את החומרה שבעבירת ההפקרה</w:t>
      </w:r>
      <w:r>
        <w:rPr>
          <w:rtl w:val="true"/>
        </w:rPr>
        <w:t xml:space="preserve">, </w:t>
      </w:r>
      <w:r>
        <w:rPr>
          <w:rtl w:val="true"/>
        </w:rPr>
        <w:t>ואת המגמה הניכרת בפסיקה להטיל עונשי מאסר משמעותיים בגינה</w:t>
      </w:r>
      <w:r>
        <w:rPr>
          <w:rtl w:val="true"/>
        </w:rPr>
        <w:t xml:space="preserve">, </w:t>
      </w:r>
      <w:r>
        <w:rPr>
          <w:rtl w:val="true"/>
        </w:rPr>
        <w:t>ולקח בחשבון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בראשן העובדה שהמערער ביצע את התאונה שעה שהיה פסול לנהיגה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הדגיש בית המשפט כי המערער אינו אשם בקרות התאונה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העמיד את מתחם הענישה ההולם על </w:t>
      </w:r>
      <w:r>
        <w:rPr/>
        <w:t>40-10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בעניין האפשרות לסטות לקולה ממתחם העונש ההולם</w:t>
      </w:r>
      <w:r>
        <w:rPr>
          <w:rtl w:val="true"/>
        </w:rPr>
        <w:t xml:space="preserve">, </w:t>
      </w:r>
      <w:r>
        <w:rPr>
          <w:rtl w:val="true"/>
        </w:rPr>
        <w:t>נקבע כי שיקולי השיקום של המערער לא מצדיקים סטייה זו</w:t>
      </w:r>
      <w:r>
        <w:rPr>
          <w:rtl w:val="true"/>
        </w:rPr>
        <w:t xml:space="preserve">, </w:t>
      </w:r>
      <w:r>
        <w:rPr>
          <w:rtl w:val="true"/>
        </w:rPr>
        <w:t>בפרט לנוכח העובדה שעבירת ההפקרה נעברה בשעה שהמערער נהג בזמן שרישיונו נפסל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לגזירת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בית המשפט ציין כי הוא לוקח בחשבון את עברו התעבורתי של המערער</w:t>
      </w:r>
      <w:r>
        <w:rPr>
          <w:rtl w:val="true"/>
        </w:rPr>
        <w:t xml:space="preserve">, </w:t>
      </w:r>
      <w:r>
        <w:rPr>
          <w:rtl w:val="true"/>
        </w:rPr>
        <w:t>העדרו של עבר פלילי מובהק</w:t>
      </w:r>
      <w:r>
        <w:rPr>
          <w:rtl w:val="true"/>
        </w:rPr>
        <w:t xml:space="preserve">, </w:t>
      </w:r>
      <w:r>
        <w:rPr>
          <w:rtl w:val="true"/>
        </w:rPr>
        <w:t>את גילו הצעיר</w:t>
      </w:r>
      <w:r>
        <w:rPr>
          <w:rtl w:val="true"/>
        </w:rPr>
        <w:t xml:space="preserve">, </w:t>
      </w:r>
      <w:r>
        <w:rPr>
          <w:rtl w:val="true"/>
        </w:rPr>
        <w:t>העובדה שהמערער הביע חרטה על מעשיו והינו בעל רצון עז לפצות את הקטין</w:t>
      </w:r>
      <w:r>
        <w:rPr>
          <w:rtl w:val="true"/>
        </w:rPr>
        <w:t xml:space="preserve">, </w:t>
      </w:r>
      <w:r>
        <w:rPr>
          <w:rtl w:val="true"/>
        </w:rPr>
        <w:t>את הודאתו והשתלבותו במסגרת טיפולית</w:t>
      </w:r>
      <w:r>
        <w:rPr>
          <w:rtl w:val="true"/>
        </w:rPr>
        <w:t xml:space="preserve">, </w:t>
      </w:r>
      <w:r>
        <w:rPr>
          <w:rtl w:val="true"/>
        </w:rPr>
        <w:t>את שאיפותיו הנורמטיביות וכן את נסיבות חייו המורכבות</w:t>
      </w:r>
      <w:r>
        <w:rPr>
          <w:rtl w:val="true"/>
        </w:rPr>
        <w:t xml:space="preserve">. </w:t>
      </w:r>
      <w:r>
        <w:rPr>
          <w:rtl w:val="true"/>
        </w:rPr>
        <w:t>כן צוין כי גם התקופה שבה היה נתון המערער בתנאים מגבילים תילקח בחשבון</w:t>
      </w:r>
      <w:r>
        <w:rPr>
          <w:rtl w:val="true"/>
        </w:rPr>
        <w:t xml:space="preserve">. </w:t>
      </w:r>
      <w:r>
        <w:rPr>
          <w:rtl w:val="true"/>
        </w:rPr>
        <w:t>למרות הנסיבות האישיות והמלצת שירות המבחן</w:t>
      </w:r>
      <w:r>
        <w:rPr>
          <w:rtl w:val="true"/>
        </w:rPr>
        <w:t xml:space="preserve">, </w:t>
      </w:r>
      <w:r>
        <w:rPr>
          <w:rtl w:val="true"/>
        </w:rPr>
        <w:t>לא ראה בית המשפט להימנע מהטלת מאסר בפועל</w:t>
      </w:r>
      <w:r>
        <w:rPr>
          <w:rtl w:val="true"/>
        </w:rPr>
        <w:t xml:space="preserve">, </w:t>
      </w:r>
      <w:r>
        <w:rPr>
          <w:rtl w:val="true"/>
        </w:rPr>
        <w:t>בעיקר נוכח העובדה שהאירוע התרחש בעת שהמערער היה בתקופת פסילה</w:t>
      </w:r>
      <w:r>
        <w:rPr>
          <w:rtl w:val="true"/>
        </w:rPr>
        <w:t xml:space="preserve">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הושתו על המערער העונשים הבאים</w:t>
      </w:r>
      <w:r>
        <w:rPr>
          <w:rtl w:val="true"/>
        </w:rPr>
        <w:t xml:space="preserve">: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פסילת רישיון נהיגה לתקופה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מיום הפסילה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פסילה על תנאי שלא יעבור תוך שלוש שנים </w:t>
      </w:r>
      <w:r>
        <w:rPr>
          <w:rtl w:val="true"/>
        </w:rPr>
        <w:t>עבירה בה הורשע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עבירה של נהיגה בזמן פסילה</w:t>
      </w:r>
      <w:r>
        <w:rPr>
          <w:rtl w:val="true"/>
        </w:rPr>
        <w:t xml:space="preserve">; </w:t>
      </w:r>
      <w:r>
        <w:rPr>
          <w:rtl w:val="true"/>
        </w:rPr>
        <w:t xml:space="preserve">ותשלום פיצוי לקטין בסך </w:t>
      </w:r>
      <w:r>
        <w:rPr/>
        <w:t>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הורה בית המשפט על הפעלת ארבעה חודשי פסילה מותנים שהוטלו על המערער במסגרת הליך אחר </w:t>
      </w:r>
      <w:r>
        <w:rPr>
          <w:rtl w:val="true"/>
        </w:rPr>
        <w:t>(</w:t>
      </w:r>
      <w:r>
        <w:rPr>
          <w:rtl w:val="true"/>
        </w:rPr>
        <w:t>תתע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/>
        <w:t>3598-06-14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11.1.2018</w:t>
      </w:r>
      <w:r>
        <w:rPr>
          <w:rtl w:val="true"/>
        </w:rPr>
        <w:t xml:space="preserve"> </w:t>
      </w:r>
      <w:r>
        <w:rPr>
          <w:rtl w:val="true"/>
        </w:rPr>
        <w:t>הגיש המערער את הערעור שלפנינו</w:t>
      </w:r>
      <w:r>
        <w:rPr>
          <w:rtl w:val="true"/>
        </w:rPr>
        <w:t xml:space="preserve">, </w:t>
      </w:r>
      <w:r>
        <w:rPr>
          <w:rtl w:val="true"/>
        </w:rPr>
        <w:t>ובצדו בקשה לעיכוב ביצוע גזר הדין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30.1.2018</w:t>
      </w:r>
      <w:r>
        <w:rPr>
          <w:rtl w:val="true"/>
        </w:rPr>
        <w:t xml:space="preserve"> </w:t>
      </w:r>
      <w:r>
        <w:rPr>
          <w:rtl w:val="true"/>
        </w:rPr>
        <w:t xml:space="preserve">הורה בית משפט זה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) </w:t>
      </w:r>
      <w:r>
        <w:rPr>
          <w:rtl w:val="true"/>
        </w:rPr>
        <w:t>על עיכוב ביצוע כמבוקש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ערעורו על גזר הדין פרש המערער את הטיעונים שלהלן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 כי שגה בית המשפט בקביעת מתחם הענישה ובגזירת העונש בתוכו</w:t>
      </w:r>
      <w:r>
        <w:rPr>
          <w:rtl w:val="true"/>
        </w:rPr>
        <w:t xml:space="preserve">. </w:t>
      </w:r>
      <w:r>
        <w:rPr>
          <w:rtl w:val="true"/>
        </w:rPr>
        <w:t>נטען כי היה ראוי לקבוע מתחם הענישה המתחיל ברף נמוך יותר</w:t>
      </w:r>
      <w:r>
        <w:rPr>
          <w:rtl w:val="true"/>
        </w:rPr>
        <w:t xml:space="preserve">, </w:t>
      </w:r>
      <w:r>
        <w:rPr>
          <w:rtl w:val="true"/>
        </w:rPr>
        <w:t>בין היתר משום שהמערער לא היה אחראי להתרחשות התאונה</w:t>
      </w:r>
      <w:r>
        <w:rPr>
          <w:rtl w:val="true"/>
        </w:rPr>
        <w:t xml:space="preserve">, </w:t>
      </w:r>
      <w:r>
        <w:rPr>
          <w:rtl w:val="true"/>
        </w:rPr>
        <w:t>הנפגע זכה לטיפול רפואי מידי והמערער התייצב במשטרה בתוך כשעתיים ממועד האירוע</w:t>
      </w:r>
      <w:r>
        <w:rPr>
          <w:rtl w:val="true"/>
        </w:rPr>
        <w:t xml:space="preserve">. </w:t>
      </w:r>
      <w:r>
        <w:rPr>
          <w:rtl w:val="true"/>
        </w:rPr>
        <w:t>ובאשר לקביעת העונש בתוך המתחם צוינו נסיבות חייו הקשות של המערער</w:t>
      </w:r>
      <w:r>
        <w:rPr>
          <w:rtl w:val="true"/>
        </w:rPr>
        <w:t xml:space="preserve">, </w:t>
      </w:r>
      <w:r>
        <w:rPr>
          <w:rtl w:val="true"/>
        </w:rPr>
        <w:t>ההשלכות הקשות של המאסר על משפחתו</w:t>
      </w:r>
      <w:r>
        <w:rPr>
          <w:rtl w:val="true"/>
        </w:rPr>
        <w:t xml:space="preserve">, </w:t>
      </w:r>
      <w:r>
        <w:rPr>
          <w:rtl w:val="true"/>
        </w:rPr>
        <w:t>גילו הצעיר והעובדה שעסקינן במאסרו הראשון</w:t>
      </w:r>
      <w:r>
        <w:rPr>
          <w:rtl w:val="true"/>
        </w:rPr>
        <w:t xml:space="preserve">. </w:t>
      </w:r>
      <w:r>
        <w:rPr>
          <w:rtl w:val="true"/>
        </w:rPr>
        <w:t>עוד נטען כי למאסר ראשון מאחורי סורג ובריח ישנן השלכות קשות על הנאסר</w:t>
      </w:r>
      <w:r>
        <w:rPr>
          <w:rtl w:val="true"/>
        </w:rPr>
        <w:t xml:space="preserve">. </w:t>
      </w:r>
      <w:r>
        <w:rPr>
          <w:rtl w:val="true"/>
        </w:rPr>
        <w:t>כן הדגיש כי בהתאם למחקרים בנושא</w:t>
      </w:r>
      <w:r>
        <w:rPr>
          <w:rtl w:val="true"/>
        </w:rPr>
        <w:t xml:space="preserve">, </w:t>
      </w:r>
      <w:r>
        <w:rPr>
          <w:rtl w:val="true"/>
        </w:rPr>
        <w:t>הנטייה הקשורה ללקיחת סיכונים ופעולות הנעשות בקלות דעת</w:t>
      </w:r>
      <w:r>
        <w:rPr>
          <w:rtl w:val="true"/>
        </w:rPr>
        <w:t xml:space="preserve">, </w:t>
      </w:r>
      <w:r>
        <w:rPr>
          <w:rtl w:val="true"/>
        </w:rPr>
        <w:t>אופיינית במיוחד לקבוצת הבגירים הצעירים</w:t>
      </w:r>
      <w:r>
        <w:rPr>
          <w:rtl w:val="true"/>
        </w:rPr>
        <w:t xml:space="preserve">, </w:t>
      </w:r>
      <w:r>
        <w:rPr>
          <w:rtl w:val="true"/>
        </w:rPr>
        <w:t>עמה נמנה המערער</w:t>
      </w:r>
      <w:r>
        <w:rPr>
          <w:rtl w:val="true"/>
        </w:rPr>
        <w:t xml:space="preserve">, </w:t>
      </w:r>
      <w:r>
        <w:rPr>
          <w:rtl w:val="true"/>
        </w:rPr>
        <w:t>כאשר הטלת מאסר בפועל יכולה להיות קטלנית עבור אוכלוסייה זו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נטען כי </w:t>
      </w:r>
      <w:r>
        <w:rPr>
          <w:rFonts w:ascii="Century" w:hAnsi="Century" w:cs="Century"/>
          <w:sz w:val="22"/>
          <w:sz w:val="22"/>
          <w:rtl w:val="true"/>
        </w:rPr>
        <w:t>היה ראוי לסטות ממתחם הענישה משיקולי שיקום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לאור ההליך הטיפולי שעבר הבעת החרטה וגילו הצעיר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לקראת הדיון בערעור שהתקיים ביום </w:t>
      </w:r>
      <w:r>
        <w:rPr/>
        <w:t>22.3.2018</w:t>
      </w:r>
      <w:r>
        <w:rPr>
          <w:rtl w:val="true"/>
        </w:rPr>
        <w:t xml:space="preserve">, </w:t>
      </w:r>
      <w:r>
        <w:rPr>
          <w:rtl w:val="true"/>
        </w:rPr>
        <w:t>הוגש תסקיר מעדכן בעניינו של המערער</w:t>
      </w:r>
      <w:r>
        <w:rPr>
          <w:rtl w:val="true"/>
        </w:rPr>
        <w:t xml:space="preserve">. </w:t>
      </w:r>
      <w:r>
        <w:rPr>
          <w:rtl w:val="true"/>
        </w:rPr>
        <w:t>מהתסקיר עולה כי המערער עבר שינוי משמעותי שבא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ביכולת טובה יותר להתבונן על בחירותיו ועל התנהגותו במסגרת ביצוע העבירה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המערער מביע רצון להמשיך בניהול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וכי הוא מביע חרטה עמוקה על הפגיעה בקטין ובמשפחתו</w:t>
      </w:r>
      <w:r>
        <w:rPr>
          <w:rtl w:val="true"/>
        </w:rPr>
        <w:t xml:space="preserve">. </w:t>
      </w:r>
      <w:r>
        <w:rPr>
          <w:rtl w:val="true"/>
        </w:rPr>
        <w:t>הוזכר כי המערער השתלב בקבוצה טיפולית</w:t>
      </w:r>
      <w:r>
        <w:rPr>
          <w:rtl w:val="true"/>
        </w:rPr>
        <w:t xml:space="preserve">, </w:t>
      </w:r>
      <w:r>
        <w:rPr>
          <w:rtl w:val="true"/>
        </w:rPr>
        <w:t>כדי שיוכל להמשיך בהליך טיפולי במטרה לשקם את עצמו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ככל שבית המשפט יראה לנכון לאפשר ביצוע הליך </w:t>
      </w:r>
      <w:r>
        <w:rPr>
          <w:rtl w:val="true"/>
        </w:rPr>
        <w:t>"</w:t>
      </w:r>
      <w:r>
        <w:rPr>
          <w:rtl w:val="true"/>
        </w:rPr>
        <w:t>צדק מאחה</w:t>
      </w:r>
      <w:r>
        <w:rPr>
          <w:rtl w:val="true"/>
        </w:rPr>
        <w:t xml:space="preserve">", </w:t>
      </w:r>
      <w:r>
        <w:rPr>
          <w:rtl w:val="true"/>
        </w:rPr>
        <w:t>יפעל שירות המבחן לבדיקת אפשרות לקידום הליך 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המליץ שירות המבחן כי למרות חומרת העבירה ומדיניות הענישה</w:t>
      </w:r>
      <w:r>
        <w:rPr>
          <w:rtl w:val="true"/>
        </w:rPr>
        <w:t xml:space="preserve">, </w:t>
      </w:r>
      <w:r>
        <w:rPr>
          <w:rtl w:val="true"/>
        </w:rPr>
        <w:t>יילקחו בחשבון נסיבות חייו הקשות של המערער</w:t>
      </w:r>
      <w:r>
        <w:rPr>
          <w:rtl w:val="true"/>
        </w:rPr>
        <w:t xml:space="preserve">, </w:t>
      </w:r>
      <w:r>
        <w:rPr>
          <w:rtl w:val="true"/>
        </w:rPr>
        <w:t>התהליך הטיפולי שעבר והערכת שירות המבחן בדבר סיכויי שיקומו וצמצום הסיכון לרצדיביזם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בדיון שהתקיים בפנינו ביום </w:t>
      </w:r>
      <w:r>
        <w:rPr/>
        <w:t>22.3.2018</w:t>
      </w:r>
      <w:r>
        <w:rPr>
          <w:rtl w:val="true"/>
        </w:rPr>
        <w:t xml:space="preserve"> </w:t>
      </w:r>
      <w:r>
        <w:rPr>
          <w:rtl w:val="true"/>
        </w:rPr>
        <w:t>חזר בא</w:t>
      </w:r>
      <w:r>
        <w:rPr>
          <w:rtl w:val="true"/>
        </w:rPr>
        <w:t>-</w:t>
      </w:r>
      <w:r>
        <w:rPr>
          <w:rtl w:val="true"/>
        </w:rPr>
        <w:t>כוח המערער על נימוקי הערעור</w:t>
      </w:r>
      <w:r>
        <w:rPr>
          <w:rtl w:val="true"/>
        </w:rPr>
        <w:t xml:space="preserve">, </w:t>
      </w:r>
      <w:r>
        <w:rPr>
          <w:rtl w:val="true"/>
        </w:rPr>
        <w:t>תוך שהדגיש את האמור בתסקיר המעודכן</w:t>
      </w:r>
      <w:r>
        <w:rPr>
          <w:rtl w:val="true"/>
        </w:rPr>
        <w:t xml:space="preserve">, </w:t>
      </w:r>
      <w:r>
        <w:rPr>
          <w:rtl w:val="true"/>
        </w:rPr>
        <w:t>את נסיבות חייו האישיות הקשות של המערער</w:t>
      </w:r>
      <w:r>
        <w:rPr>
          <w:rtl w:val="true"/>
        </w:rPr>
        <w:t xml:space="preserve">, </w:t>
      </w:r>
      <w:r>
        <w:rPr>
          <w:rtl w:val="true"/>
        </w:rPr>
        <w:t>לרבות היותו המטפל באמו ובסבתו שמצבן הרפואי התדרדר</w:t>
      </w:r>
      <w:r>
        <w:rPr>
          <w:rtl w:val="true"/>
        </w:rPr>
        <w:t xml:space="preserve">. </w:t>
      </w:r>
      <w:r>
        <w:rPr>
          <w:rtl w:val="true"/>
        </w:rPr>
        <w:t>כן הודגש כי לא מיוחסת למערער אשמה בקרות התאונה</w:t>
      </w:r>
      <w:r>
        <w:rPr>
          <w:rtl w:val="true"/>
        </w:rPr>
        <w:t xml:space="preserve">. </w:t>
      </w:r>
      <w:r>
        <w:rPr>
          <w:rtl w:val="true"/>
        </w:rPr>
        <w:t>נציגת שירות המבחן עמדה אף היא על נסיבות חייו הקשות והחריגות של המערער</w:t>
      </w:r>
      <w:r>
        <w:rPr>
          <w:rtl w:val="true"/>
        </w:rPr>
        <w:t xml:space="preserve">, </w:t>
      </w:r>
      <w:r>
        <w:rPr>
          <w:rtl w:val="true"/>
        </w:rPr>
        <w:t>ועל כך כי מצבה של אמו בכי רע</w:t>
      </w:r>
      <w:r>
        <w:rPr>
          <w:rtl w:val="true"/>
        </w:rPr>
        <w:t xml:space="preserve">. </w:t>
      </w:r>
      <w:r>
        <w:rPr>
          <w:rtl w:val="true"/>
        </w:rPr>
        <w:t>צוין כי המערער עבר תהליך טיפולי</w:t>
      </w:r>
      <w:r>
        <w:rPr>
          <w:rtl w:val="true"/>
        </w:rPr>
        <w:t xml:space="preserve">, </w:t>
      </w:r>
      <w:r>
        <w:rPr>
          <w:rtl w:val="true"/>
        </w:rPr>
        <w:t>וראוי לדעת השירות להתחשב בנסיבותיו אלה</w:t>
      </w:r>
      <w:r>
        <w:rPr>
          <w:rtl w:val="true"/>
        </w:rPr>
        <w:t xml:space="preserve">. </w:t>
      </w:r>
      <w:r>
        <w:rPr>
          <w:rtl w:val="true"/>
        </w:rPr>
        <w:t>כן צוין כי הפיצויים בהם חויב המערער לטובת הקטין שולמו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המדינה טען כי לאור העובדה שהמערער צבר שלוש עבירות תעבורה קודמות ולאור העובדה שביצע את עבירת ההפקרה בשעה שהיה בפסילה</w:t>
      </w:r>
      <w:r>
        <w:rPr>
          <w:rtl w:val="true"/>
        </w:rPr>
        <w:t xml:space="preserve">, </w:t>
      </w:r>
      <w:r>
        <w:rPr>
          <w:rtl w:val="true"/>
        </w:rPr>
        <w:t>העונש שהושת על המערער אינו מצדיק את התערבותו של בית משפט זה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בדברים</w:t>
      </w:r>
      <w:r>
        <w:rPr>
          <w:rtl w:val="true"/>
        </w:rPr>
        <w:t xml:space="preserve">, </w:t>
      </w:r>
      <w:r>
        <w:rPr>
          <w:rtl w:val="true"/>
        </w:rPr>
        <w:t xml:space="preserve">הגענו לכלל מסקנה כי יש לקבל את הערעור באופן שעונש המאסר בפועל שהושת על המערער יעמוד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כאשר שאר רכיבי גזר הדין יוותרו בעינם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Calibri"/>
          <w:sz w:val="22"/>
          <w:sz w:val="22"/>
          <w:rtl w:val="true"/>
        </w:rPr>
        <w:t xml:space="preserve">אמנם </w:t>
      </w:r>
      <w:r>
        <w:rPr>
          <w:sz w:val="28"/>
          <w:sz w:val="28"/>
          <w:rtl w:val="true"/>
        </w:rPr>
        <w:t>אין דרכה של ערכאת הערעור להתערב בגזר דינה של הערכאה הדיונית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 במקרים חריגים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בהם נפלה בגזר הדין טעות מהותית או שעה שהעונש שנגזר על ידה חורג באופן ממשי מרמת הענישה המקובלת או הראויה בנסיבות דומות </w:t>
      </w:r>
      <w:r>
        <w:rPr>
          <w:sz w:val="28"/>
          <w:rtl w:val="true"/>
        </w:rPr>
        <w:t>(</w:t>
      </w:r>
      <w:hyperlink r:id="rId1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5883/15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24.11.2016</w:t>
      </w:r>
      <w:r>
        <w:rPr>
          <w:sz w:val="28"/>
          <w:rtl w:val="true"/>
        </w:rPr>
        <w:t xml:space="preserve">); </w:t>
      </w:r>
      <w:hyperlink r:id="rId1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5559/16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4.8.2016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1872/16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18.5.2017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ואולם </w:t>
      </w:r>
      <w:r>
        <w:rPr>
          <w:rtl w:val="true"/>
        </w:rPr>
        <w:t>לאחר בחינה הגענו למסקנה כי בהתחשב במכלול נסיבות העניין יש צידוק במקרה זה להקלת</w:t>
      </w:r>
      <w:r>
        <w:rPr>
          <w:rtl w:val="true"/>
        </w:rPr>
        <w:t>-</w:t>
      </w:r>
      <w:r>
        <w:rPr>
          <w:rtl w:val="true"/>
        </w:rPr>
        <w:t>מה בעונשו של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בפסיקה הודגשה חומרתה של עבירת ההפקרה לאחר פגיעה וכן הודגש הצורך לגזור בגינה עונש מרתיע</w:t>
      </w:r>
      <w:r>
        <w:rPr>
          <w:rtl w:val="true"/>
        </w:rPr>
        <w:t xml:space="preserve">, </w:t>
      </w:r>
      <w:r>
        <w:rPr>
          <w:rtl w:val="true"/>
        </w:rPr>
        <w:t xml:space="preserve">זאת במיוחד לאחר כניסתו לתוקף של </w:t>
      </w:r>
      <w:r>
        <w:rPr>
          <w:rFonts w:ascii="Century" w:hAnsi="Century" w:cs="Century"/>
          <w:sz w:val="22"/>
          <w:sz w:val="22"/>
          <w:rtl w:val="true"/>
        </w:rPr>
        <w:t xml:space="preserve">החוק לתיקון 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התעבורה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מס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101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התשע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2011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החמיר את הענישה על הפקרה לאחר פגיעה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ארגוב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/>
        <w:t>21.5.2013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סרחאן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7.7.2014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יש לזכור כי </w:t>
      </w:r>
      <w:r>
        <w:rPr>
          <w:rtl w:val="true"/>
        </w:rPr>
        <w:t>"</w:t>
      </w:r>
      <w:r>
        <w:rPr>
          <w:spacing w:val="6"/>
          <w:rtl w:val="true"/>
        </w:rPr>
        <w:t>ענישה היא לעולם אינדיבידואלית</w:t>
      </w:r>
      <w:r>
        <w:rPr>
          <w:rtl w:val="true"/>
        </w:rPr>
        <w:t xml:space="preserve">", </w:t>
      </w:r>
      <w:r>
        <w:rPr>
          <w:rtl w:val="true"/>
        </w:rPr>
        <w:t xml:space="preserve">תוך התחשבות </w:t>
      </w:r>
      <w:r>
        <w:rPr>
          <w:sz w:val="28"/>
          <w:sz w:val="28"/>
          <w:rtl w:val="true"/>
        </w:rPr>
        <w:t>בנסיבותיו האישיות של הנאשם ובמידת אשמו</w:t>
      </w:r>
      <w:r>
        <w:rPr>
          <w:rtl w:val="true"/>
        </w:rPr>
        <w:t xml:space="preserve">, </w:t>
      </w:r>
      <w:r>
        <w:rPr>
          <w:rtl w:val="true"/>
        </w:rPr>
        <w:t xml:space="preserve">כאשר לצד הצורך בהרתעה </w:t>
      </w:r>
      <w:r>
        <w:rPr>
          <w:sz w:val="28"/>
          <w:sz w:val="28"/>
          <w:rtl w:val="true"/>
        </w:rPr>
        <w:t xml:space="preserve">יש להתחשב גם בנסיבותיו האישיות של הנאשם ובשיקולי שיקום </w:t>
      </w:r>
      <w:r>
        <w:rPr>
          <w:rtl w:val="true"/>
        </w:rPr>
        <w:t>(</w:t>
      </w:r>
      <w:hyperlink r:id="rId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5363/15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sz w:val="28"/>
          <w:rtl w:val="true"/>
        </w:rPr>
        <w:t>(‏</w:t>
      </w:r>
      <w:r>
        <w:rPr>
          <w:sz w:val="28"/>
        </w:rPr>
        <w:t>11.5.2016</w:t>
      </w:r>
      <w:r>
        <w:rPr>
          <w:sz w:val="28"/>
          <w:rtl w:val="true"/>
        </w:rPr>
        <w:t>)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hyperlink r:id="rId18">
        <w:r>
          <w:rPr>
            <w:rStyle w:val="Hyperlink"/>
            <w:rFonts w:ascii="Century" w:hAnsi="Century" w:cs="Century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/>
            <w:color w:val="0000FF"/>
            <w:sz w:val="22"/>
            <w:u w:val="single"/>
          </w:rPr>
          <w:t>6538/16</w:t>
        </w:r>
      </w:hyperlink>
      <w:r>
        <w:rPr>
          <w:rFonts w:cs="Century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b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b/>
          <w:b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b/>
          <w:sz w:val="22"/>
        </w:rPr>
        <w:t>14</w:t>
      </w:r>
      <w:r>
        <w:rPr>
          <w:rFonts w:cs="Century" w:ascii="Century" w:hAnsi="Century"/>
          <w:b/>
          <w:sz w:val="22"/>
          <w:rtl w:val="true"/>
        </w:rPr>
        <w:t xml:space="preserve"> </w:t>
      </w:r>
      <w:r>
        <w:rPr>
          <w:sz w:val="28"/>
          <w:rtl w:val="true"/>
        </w:rPr>
        <w:t>(‏</w:t>
      </w:r>
      <w:r>
        <w:rPr>
          <w:sz w:val="28"/>
        </w:rPr>
        <w:t>5.2.2017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hyperlink r:id="rId1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4180/16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10</w:t>
      </w:r>
      <w:r>
        <w:rPr>
          <w:sz w:val="28"/>
          <w:rtl w:val="true"/>
        </w:rPr>
        <w:t xml:space="preserve"> (</w:t>
      </w:r>
      <w:r>
        <w:rPr>
          <w:sz w:val="28"/>
        </w:rPr>
        <w:t>8.9.2017</w:t>
      </w:r>
      <w:r>
        <w:rPr>
          <w:sz w:val="28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אמנם אין לומר כי עונש המאסר שהושת על המערער חורג מרמת הענישה הנוהגת בנסיבות כגון המקרה דנן</w:t>
      </w:r>
      <w:r>
        <w:rPr>
          <w:rtl w:val="true"/>
        </w:rPr>
        <w:t xml:space="preserve">, </w:t>
      </w:r>
      <w:r>
        <w:rPr>
          <w:rtl w:val="true"/>
        </w:rPr>
        <w:t>כאשר המערער ביצע את עבירת ההפקרה בזמן שרישיונו נפסל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נסיבותיו האישיות החריגות והקשות של המערער</w:t>
      </w:r>
      <w:r>
        <w:rPr>
          <w:rtl w:val="true"/>
        </w:rPr>
        <w:t xml:space="preserve">, </w:t>
      </w:r>
      <w:r>
        <w:rPr>
          <w:rtl w:val="true"/>
        </w:rPr>
        <w:t>עליהן עמד שירות המבחן</w:t>
      </w:r>
      <w:r>
        <w:rPr>
          <w:rtl w:val="true"/>
        </w:rPr>
        <w:t xml:space="preserve">, </w:t>
      </w:r>
      <w:r>
        <w:rPr>
          <w:rtl w:val="true"/>
        </w:rPr>
        <w:t>מצדיקות התחשבות והקלה בעונשו</w:t>
      </w:r>
      <w:r>
        <w:rPr>
          <w:rtl w:val="true"/>
        </w:rPr>
        <w:t xml:space="preserve">, </w:t>
      </w:r>
      <w:r>
        <w:rPr>
          <w:rtl w:val="true"/>
        </w:rPr>
        <w:t>בגדרו של מתחם הענישה שנקבע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נסיבות אלו הובילו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בחור כבן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 xml:space="preserve">להיות עמוד התווך של משפחתו </w:t>
      </w:r>
      <w:r>
        <w:rPr>
          <w:rtl w:val="true"/>
        </w:rPr>
        <w:t>(</w:t>
      </w:r>
      <w:r>
        <w:rPr>
          <w:rtl w:val="true"/>
        </w:rPr>
        <w:t>אמו וסבתו</w:t>
      </w:r>
      <w:r>
        <w:rPr>
          <w:rtl w:val="true"/>
        </w:rPr>
        <w:t xml:space="preserve">), </w:t>
      </w:r>
      <w:r>
        <w:rPr>
          <w:rtl w:val="true"/>
        </w:rPr>
        <w:t>כאשר ללא נוכחותו התדירה והמשמעותית בחייהן</w:t>
      </w:r>
      <w:r>
        <w:rPr>
          <w:rtl w:val="true"/>
        </w:rPr>
        <w:t xml:space="preserve">, </w:t>
      </w:r>
      <w:r>
        <w:rPr>
          <w:rtl w:val="true"/>
        </w:rPr>
        <w:t>הן עלולות להיוותר לבדן</w:t>
      </w:r>
      <w:r>
        <w:rPr>
          <w:rtl w:val="true"/>
        </w:rPr>
        <w:t xml:space="preserve">, </w:t>
      </w:r>
      <w:r>
        <w:rPr>
          <w:rtl w:val="true"/>
        </w:rPr>
        <w:t>ללא סיוע כלכלי</w:t>
      </w:r>
      <w:r>
        <w:rPr>
          <w:rtl w:val="true"/>
        </w:rPr>
        <w:t xml:space="preserve">, </w:t>
      </w:r>
      <w:r>
        <w:rPr>
          <w:rtl w:val="true"/>
        </w:rPr>
        <w:t>מנטלי ופיזי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שילם את מלוא הפיצוי שנפסק לטובת הקטין</w:t>
      </w:r>
      <w:r>
        <w:rPr>
          <w:rtl w:val="true"/>
        </w:rPr>
        <w:t xml:space="preserve">, </w:t>
      </w:r>
      <w:r>
        <w:rPr>
          <w:rtl w:val="true"/>
        </w:rPr>
        <w:t>למרות קשייו הכלכליים</w:t>
      </w:r>
      <w:r>
        <w:rPr>
          <w:rtl w:val="true"/>
        </w:rPr>
        <w:t xml:space="preserve">, </w:t>
      </w:r>
      <w:r>
        <w:rPr>
          <w:rtl w:val="true"/>
        </w:rPr>
        <w:t>כאשר גם במעשה זה ניתן לראות ביטוי להבעת חרטה מצדו של המערער</w:t>
      </w:r>
      <w:r>
        <w:rPr>
          <w:rtl w:val="true"/>
        </w:rPr>
        <w:t xml:space="preserve">. </w:t>
      </w:r>
      <w:r>
        <w:rPr>
          <w:rtl w:val="true"/>
        </w:rPr>
        <w:t>כן יצוין כי רצונו של המערער להשתקם ולחזור למסגרת נורמטיבית בא לידי ביטוי בהשתלבותו במסגרת טיפולית</w:t>
      </w:r>
      <w:r>
        <w:rPr>
          <w:rtl w:val="true"/>
        </w:rPr>
        <w:t xml:space="preserve">, </w:t>
      </w:r>
      <w:r>
        <w:rPr>
          <w:rtl w:val="true"/>
        </w:rPr>
        <w:t>תעסוקתית ולימודית כעולה מתסקיר שירות המבחן העדכני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הערעור מתקבל באופן שעונש המאסר שהושת על המערער יועמד על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לריצוי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שאר רכיבי גזר הדין יוותרו על כנם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br w:type="page"/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9.5.2018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22.4.2018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18003350</w:t>
      </w:r>
      <w:r>
        <w:rPr>
          <w:sz w:val="16"/>
          <w:rtl w:val="true"/>
        </w:rPr>
        <w:t>_</w:t>
      </w:r>
      <w:r>
        <w:rPr>
          <w:sz w:val="16"/>
        </w:rPr>
        <w:t>B05.doc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54678313-335/18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start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abs>
        <w:tab w:val="clear" w:pos="800"/>
      </w:tabs>
      <w:overflowPunct w:val="true"/>
      <w:autoSpaceDE w:val="true"/>
      <w:ind w:hanging="0" w:start="0" w:end="0"/>
      <w:jc w:val="both"/>
      <w:textAlignment w:val="auto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57647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5227/64a.c" TargetMode="External"/><Relationship Id="rId5" Type="http://schemas.openxmlformats.org/officeDocument/2006/relationships/hyperlink" Target="http://www.nevo.co.il/law/5227/67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case/21557647" TargetMode="External"/><Relationship Id="rId8" Type="http://schemas.openxmlformats.org/officeDocument/2006/relationships/hyperlink" Target="http://www.nevo.co.il/law/5227/64a.c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67" TargetMode="External"/><Relationship Id="rId11" Type="http://schemas.openxmlformats.org/officeDocument/2006/relationships/hyperlink" Target="http://www.nevo.co.il/case/21472953" TargetMode="External"/><Relationship Id="rId12" Type="http://schemas.openxmlformats.org/officeDocument/2006/relationships/hyperlink" Target="http://www.nevo.co.il/case/21477504" TargetMode="External"/><Relationship Id="rId13" Type="http://schemas.openxmlformats.org/officeDocument/2006/relationships/hyperlink" Target="http://www.nevo.co.il/case/21015204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case/5603999" TargetMode="External"/><Relationship Id="rId16" Type="http://schemas.openxmlformats.org/officeDocument/2006/relationships/hyperlink" Target="http://www.nevo.co.il/case/13041895" TargetMode="External"/><Relationship Id="rId17" Type="http://schemas.openxmlformats.org/officeDocument/2006/relationships/hyperlink" Target="http://www.nevo.co.il/case/20493070" TargetMode="External"/><Relationship Id="rId18" Type="http://schemas.openxmlformats.org/officeDocument/2006/relationships/hyperlink" Target="http://www.nevo.co.il/case/21478438" TargetMode="External"/><Relationship Id="rId19" Type="http://schemas.openxmlformats.org/officeDocument/2006/relationships/hyperlink" Target="http://www.nevo.co.il/case/21474587" TargetMode="External"/><Relationship Id="rId20" Type="http://schemas.openxmlformats.org/officeDocument/2006/relationships/hyperlink" Target="http://www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2018-06-28T07:44:00Z</dcterms:created>
  <dc:creator> </dc:creator>
  <dc:description/>
  <cp:keywords/>
  <dc:language>en-IL</dc:language>
  <cp:lastModifiedBy>hofit</cp:lastModifiedBy>
  <cp:lastPrinted>2018-04-18T11:36:00Z</cp:lastPrinted>
  <dcterms:modified xsi:type="dcterms:W3CDTF">2018-06-28T07:44:00Z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21557647:2;21472953;21477504;21015204;5603999;13041895;20493070;21478438;21474587</vt:lpwstr>
  </property>
  <property fmtid="{D5CDD505-2E9C-101B-9397-08002B2CF9AE}" pid="9" name="CITY">
    <vt:lpwstr/>
  </property>
  <property fmtid="{D5CDD505-2E9C-101B-9397-08002B2CF9AE}" pid="10" name="DATE">
    <vt:lpwstr>20180422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מזוז;ג' קרא</vt:lpwstr>
  </property>
  <property fmtid="{D5CDD505-2E9C-101B-9397-08002B2CF9AE}" pid="14" name="LAWLISTTMP1">
    <vt:lpwstr>5227/064a.c;067</vt:lpwstr>
  </property>
  <property fmtid="{D5CDD505-2E9C-101B-9397-08002B2CF9AE}" pid="15" name="LAWYER">
    <vt:lpwstr>חיים שויצר;נס בן נתן;ברכה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</vt:lpwstr>
  </property>
  <property fmtid="{D5CDD505-2E9C-101B-9397-08002B2CF9AE}" pid="48" name="NOSE31">
    <vt:lpwstr>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הפקרה לאחר פגיעה‏</vt:lpwstr>
  </property>
  <property fmtid="{D5CDD505-2E9C-101B-9397-08002B2CF9AE}" pid="51" name="NOSE33">
    <vt:lpwstr>ענישה אינדיבידואלית</vt:lpwstr>
  </property>
  <property fmtid="{D5CDD505-2E9C-101B-9397-08002B2CF9AE}" pid="52" name="NOSE34">
    <vt:lpwstr>שיקולי 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15230;15636;16220;15506</vt:lpwstr>
  </property>
  <property fmtid="{D5CDD505-2E9C-101B-9397-08002B2CF9AE}" pid="59" name="PADIDATE">
    <vt:lpwstr>20180423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335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410120180422</vt:lpwstr>
  </property>
  <property fmtid="{D5CDD505-2E9C-101B-9397-08002B2CF9AE}" pid="69" name="TYPE_N_DATE">
    <vt:lpwstr>41020180422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