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3390/19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אהרון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אביטן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ביבי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30.4.2019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Cs w:val="24"/>
              </w:rPr>
              <w:t>8447-03-19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25.7.2019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ברעוז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פולמן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2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שילה ענבר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חילוט אמצעים לביצוע עבירה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 “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מבחן הזיקה המהותית”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משפט מפתח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</w:rPr>
          <w:t>3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דצמבר </w:t>
        </w:r>
        <w:r>
          <w:rPr>
            <w:rStyle w:val="Hyperlink"/>
            <w:rFonts w:cs="FrankRuehl" w:ascii="FrankRuehl" w:hAnsi="FrankRuehl"/>
            <w:sz w:val="24"/>
          </w:rPr>
          <w:t>2015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43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  <w:u w:val="single"/>
        </w:rPr>
      </w:pPr>
      <w:r>
        <w:rPr>
          <w:rFonts w:cs="FrankRuehl" w:ascii="FrankRuehl" w:hAnsi="FrankRuehl"/>
          <w:sz w:val="24"/>
          <w:u w:val="single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hyperlink r:id="rId4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חיים ויסמונסקי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חקירה פלילית במרחב הסייבר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</w:rPr>
          <w:t>2015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u w:val="single"/>
        </w:rPr>
      </w:pPr>
      <w:r>
        <w:rPr>
          <w:rFonts w:cs="FrankRuehl" w:ascii="FrankRuehl" w:hAnsi="FrankRuehl"/>
          <w:sz w:val="24"/>
          <w:u w:val="single"/>
          <w:rtl w:val="true"/>
        </w:rPr>
      </w:r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ס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2000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</w:rPr>
          <w:t>3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21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21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</w:rPr>
          <w:t>23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</w:rPr>
          <w:t>26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</w:rPr>
          <w:t>26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 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1969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sz w:val="24"/>
          </w:rPr>
          <w:t>32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</w:rPr>
          <w:t>35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</w:rPr>
          <w:t>39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8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1973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sz w:val="24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sz w:val="24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sz w:val="24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sz w:val="24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sz w:val="24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5">
        <w:r>
          <w:rPr>
            <w:rStyle w:val="Hyperlink"/>
            <w:rFonts w:cs="FrankRuehl" w:ascii="FrankRuehl" w:hAnsi="FrankRuehl"/>
            <w:sz w:val="24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sz w:val="24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.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sz w:val="24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sz w:val="24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sz w:val="24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sz w:val="24"/>
          </w:rPr>
          <w:t>36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מעצרים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1996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3">
        <w:r>
          <w:rPr>
            <w:rStyle w:val="Hyperlink"/>
            <w:rFonts w:cs="FrankRuehl" w:ascii="FrankRuehl" w:hAnsi="FrankRuehl"/>
            <w:sz w:val="24"/>
          </w:rPr>
          <w:t>17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4">
        <w:r>
          <w:rPr>
            <w:rStyle w:val="Hyperlink"/>
            <w:rFonts w:cs="FrankRuehl" w:ascii="FrankRuehl" w:hAnsi="FrankRuehl"/>
            <w:sz w:val="24"/>
          </w:rPr>
          <w:t>58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35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1982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15" w:name="LawTable_End"/>
      <w:bookmarkStart w:id="16" w:name="LawTable_End"/>
      <w:bookmarkEnd w:id="16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7" w:name="ABSTRACT_START"/>
      <w:bookmarkEnd w:id="1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 חקירה פלילית ניתן צו לתפיסה זמנית של רכוש בשווי מכוח פקודת סדר הדין הפלילי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 וחיפוש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בדעת 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במועד הגשת כתב האישום לא פוקעת מאליה הסמכות להחזקת הרכוש התפוס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פוקע תוקף התפיסה כל עוד לא הוגשה בקשה מתאימה מתוקף חוק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נפסק כי מן הראוי להגיש בקשה מתאימה לתפיסה זמנית של רכוש בשווי לאחר הגשת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ככל שבמקרים חריגים הדבר אינו מתאפשר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צו התפיסה שניתן בטרם הגשת כתב האישום מכוח פקודת סדר הדין הפלילי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 וחיפוש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יוסיף לעמוד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חילוט – צו זמני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חילוט – איסור הלבנת הון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 חקירה פלילית ניתן צו לתפיסה זמנית של רכוש בשווי מכוח פקודת סדר הדין הפלילי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מעצר וחיפוש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), [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נוסח חדש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],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תשכ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1969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הדיון נסב אודות השאלה האם במועד הגשת כתב האישום פוקעת מאליה הסמכות להחזקת הרכוש התפוס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וממילא פוקע תוקפה של התפיסה כל עוד לא הוגשה בקשה מתאימה בתוקף חוק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כדוגמת פקודת הסמים המסוכנים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פקודת הסמים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חוק איסור הלבנת 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שאלה זו עלתה נוכח כך שבהליך דנן לא הוגשה בקשה כאמור לצד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אלא רק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יום מאוחר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קבע כי צו חילוט זמני שניתן מכוח הפסד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ממשיך לחול גם לאחר הגשת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 ומינץ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חוק איסור הלבנת הון מתווה שני מסלולי תפיסה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זמניים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חילוט עתידי של תפוסים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מסלול הפסד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מסלול פקודת הסמים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מינץ קבע כי לאחר הגשת כתב אישום פוקעת סמכות התפיסה הזמנית בשווי לפי הפסד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ועל המשיבה להגיש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הגשת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בקשה לתפיסה זמנית לפי פקודת הסמים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כאשר דיון בבקשה יתקיים כאמור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36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לפקודת הסמים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היינו לכל היותר עד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ימים ממועד הגשת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 הגישה המשיבה את הבקשה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יום לאחר הגשת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ובכך נפל פגם שכן היה עליה להגישה מיד לאחר הגשת כתב האישום והיה על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לקיים דיון בהקדם האפשרי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משלא נגרם למערער עיוות דין ונוכח האינטרס הציבורי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להורות על שחרור התפוסים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השופט קרא לא הצטרף לעמדת השופט מינץ לפיה עם הגשת כתב האישום פוקעת הסמכות לתפיסה זמנית מכוח הפסד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 כאשר מדובר בתפיסה בשווי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החוק מתווה את דרכי החילוט על דרך ההפניה להוראות החילוט הקיימות בחקיקה בפסד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 ובפקודת הסמים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קיומם של מסלולים מקבילים לחילוט רכוש בהליך פלילי הוכר בפסיקה ונקבע כי הבחירה ביניהם אינה שרירותית וכי יש לעשותה לפי נסיבות כל 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שימוש במסלול הפוגעני פחות מבחינת זכויות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שעה שהמסלולים המקבילים מתקיימים בשלב שלפני הגשת כתב אישום וגם לאחר הרשעה בדין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להחריג מכלל זה באופן קטגורי את שלב ניהול המשפט לאחר הגשת כתב 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בהינתן אינטרס ציבורי לאפשר כלי חילוט אפקטיבי ובהינתן מורכבות הליכי החילוט אין מקום לקבוע כי צווי החילוט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רכוש בשווי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שהוצאו לפני הגשת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פוקעים באופן מיידי עם הגשת כתב 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שביחס לחילוט נכסים תפוסים בעילות אחרות מכח צווים שהוצאו לפי הפסד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מתאפשרת המשך התפיסה גם לאחר הגשת כתב 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 כי המשיבה תגיש בקשה לתפיסה זמנית של רכוש בשווי לאחר הגשת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וראוי כי לוח הזמנים להגשתה ייגזר מלוח הזמנים הנקוב בפקודת הסמים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במצב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הוגשה בקשה כאמור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ימים לאחר הגשת כתב 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ובהינתן קיומו של אינטרס ציבורי בקיומה של אפשרות לחלט רכוש בשווי בעבירות של הלבנת הון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לקביעה קטגורית כי בשל אי הגשת בקשה בד בבד עם הגשת כתב 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הרכוש תפוס שלא כדין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הצטרפה לעמדת השופט קרא הסבור כי הסמכות להוסיף ולהחזיק ברכוש התפוס אינה פוקעת עם הגשת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שרצוי ללוותה בהגשת בקשת תפיסה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לגישתה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 שהגשת כתב אישום תהיה מלווה בהגשת בקשת תפיסה חדשה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שתותאם לתשתית הראייתית שביסודו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טוב עשתה המדינה באמצה נוהל לפיו עם הגשת כתב אישום מוגשת בקשה חדשה לפי פקודת הסמים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 בלבד אין כדי ללמד שתוקפו של צו תפיסה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 הפסד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פוקע באופן אוטומטי עם הגשת כתב 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מסקנה זו אינה נתמכת בלשון הפקודה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מבחינה תכליתית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פקיעת הצו עולה בקנה אחד עם השינוי שחל במעמדו של האדם שרכושו נתפס מחשוד לנאשם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 שלכאורה מחזק את ההצדקה להחזיק בחפצים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שהדבר משרת את תכליות התפיסה – תכלית קניינית ותכלית הרתעתית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;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דרך המלך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 כי כאשר פרקליט מגיש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כתב 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יגיש את כל הבקשות הנלוות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ובכלל זה בקשות לפי פקודת הסמים או לפי חוק איסור הלבנת 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שבמקרים חריגים הדבר אינו מתאפשר צו התפיסה שניתן בטרם הגשת כתב האישום לפי הפסד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יוסיף לעמוד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 כאלה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התביעה להגיש את הבקשות החדשות בהקדם האפשרי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8" w:name="ABSTRACT_END"/>
      <w:bookmarkStart w:id="19" w:name="ABSTRACT_END"/>
      <w:bookmarkEnd w:id="1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3" w:name="Writer_Name"/>
      <w:bookmarkEnd w:id="2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4" w:name="Start_Write"/>
      <w:bookmarkStart w:id="25" w:name="Start_Write"/>
      <w:bookmarkEnd w:id="25"/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ביבי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צ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8447-03-19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30.4.2019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במסגרתה נדחתה טענת המערער כי רכוש שנתפס על ידי המשיבה נתפס בתפיסה שאינה חוקית בהתאם ל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2000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ועל כן יש להורות על שחרורו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נגד המערער הוגש ביום </w:t>
      </w:r>
      <w:r>
        <w:rPr/>
        <w:t>21.2.2019</w:t>
      </w:r>
      <w:r>
        <w:rPr>
          <w:rtl w:val="true"/>
        </w:rPr>
        <w:t xml:space="preserve"> </w:t>
      </w:r>
      <w:r>
        <w:rPr>
          <w:rtl w:val="true"/>
        </w:rPr>
        <w:t xml:space="preserve">כתב אישום המייחס לו עבירות כלכליות שונות וביניהן ביצוע עבירות לפי 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בסך של </w:t>
      </w:r>
      <w:r>
        <w:rPr/>
        <w:t>145,345,912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וכן עבירות סחיטה באיומים ותקיפה</w:t>
      </w:r>
      <w:r>
        <w:rPr>
          <w:rtl w:val="true"/>
        </w:rPr>
        <w:t xml:space="preserve">. </w:t>
      </w:r>
      <w:r>
        <w:rPr>
          <w:rtl w:val="true"/>
        </w:rPr>
        <w:t>עוד קודם להגשת כתב האישום ניתנו על ידי בית משפט השלום בתל אביב</w:t>
      </w:r>
      <w:r>
        <w:rPr>
          <w:rtl w:val="true"/>
        </w:rPr>
        <w:t>-</w:t>
      </w:r>
      <w:r>
        <w:rPr>
          <w:rtl w:val="true"/>
        </w:rPr>
        <w:t xml:space="preserve">יפו במסגרת </w:t>
      </w:r>
      <w:hyperlink r:id="rId38"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45436-06-16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צווים הנוגעים לתפיסת והחזקת רכושו של המשיב עליו נסוב הערעור דנא</w:t>
      </w:r>
      <w:r>
        <w:rPr>
          <w:rtl w:val="true"/>
        </w:rPr>
        <w:t xml:space="preserve">, </w:t>
      </w:r>
      <w:r>
        <w:rPr>
          <w:rtl w:val="true"/>
        </w:rPr>
        <w:t xml:space="preserve">מכוח </w:t>
      </w:r>
      <w:hyperlink r:id="rId3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מעצר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וחיפוש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5.3.2019</w:t>
      </w:r>
      <w:r>
        <w:rPr>
          <w:rtl w:val="true"/>
        </w:rPr>
        <w:t xml:space="preserve"> </w:t>
      </w:r>
      <w:r>
        <w:rPr>
          <w:rtl w:val="true"/>
        </w:rPr>
        <w:t xml:space="preserve">עתרה המשיבה למתן צווים לפי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 חדש</w:t>
      </w:r>
      <w:r>
        <w:rPr>
          <w:rtl w:val="true"/>
        </w:rPr>
        <w:t xml:space="preserve">),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הסמים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וסעיף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31.3.2019</w:t>
      </w:r>
      <w:r>
        <w:rPr>
          <w:rtl w:val="true"/>
        </w:rPr>
        <w:t xml:space="preserve"> </w:t>
      </w:r>
      <w:r>
        <w:rPr>
          <w:rtl w:val="true"/>
        </w:rPr>
        <w:t>הגיש המערער את הבקשה לשחרור הרכוש התפוס</w:t>
      </w:r>
      <w:r>
        <w:rPr>
          <w:rtl w:val="true"/>
        </w:rPr>
        <w:t xml:space="preserve">, </w:t>
      </w:r>
      <w:r>
        <w:rPr>
          <w:rtl w:val="true"/>
        </w:rPr>
        <w:t>במסגרתה טען כי משעה שהוגש כתב אישום ולא הוגשה יחד עמו בקשה לצו זמני הנוגע להמשך החזקת התפוסים על ידי המבקשת</w:t>
      </w:r>
      <w:r>
        <w:rPr>
          <w:rtl w:val="true"/>
        </w:rPr>
        <w:t xml:space="preserve">, </w:t>
      </w:r>
      <w:r>
        <w:rPr>
          <w:rtl w:val="true"/>
        </w:rPr>
        <w:t>הרכוש הוחזק שלא כדין ועל כן יש ליתן צו מיידי המורה על שחרורו</w:t>
      </w:r>
      <w:r>
        <w:rPr>
          <w:rtl w:val="true"/>
        </w:rPr>
        <w:t xml:space="preserve">. </w:t>
      </w:r>
      <w:r>
        <w:rPr>
          <w:rtl w:val="true"/>
        </w:rPr>
        <w:t>הוא טען כי התפיסה התבצעה תחילה מכוח הפסד</w:t>
      </w:r>
      <w:r>
        <w:rPr>
          <w:rtl w:val="true"/>
        </w:rPr>
        <w:t>"</w:t>
      </w:r>
      <w:r>
        <w:rPr>
          <w:rtl w:val="true"/>
        </w:rPr>
        <w:t xml:space="preserve">פ ואילו במסגרת הבקשה עתרה המשיבה לתפיסה מכוח 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הליך שיש להגיש מיד עם הגשת כתב האישום ולעתור לצו במעמד צד אחד</w:t>
      </w:r>
      <w:r>
        <w:rPr>
          <w:rtl w:val="true"/>
        </w:rPr>
        <w:t xml:space="preserve">. </w:t>
      </w:r>
      <w:r>
        <w:rPr>
          <w:rtl w:val="true"/>
        </w:rPr>
        <w:t xml:space="preserve">המשיבה גרסה בתשובתה כי על תפיסת רכוש חלים שלושה חוקים </w:t>
      </w:r>
      <w:r>
        <w:rPr>
          <w:rtl w:val="true"/>
        </w:rPr>
        <w:t>–</w:t>
      </w:r>
      <w:r>
        <w:rPr>
          <w:rtl w:val="true"/>
        </w:rPr>
        <w:t xml:space="preserve"> הפסד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פקודת הסמים ו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במקביל והם אינם מוציאים זה את זה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לא היה בהגשת כתב אישום כדי להפוך את התפיסה הראשונית לבלתי חוקית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דחה את בקשת המבקש ביום </w:t>
      </w:r>
      <w:r>
        <w:rPr/>
        <w:t>30.4.2019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בהחלטתו קבע כי אמנם</w:t>
      </w:r>
      <w:r>
        <w:rPr>
          <w:rtl w:val="true"/>
        </w:rPr>
        <w:t xml:space="preserve">, </w:t>
      </w:r>
      <w:r>
        <w:rPr>
          <w:rtl w:val="true"/>
        </w:rPr>
        <w:t>כאשר ניתן צו תפיסה לפי הפסד</w:t>
      </w:r>
      <w:r>
        <w:rPr>
          <w:rtl w:val="true"/>
        </w:rPr>
        <w:t>"</w:t>
      </w:r>
      <w:r>
        <w:rPr>
          <w:rtl w:val="true"/>
        </w:rPr>
        <w:t>פ בשלב החקירה</w:t>
      </w:r>
      <w:r>
        <w:rPr>
          <w:rtl w:val="true"/>
        </w:rPr>
        <w:t xml:space="preserve">, </w:t>
      </w:r>
      <w:r>
        <w:rPr>
          <w:rtl w:val="true"/>
        </w:rPr>
        <w:t>יש מקום להגיש בקשה לפי פקודת הסמים ולקיים דיון בה לאחר הגשת כתב האישום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 הכרח לעשות כן מיד עם הגשת כתב האישום אלא רק בתוך זמן סביר בסמוך להגשתו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נוכח התחולה המקבילה של הפסד</w:t>
      </w:r>
      <w:r>
        <w:rPr>
          <w:rtl w:val="true"/>
        </w:rPr>
        <w:t>"</w:t>
      </w:r>
      <w:r>
        <w:rPr>
          <w:rtl w:val="true"/>
        </w:rPr>
        <w:t xml:space="preserve">פ ופקודת הסמים בהליכי חילוט לפי 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תוקפו של צו שניתן לפי הפסד</w:t>
      </w:r>
      <w:r>
        <w:rPr>
          <w:rtl w:val="true"/>
        </w:rPr>
        <w:t>"</w:t>
      </w:r>
      <w:r>
        <w:rPr>
          <w:rtl w:val="true"/>
        </w:rPr>
        <w:t>פ עובר להגשת כתב האישום אינו פוקע עם הגשתו</w:t>
      </w:r>
      <w:r>
        <w:rPr>
          <w:rtl w:val="true"/>
        </w:rPr>
        <w:t xml:space="preserve">, </w:t>
      </w:r>
      <w:r>
        <w:rPr>
          <w:rtl w:val="true"/>
        </w:rPr>
        <w:t>אלא עומד בתוקפו עד לקיום דיון בבקשה לפי פקודת הסמים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29.5.2019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בדיון לפנינו חזרו הצדדים על עמדותיהם כפי שהובאו לפני בית המשפט המחוזי</w:t>
      </w:r>
      <w:r>
        <w:rPr>
          <w:rtl w:val="true"/>
        </w:rPr>
        <w:t xml:space="preserve">. </w:t>
      </w:r>
      <w:r>
        <w:rPr>
          <w:rtl w:val="true"/>
        </w:rPr>
        <w:t>אביאן בתמצית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המערער טען כי שגה בית המשפט המחוזי בקבעו כי צו חילוט זמני שניתן מכוח הפסד</w:t>
      </w:r>
      <w:r>
        <w:rPr>
          <w:rtl w:val="true"/>
        </w:rPr>
        <w:t>"</w:t>
      </w:r>
      <w:r>
        <w:rPr>
          <w:rtl w:val="true"/>
        </w:rPr>
        <w:t>פ ממשיך לחול גם לאחר הגשת כתב האישום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במועד הגשת כתב האישום פוקע צו החילוט הזמני במסלול הפסד</w:t>
      </w:r>
      <w:r>
        <w:rPr>
          <w:rtl w:val="true"/>
        </w:rPr>
        <w:t>"</w:t>
      </w:r>
      <w:r>
        <w:rPr>
          <w:rtl w:val="true"/>
        </w:rPr>
        <w:t>פ שניתן על ידי בית משפט השלום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בד בבד עם הגשת כתב האישום היה על המשיבה להגיש גם בקשה לחילוט מכוח פקודת הסמים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הסתמך על פסיקתו של בית משפט זה </w:t>
      </w:r>
      <w:r>
        <w:rPr>
          <w:rFonts w:ascii="Century" w:hAnsi="Century" w:cs="Century"/>
          <w:rtl w:val="true"/>
        </w:rPr>
        <w:t>ב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1359/17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15.3.2017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ברוך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וטען כי מעמדת המשיבה 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באה לידי ביטוי בפסק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עולה כי התנהלותה במקרה דנא מהווה סטייה מהנוהל אליו התחייבה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לפיו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ככלל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לאחר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הגשת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כתב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אישום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היא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פועלת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בהתאם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להוראות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הקבועות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בפקודת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הסמים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טענה המשיבה כי שני מסלולי התפיסה מאפשרים תפיסה לצורך חילוט לפי 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קרי חילוט בשווי</w:t>
      </w:r>
      <w:r>
        <w:rPr>
          <w:rtl w:val="true"/>
        </w:rPr>
        <w:t xml:space="preserve">. </w:t>
      </w:r>
      <w:r>
        <w:rPr>
          <w:rtl w:val="true"/>
        </w:rPr>
        <w:t>פרשנות זו של החוק נשענת על תכליתו של החוק</w:t>
      </w:r>
      <w:r>
        <w:rPr>
          <w:rtl w:val="true"/>
        </w:rPr>
        <w:t xml:space="preserve">, </w:t>
      </w:r>
      <w:r>
        <w:rPr>
          <w:rtl w:val="true"/>
        </w:rPr>
        <w:t>להילחם בתופעת הלבנת ההון וליתן בידי רשויות אכיפת החוק כלים אפקטיביים למאבק בה</w:t>
      </w:r>
      <w:r>
        <w:rPr>
          <w:rtl w:val="true"/>
        </w:rPr>
        <w:t xml:space="preserve">. </w:t>
      </w:r>
      <w:r>
        <w:rPr>
          <w:rtl w:val="true"/>
        </w:rPr>
        <w:t>עוד טענה המשיבה כי אין בנוהל כדי לשלול את הסמכות המוקנית להחזיק בתפוסים לפי הפסד</w:t>
      </w:r>
      <w:r>
        <w:rPr>
          <w:rtl w:val="true"/>
        </w:rPr>
        <w:t>"</w:t>
      </w:r>
      <w:r>
        <w:rPr>
          <w:rtl w:val="true"/>
        </w:rPr>
        <w:t>פ אף לאחר הגשת כתב אישום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מסמיך את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במקרה בו נאשם הורשע לפי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או </w:t>
      </w:r>
      <w:hyperlink r:id="rId53"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להורות על חילוט רכושו</w:t>
      </w:r>
      <w:r>
        <w:rPr>
          <w:rtl w:val="true"/>
        </w:rPr>
        <w:t xml:space="preserve">, </w:t>
      </w:r>
      <w:r>
        <w:rPr>
          <w:rtl w:val="true"/>
        </w:rPr>
        <w:t>בנוסף לכל עונש</w:t>
      </w:r>
      <w:r>
        <w:rPr>
          <w:rtl w:val="true"/>
        </w:rPr>
        <w:t>, "</w:t>
      </w:r>
      <w:r>
        <w:rPr>
          <w:rtl w:val="true"/>
        </w:rPr>
        <w:t xml:space="preserve">בשווי של רכוש שהוא </w:t>
      </w:r>
      <w:r>
        <w:rPr>
          <w:rtl w:val="true"/>
        </w:rPr>
        <w:t>–</w:t>
      </w:r>
      <w:r>
        <w:rPr>
          <w:rtl w:val="true"/>
        </w:rPr>
        <w:t xml:space="preserve"> רכוש שנעברה בו העבירה</w:t>
      </w:r>
      <w:r>
        <w:rPr>
          <w:rtl w:val="true"/>
        </w:rPr>
        <w:t xml:space="preserve">, </w:t>
      </w:r>
      <w:r>
        <w:rPr>
          <w:rtl w:val="true"/>
        </w:rPr>
        <w:t>וכן רכוש ששימש לביצוע העבירה</w:t>
      </w:r>
      <w:r>
        <w:rPr>
          <w:rtl w:val="true"/>
        </w:rPr>
        <w:t xml:space="preserve">, </w:t>
      </w:r>
      <w:r>
        <w:rPr>
          <w:rtl w:val="true"/>
        </w:rPr>
        <w:t>שאיפשר את ביצועה או שיועד לכך</w:t>
      </w:r>
      <w:r>
        <w:rPr>
          <w:rtl w:val="true"/>
        </w:rPr>
        <w:t xml:space="preserve">; </w:t>
      </w:r>
      <w:r>
        <w:rPr>
          <w:rtl w:val="true"/>
        </w:rPr>
        <w:t>רכוש שהושג במישרין או בעקיפין כשכר העבירה או כתוצאה מביצוע העבירה</w:t>
      </w:r>
      <w:r>
        <w:rPr>
          <w:rtl w:val="true"/>
        </w:rPr>
        <w:t xml:space="preserve">, </w:t>
      </w:r>
      <w:r>
        <w:rPr>
          <w:rtl w:val="true"/>
        </w:rPr>
        <w:t>או שיועד לכך</w:t>
      </w:r>
      <w:r>
        <w:rPr>
          <w:rtl w:val="true"/>
        </w:rPr>
        <w:t xml:space="preserve">". </w:t>
      </w:r>
      <w:r>
        <w:rPr>
          <w:rtl w:val="true"/>
        </w:rPr>
        <w:t>כלי החילוט נקבע במספר דברי חקיקה</w:t>
      </w:r>
      <w:r>
        <w:rPr>
          <w:rtl w:val="true"/>
        </w:rPr>
        <w:t xml:space="preserve">, </w:t>
      </w:r>
      <w:r>
        <w:rPr>
          <w:rtl w:val="true"/>
        </w:rPr>
        <w:t xml:space="preserve">עוד קודם לחקיקתו של 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ביניהם 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פקודת הסמים</w:t>
      </w:r>
      <w:r>
        <w:rPr>
          <w:rtl w:val="true"/>
        </w:rPr>
        <w:t xml:space="preserve">, </w:t>
      </w:r>
      <w:r>
        <w:rPr>
          <w:rtl w:val="true"/>
        </w:rPr>
        <w:t>הפסד</w:t>
      </w:r>
      <w:r>
        <w:rPr>
          <w:rtl w:val="true"/>
        </w:rPr>
        <w:t>"</w:t>
      </w:r>
      <w:r>
        <w:rPr>
          <w:rtl w:val="true"/>
        </w:rPr>
        <w:t>פ ועוד</w:t>
      </w:r>
      <w:r>
        <w:rPr>
          <w:rtl w:val="true"/>
        </w:rPr>
        <w:t xml:space="preserve">, </w:t>
      </w:r>
      <w:r>
        <w:rPr>
          <w:rtl w:val="true"/>
        </w:rPr>
        <w:t>וביסודו עומדות מספר תכליות</w:t>
      </w:r>
      <w:r>
        <w:rPr>
          <w:rtl w:val="true"/>
        </w:rPr>
        <w:t xml:space="preserve">. </w:t>
      </w:r>
      <w:r>
        <w:rPr>
          <w:rtl w:val="true"/>
        </w:rPr>
        <w:t>המרכזית מביניהן היא התכלית הקניינית</w:t>
      </w:r>
      <w:r>
        <w:rPr>
          <w:rtl w:val="true"/>
        </w:rPr>
        <w:t xml:space="preserve">, </w:t>
      </w:r>
      <w:r>
        <w:rPr>
          <w:rtl w:val="true"/>
        </w:rPr>
        <w:t xml:space="preserve">אשר מבקשת </w:t>
      </w:r>
      <w:r>
        <w:rPr>
          <w:rtl w:val="true"/>
        </w:rPr>
        <w:t>"</w:t>
      </w:r>
      <w:r>
        <w:rPr>
          <w:rtl w:val="true"/>
        </w:rPr>
        <w:t>לוודא כי חוטא לא יצא נשכר</w:t>
      </w:r>
      <w:r>
        <w:rPr>
          <w:rtl w:val="true"/>
        </w:rPr>
        <w:t xml:space="preserve">, </w:t>
      </w:r>
      <w:r>
        <w:rPr>
          <w:rtl w:val="true"/>
        </w:rPr>
        <w:t>כי בלעו הבלתי חוקי של אדם יוצא מפיו</w:t>
      </w:r>
      <w:r>
        <w:rPr>
          <w:rtl w:val="true"/>
        </w:rPr>
        <w:t xml:space="preserve">, </w:t>
      </w:r>
      <w:r>
        <w:rPr>
          <w:rtl w:val="true"/>
        </w:rPr>
        <w:t>ולהודיע את העוברים על החוק ואת העבריינים</w:t>
      </w:r>
      <w:r>
        <w:rPr>
          <w:rtl w:val="true"/>
        </w:rPr>
        <w:t>-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שייעשה הכל כדי שלא יתקיים בהם הפסוק כי דרך רשעים צלחה</w:t>
      </w:r>
      <w:r>
        <w:rPr>
          <w:rtl w:val="true"/>
        </w:rPr>
        <w:t>" (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9796/03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טוב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397</w:t>
      </w:r>
      <w:r>
        <w:rPr>
          <w:rtl w:val="true"/>
        </w:rPr>
        <w:t xml:space="preserve">, </w:t>
      </w:r>
      <w:r>
        <w:rPr/>
        <w:t>421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)). </w:t>
      </w:r>
      <w:r>
        <w:rPr>
          <w:rtl w:val="true"/>
        </w:rPr>
        <w:t>תכלית נוספת עליה עמדה הפסיקה היא התכלית ההרתעתית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לחילוט נודעת חשיבות רבה מן ההיבט הנורמטיבי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החילוט מעביר מסר לעבריין ולחברה בכללותה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לפיו העבירות שביצע העבריין הן חמורות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המדינה איננה סובלנית כלפי התנהגויות שכאלה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המסר ההרתעתי מועבר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לסביבתו של העבריין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הנוכחת לראות ולהבין כי מהעבריין נשלל הרווח שהפיק מפעילותו העבריינית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הרווח שנשלל איננו רק הרכוש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המוכתם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גם כל רכוש אחר של העבריין עד לשווי הרכוש ש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הוכתם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ואף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במצבים מסוימים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רכוש שהעביר העבריין לצד שלישי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אמירה נורמטיבית זו חשובה כשלעצמה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ומהווה אמצעי רב עוצמה במסגרת המלחמה בפשיעה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לעיתים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המסר הנורמטיבי שמועבר באמצעות הליך החילוט חזק עוד יותר מן המסר המועבר באמצעות ההליך הפלילי לעצמו</w:t>
      </w:r>
      <w:r>
        <w:rPr>
          <w:rFonts w:cs="Century" w:ascii="Century" w:hAnsi="Century"/>
          <w:rtl w:val="true"/>
        </w:rPr>
        <w:t>" (</w:t>
      </w:r>
      <w:hyperlink r:id="rId5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6212/14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8.1.2016</w:t>
      </w:r>
      <w:r>
        <w:rPr>
          <w:rFonts w:cs="Century" w:ascii="Century" w:hAnsi="Century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hyperlink r:id="rId5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מאפשר לחלט גם רכוש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בשווי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הרכוש הקשור בעבירה לפי החוק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ואין צורך שלרכוש המחולט עצמו יהיה קשר לביצוע העבירה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6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6889/11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14.5.2012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6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2333/07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תענך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257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12.7.2010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יעל גרוסמן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רוני בלקין וסאלי ליכט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להלכה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ולמעשה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128-127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מהדורה שנייה מורחבת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2013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וליכט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rtl w:val="true"/>
        </w:rPr>
        <w:t>אפשרות החילוט של רכוש בשווי מרחיבה את סמכות החילוט ב</w:t>
      </w:r>
      <w:hyperlink r:id="rId6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ascii="Century" w:hAnsi="Century" w:cs="Century"/>
          <w:rtl w:val="true"/>
        </w:rPr>
        <w:t xml:space="preserve"> על פני מקבילתה </w:t>
      </w:r>
      <w:hyperlink r:id="rId63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36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לפקודת הסמים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שם נדרשת זיקה בין הרכוש המחולט לבין ביצוע העבירות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6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4526/18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אלוביץ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5.8.2018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אלוביץ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מטרת</w:t>
      </w:r>
      <w:r>
        <w:rPr>
          <w:rtl w:val="true"/>
        </w:rPr>
        <w:t xml:space="preserve"> החילוט בשווי היא לאיין את הרווח הכספי</w:t>
      </w:r>
      <w:r>
        <w:rPr>
          <w:rtl w:val="true"/>
        </w:rPr>
        <w:t xml:space="preserve">, </w:t>
      </w:r>
      <w:r>
        <w:rPr>
          <w:rtl w:val="true"/>
        </w:rPr>
        <w:t>המהווה מניע מרכזי לביצוע עבירות</w:t>
      </w:r>
      <w:r>
        <w:rPr>
          <w:rtl w:val="true"/>
        </w:rPr>
        <w:t xml:space="preserve">, </w:t>
      </w:r>
      <w:r>
        <w:rPr>
          <w:rtl w:val="true"/>
        </w:rPr>
        <w:t>וכן אמצעי להילחם</w:t>
      </w:r>
      <w:r>
        <w:rPr>
          <w:rtl w:val="true"/>
        </w:rPr>
        <w:t xml:space="preserve">, </w:t>
      </w:r>
      <w:r>
        <w:rPr>
          <w:rtl w:val="true"/>
        </w:rPr>
        <w:t>באופן עקיף</w:t>
      </w:r>
      <w:r>
        <w:rPr>
          <w:rtl w:val="true"/>
        </w:rPr>
        <w:t xml:space="preserve">, </w:t>
      </w:r>
      <w:r>
        <w:rPr>
          <w:rtl w:val="true"/>
        </w:rPr>
        <w:t>בעבירות המקור שהלבנת ההון נועדה להסתיר ו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בא לעולם על מנת להתמודד עימן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6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6145/15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25.10.2015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פישר</w:t>
      </w:r>
      <w:r>
        <w:rPr>
          <w:rFonts w:cs="Century" w:ascii="Century" w:hAnsi="Century"/>
          <w:sz w:val="22"/>
          <w:rtl w:val="true"/>
        </w:rPr>
        <w:t>)).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פי גישת הפסיקה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החילוט בשווי משרת את שתי התכליות שצוינו לעיל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התכלית הקניינית והתכלית ההרתעתית </w:t>
      </w:r>
      <w:r>
        <w:rPr>
          <w:rFonts w:cs="Century" w:ascii="Century" w:hAnsi="Century"/>
          <w:rtl w:val="true"/>
        </w:rPr>
        <w:t>(</w:t>
      </w:r>
      <w:hyperlink r:id="rId6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8312/17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ברהמי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17.4.2018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חילוטו הסופי של הרכוש מתבצע בסופו של ההליך הפלילי</w:t>
      </w:r>
      <w:r>
        <w:rPr>
          <w:rtl w:val="true"/>
        </w:rPr>
        <w:t xml:space="preserve">, </w:t>
      </w:r>
      <w:r>
        <w:rPr>
          <w:rtl w:val="true"/>
        </w:rPr>
        <w:t>לאחר הרשעה</w:t>
      </w:r>
      <w:r>
        <w:rPr>
          <w:rtl w:val="true"/>
        </w:rPr>
        <w:t xml:space="preserve">. </w:t>
      </w:r>
      <w:r>
        <w:rPr>
          <w:rtl w:val="true"/>
        </w:rPr>
        <w:t>בשלב החקירה</w:t>
      </w:r>
      <w:r>
        <w:rPr>
          <w:rtl w:val="true"/>
        </w:rPr>
        <w:t xml:space="preserve">, </w:t>
      </w:r>
      <w:r>
        <w:rPr>
          <w:rtl w:val="true"/>
        </w:rPr>
        <w:t>לפני הגשת כתב אישום או במהלך ניהול המשפט רשאי בית המשפט להעניק סעדים זמניים</w:t>
      </w:r>
      <w:r>
        <w:rPr>
          <w:rtl w:val="true"/>
        </w:rPr>
        <w:t xml:space="preserve">, </w:t>
      </w:r>
      <w:r>
        <w:rPr>
          <w:rtl w:val="true"/>
        </w:rPr>
        <w:t>כגון חילוט זמני של רכוש</w:t>
      </w:r>
      <w:r>
        <w:rPr>
          <w:rtl w:val="true"/>
        </w:rPr>
        <w:t xml:space="preserve">, </w:t>
      </w:r>
      <w:r>
        <w:rPr>
          <w:rtl w:val="true"/>
        </w:rPr>
        <w:t>מתן ערבויות</w:t>
      </w:r>
      <w:r>
        <w:rPr>
          <w:rtl w:val="true"/>
        </w:rPr>
        <w:t xml:space="preserve">, </w:t>
      </w:r>
      <w:r>
        <w:rPr>
          <w:rtl w:val="true"/>
        </w:rPr>
        <w:t>עיקול 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מטרתם של הסעדים הזמניים היא שמירת מצבת נכסיו של החשוד או הנאשם ומניעת הברחה או העלמה של רכוש אשר יסכלו את האפשרות לבצע חילוט סופי</w:t>
      </w:r>
      <w:r>
        <w:rPr>
          <w:rtl w:val="true"/>
        </w:rPr>
        <w:t xml:space="preserve">, </w:t>
      </w:r>
      <w:r>
        <w:rPr>
          <w:rtl w:val="true"/>
        </w:rPr>
        <w:t xml:space="preserve">ככל שההליך הפלילי יסתיים בהרשעה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8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6817/07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סיטבון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31.10.2007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סיטבון</w:t>
      </w:r>
      <w:r>
        <w:rPr>
          <w:rFonts w:cs="Century" w:ascii="Century" w:hAnsi="Century"/>
          <w:sz w:val="22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גרוסמן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וליכט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187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תפישת רכוש על מנת להבטיח את אפשרות החילוט בעתיד</w:t>
      </w:r>
      <w:r>
        <w:rPr>
          <w:rtl w:val="true"/>
        </w:rPr>
        <w:t xml:space="preserve">, </w:t>
      </w:r>
      <w:r>
        <w:rPr>
          <w:rtl w:val="true"/>
        </w:rPr>
        <w:t>בשלב בו ההליך הפלילי עוד מתנהל ולנאשם עומדת חזקת חפות</w:t>
      </w:r>
      <w:r>
        <w:rPr>
          <w:rtl w:val="true"/>
        </w:rPr>
        <w:t xml:space="preserve">, </w:t>
      </w:r>
      <w:r>
        <w:rPr>
          <w:rtl w:val="true"/>
        </w:rPr>
        <w:t>הינה צעד דרסטי השולל מבעל הרכוש את האפשרות לעשות שימוש בקניינו</w:t>
      </w:r>
      <w:r>
        <w:rPr>
          <w:rtl w:val="true"/>
        </w:rPr>
        <w:t xml:space="preserve">, </w:t>
      </w:r>
      <w:r>
        <w:rPr>
          <w:rtl w:val="true"/>
        </w:rPr>
        <w:t>לעיתים למשך תקופה ארוכה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בבואו להעניק סעדים זמניים נדרש בית המשפט </w:t>
      </w:r>
      <w:r>
        <w:rPr>
          <w:rtl w:val="true"/>
        </w:rPr>
        <w:t>"</w:t>
      </w:r>
      <w:r>
        <w:rPr>
          <w:rtl w:val="true"/>
        </w:rPr>
        <w:t xml:space="preserve">לבחון את דיות הראיות במישור הלכאורי ולהשתכנע כי קיים </w:t>
      </w:r>
      <w:r>
        <w:rPr>
          <w:rtl w:val="true"/>
        </w:rPr>
        <w:t>'</w:t>
      </w:r>
      <w:r>
        <w:rPr>
          <w:rtl w:val="true"/>
        </w:rPr>
        <w:t>פוטנציאל חילוט</w:t>
      </w:r>
      <w:r>
        <w:rPr>
          <w:rtl w:val="true"/>
        </w:rPr>
        <w:t xml:space="preserve">' </w:t>
      </w:r>
      <w:r>
        <w:rPr>
          <w:rtl w:val="true"/>
        </w:rPr>
        <w:t>במובן זה שהראיות לכאורה מקימות סיכוי סביר לכך שבתום ההליך הפלילי יורשע הנאשם בעבירות המיוחסות לו וכי בעקבות אותה הרשעה ניתן יהיה להורות על חילוט רכוש</w:t>
      </w:r>
      <w:r>
        <w:rPr>
          <w:rtl w:val="true"/>
        </w:rPr>
        <w:t>" (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אוסקר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29.8.2013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כמו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נוכח הפגיעה בקניין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נדרש בית המשפט לבחון</w:t>
      </w:r>
      <w:r>
        <w:rPr>
          <w:rtl w:val="true"/>
        </w:rPr>
        <w:t xml:space="preserve"> אם ניתן לנקוט באמצעים חלופיים</w:t>
      </w:r>
      <w:r>
        <w:rPr>
          <w:rtl w:val="true"/>
        </w:rPr>
        <w:t xml:space="preserve">, </w:t>
      </w:r>
      <w:r>
        <w:rPr>
          <w:rtl w:val="true"/>
        </w:rPr>
        <w:t>שדי בהם כדי להבטיח אפשרות החילוט או השגת תכליתו בעתיד</w:t>
      </w:r>
      <w:r>
        <w:rPr>
          <w:rtl w:val="true"/>
        </w:rPr>
        <w:t xml:space="preserve">, </w:t>
      </w:r>
      <w:r>
        <w:rPr>
          <w:rtl w:val="true"/>
        </w:rPr>
        <w:t xml:space="preserve">תוך פגיעה פחותה בקניינו של בעל הרכוש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סיטבון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).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נדרש בית המשפט לערוך איזון ראוי בין זכות הקניין של הנאשם או החשוד לבין האינטרס הציבורי שבהבטחת החילוט בסופו של ההליך הפלילי</w:t>
      </w:r>
      <w:r>
        <w:rPr>
          <w:rtl w:val="true"/>
        </w:rPr>
        <w:t xml:space="preserve">, </w:t>
      </w:r>
      <w:r>
        <w:rPr>
          <w:rtl w:val="true"/>
        </w:rPr>
        <w:t xml:space="preserve">ובשלב הסעד הזמני יש לנקוט זהירות ומידתיות בקביעת היקף החילוט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אהוד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11.8.2019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באופן ספציפי</w:t>
      </w:r>
      <w:r>
        <w:rPr>
          <w:rtl w:val="true"/>
        </w:rPr>
        <w:t xml:space="preserve">, </w:t>
      </w:r>
      <w:r>
        <w:rPr>
          <w:rtl w:val="true"/>
        </w:rPr>
        <w:t xml:space="preserve">בעוד </w:t>
      </w:r>
      <w:hyperlink r:id="rId71">
        <w:r>
          <w:rPr>
            <w:rStyle w:val="Hyperlink"/>
            <w:rtl w:val="true"/>
          </w:rPr>
          <w:t>שסעיף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עננינו בחילוט רכוש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החוק מתווה שני מסלולי תפיסה אפשריים ו</w:t>
      </w:r>
      <w:r>
        <w:rPr>
          <w:rtl w:val="true"/>
        </w:rPr>
        <w:t>"</w:t>
      </w:r>
      <w:r>
        <w:rPr>
          <w:rtl w:val="true"/>
        </w:rPr>
        <w:t>זמניים</w:t>
      </w:r>
      <w:r>
        <w:rPr>
          <w:rtl w:val="true"/>
        </w:rPr>
        <w:t xml:space="preserve">" </w:t>
      </w:r>
      <w:r>
        <w:rPr>
          <w:rtl w:val="true"/>
        </w:rPr>
        <w:t>לצורך חילוט עתידי של תפוסים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 xml:space="preserve">מסלול התפיסה הראשון הוא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הפסד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הקבוע </w:t>
      </w:r>
      <w:hyperlink r:id="rId73">
        <w:r>
          <w:rPr>
            <w:rStyle w:val="Hyperlink"/>
            <w:sz w:val="28"/>
            <w:sz w:val="28"/>
            <w:rtl w:val="true"/>
          </w:rPr>
          <w:t>בסעיף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26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7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איסור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הלבנת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הון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המחיל את סמכויות החיפוש והתפיסה לפי הפסד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 xml:space="preserve">פ ובכלל זה את </w:t>
      </w:r>
      <w:hyperlink r:id="rId75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32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לפסד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הקובע כך</w:t>
      </w:r>
      <w:r>
        <w:rPr>
          <w:sz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>".</w:t>
      </w:r>
    </w:p>
    <w:p>
      <w:pPr>
        <w:pStyle w:val="Ruller5"/>
        <w:ind w:end="1282"/>
        <w:jc w:val="both"/>
        <w:rPr>
          <w:sz w:val="36"/>
          <w:szCs w:val="44"/>
        </w:rPr>
      </w:pPr>
      <w:r>
        <w:rPr>
          <w:sz w:val="36"/>
          <w:szCs w:val="4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: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; </w:t>
      </w:r>
      <w:r>
        <w:rPr>
          <w:rtl w:val="true"/>
        </w:rPr>
        <w:t>שבאותו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; </w:t>
      </w:r>
      <w:r>
        <w:rPr>
          <w:rtl w:val="true"/>
        </w:rPr>
        <w:t>שהחפץ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; </w:t>
      </w:r>
      <w:r>
        <w:rPr>
          <w:rtl w:val="true"/>
        </w:rPr>
        <w:t>שהחפץ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: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נעברה</w:t>
      </w:r>
      <w:r>
        <w:rPr>
          <w:rtl w:val="true"/>
        </w:rPr>
        <w:t xml:space="preserve">;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tl w:val="true"/>
        </w:rPr>
        <w:t xml:space="preserve">;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אלוביץ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; </w:t>
      </w:r>
      <w:hyperlink r:id="rId7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8009/07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מיכאל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עבודות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ופיתוח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14.2.2008</w:t>
      </w:r>
      <w:r>
        <w:rPr>
          <w:rFonts w:cs="Century" w:ascii="Century" w:hAnsi="Century"/>
          <w:rtl w:val="true"/>
        </w:rPr>
        <w:t xml:space="preserve">); </w:t>
      </w:r>
      <w:hyperlink r:id="rId7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7600/08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7.4.2009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לכאורה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תפיסת רכוש בשווי אינה נמנית על אחת החלופות המפורטות בסעיף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עמד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cs="Century"/>
          <w:rtl w:val="true"/>
        </w:rPr>
        <w:t xml:space="preserve"> על עילת תפיסה שישית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הרלוונטית לתפיסה מכוח </w:t>
      </w:r>
      <w:hyperlink r:id="rId7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אמר</w:t>
      </w:r>
      <w:r>
        <w:rPr>
          <w:rFonts w:cs="Century" w:ascii="Century" w:hAnsi="Century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עילת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מוזכרת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hyperlink r:id="rId8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בשווי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בהגיענו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Fonts w:cs="Century" w:ascii="Century" w:hAnsi="Century"/>
          <w:rtl w:val="true"/>
        </w:rPr>
        <w:t>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sz w:val="28"/>
          <w:sz w:val="28"/>
          <w:rtl w:val="true"/>
        </w:rPr>
        <w:t xml:space="preserve">מסלול התפיסה השני הוא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הסמים</w:t>
      </w:r>
      <w:r>
        <w:rPr>
          <w:rFonts w:cs="Century" w:ascii="Century" w:hAnsi="Century"/>
          <w:sz w:val="22"/>
          <w:rtl w:val="true"/>
        </w:rPr>
        <w:t xml:space="preserve">. </w:t>
      </w:r>
      <w:hyperlink r:id="rId81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23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8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הון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קובע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על חילוט רכוש ועל רכוש שחולט לפי חוק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וכן על קנסות שהוטלו על פיו יחולו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בשינויים המחויבים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הוראות </w:t>
      </w:r>
      <w:hyperlink r:id="rId8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</w:t>
      </w:r>
      <w:hyperlink r:id="rId8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הסמים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המסוכנים</w:t>
        </w:r>
      </w:hyperlink>
      <w:r>
        <w:rPr>
          <w:rFonts w:cs="Century" w:ascii="Century" w:hAnsi="Century"/>
          <w:sz w:val="22"/>
          <w:rtl w:val="true"/>
        </w:rPr>
        <w:t xml:space="preserve">...". </w:t>
      </w:r>
      <w:r>
        <w:rPr>
          <w:rFonts w:ascii="Century" w:hAnsi="Century" w:cs="Century"/>
          <w:sz w:val="22"/>
          <w:sz w:val="22"/>
          <w:rtl w:val="true"/>
        </w:rPr>
        <w:t>לענייננו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רלוונטיות הוראות </w:t>
      </w:r>
      <w:hyperlink r:id="rId8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)-(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העוסקות בסעדים לחילוט רכוש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5"/>
        <w:ind w:end="1282"/>
        <w:jc w:val="both"/>
        <w:rPr>
          <w:rStyle w:val="default"/>
          <w:sz w:val="28"/>
        </w:rPr>
      </w:pPr>
      <w:r>
        <w:rPr>
          <w:rtl w:val="true"/>
        </w:rPr>
      </w:r>
    </w:p>
    <w:p>
      <w:pPr>
        <w:pStyle w:val="Ruller5"/>
        <w:ind w:end="1282"/>
        <w:jc w:val="both"/>
        <w:rPr>
          <w:rStyle w:val="default"/>
          <w:sz w:val="28"/>
        </w:rPr>
      </w:pPr>
      <w:r>
        <w:rPr>
          <w:rStyle w:val="default"/>
          <w:sz w:val="28"/>
          <w:rtl w:val="true"/>
        </w:rPr>
        <w:t>"(</w:t>
      </w:r>
      <w:r>
        <w:rPr>
          <w:rStyle w:val="default"/>
          <w:sz w:val="28"/>
          <w:sz w:val="28"/>
          <w:rtl w:val="true"/>
        </w:rPr>
        <w:t>א</w:t>
      </w:r>
      <w:r>
        <w:rPr>
          <w:rStyle w:val="default"/>
          <w:sz w:val="28"/>
          <w:rtl w:val="true"/>
        </w:rPr>
        <w:t xml:space="preserve">) </w:t>
      </w:r>
      <w:r>
        <w:rPr>
          <w:rStyle w:val="default"/>
          <w:sz w:val="28"/>
          <w:sz w:val="28"/>
          <w:rtl w:val="true"/>
        </w:rPr>
        <w:t>הוגש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כתב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אישום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הוגשה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בקשה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לחילוט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אזרחי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רשאי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בית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המשפט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על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פי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בקשה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חתומה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בידי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פרקליט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מחוז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המפרטת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הרכוש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שאת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חילוטו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מבקשים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לתת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צו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זמני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בדבר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–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מתן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ערבויות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מטעם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הנאשם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אדם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אחר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המחזיק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ברכוש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צוי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מניעה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צוי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עיקול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הוראות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בדבר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צעדים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אחרים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שיבטיחו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האפשרות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מימוש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החילוט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לרבות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הוראות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לאפוטרופוס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הכללי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לאדם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אחר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בדבר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ניהול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זמני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הרכוש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rtl w:val="true"/>
        </w:rPr>
        <w:t>(</w:t>
      </w:r>
      <w:r>
        <w:rPr>
          <w:rStyle w:val="default"/>
          <w:sz w:val="28"/>
          <w:sz w:val="28"/>
          <w:rtl w:val="true"/>
        </w:rPr>
        <w:t>להלן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בסעיף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זה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–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צו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זמני</w:t>
      </w:r>
      <w:r>
        <w:rPr>
          <w:rStyle w:val="default"/>
          <w:sz w:val="28"/>
          <w:rtl w:val="true"/>
        </w:rPr>
        <w:t xml:space="preserve">); </w:t>
      </w:r>
      <w:r>
        <w:rPr>
          <w:rStyle w:val="default"/>
          <w:sz w:val="28"/>
          <w:sz w:val="28"/>
          <w:rtl w:val="true"/>
        </w:rPr>
        <w:t>לענין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זה</w:t>
      </w:r>
      <w:r>
        <w:rPr>
          <w:rStyle w:val="default"/>
          <w:sz w:val="28"/>
          <w:rtl w:val="true"/>
        </w:rPr>
        <w:t>, "</w:t>
      </w:r>
      <w:r>
        <w:rPr>
          <w:rStyle w:val="default"/>
          <w:sz w:val="28"/>
          <w:sz w:val="28"/>
          <w:rtl w:val="true"/>
        </w:rPr>
        <w:t>בית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המשפט</w:t>
      </w:r>
      <w:r>
        <w:rPr>
          <w:rStyle w:val="default"/>
          <w:sz w:val="28"/>
          <w:rtl w:val="true"/>
        </w:rPr>
        <w:t xml:space="preserve">" </w:t>
      </w:r>
      <w:r>
        <w:rPr>
          <w:rStyle w:val="default"/>
          <w:rFonts w:eastAsia="FrankRuehl" w:ascii="FrankRuehl" w:hAnsi="FrankRuehl"/>
          <w:sz w:val="28"/>
          <w:rtl w:val="true"/>
        </w:rPr>
        <w:t>–</w:t>
      </w:r>
      <w:r>
        <w:rPr>
          <w:rStyle w:val="default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בית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המשפט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שלפניו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הוגשו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כתב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האישום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התובענה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לפי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הענין</w:t>
      </w:r>
      <w:r>
        <w:rPr>
          <w:rStyle w:val="default"/>
          <w:sz w:val="28"/>
          <w:rtl w:val="true"/>
        </w:rPr>
        <w:t xml:space="preserve">. </w:t>
      </w:r>
    </w:p>
    <w:p>
      <w:pPr>
        <w:pStyle w:val="Ruller5"/>
        <w:ind w:start="2004" w:end="1282"/>
        <w:jc w:val="both"/>
        <w:rPr>
          <w:rStyle w:val="default"/>
          <w:sz w:val="28"/>
        </w:rPr>
      </w:pPr>
      <w:r>
        <w:rPr>
          <w:rtl w:val="true"/>
        </w:rPr>
      </w:r>
    </w:p>
    <w:p>
      <w:pPr>
        <w:pStyle w:val="Ruller5"/>
        <w:ind w:end="1282"/>
        <w:jc w:val="both"/>
        <w:rPr>
          <w:rStyle w:val="default"/>
          <w:sz w:val="28"/>
        </w:rPr>
      </w:pPr>
      <w:r>
        <w:rPr>
          <w:rStyle w:val="default"/>
          <w:sz w:val="28"/>
          <w:rtl w:val="true"/>
        </w:rPr>
        <w:t>(</w:t>
      </w:r>
      <w:r>
        <w:rPr>
          <w:rStyle w:val="default"/>
          <w:sz w:val="28"/>
          <w:sz w:val="28"/>
          <w:rtl w:val="true"/>
        </w:rPr>
        <w:t>ב</w:t>
      </w:r>
      <w:r>
        <w:rPr>
          <w:rStyle w:val="default"/>
          <w:sz w:val="28"/>
          <w:rtl w:val="true"/>
        </w:rPr>
        <w:t xml:space="preserve">) </w:t>
      </w:r>
      <w:r>
        <w:rPr>
          <w:rStyle w:val="default"/>
          <w:sz w:val="28"/>
          <w:sz w:val="28"/>
          <w:rtl w:val="true"/>
        </w:rPr>
        <w:t>בית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משפט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מחוזי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רשאי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לתת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צו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זמני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כאמור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בסעיף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קטן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rtl w:val="true"/>
        </w:rPr>
        <w:t>(</w:t>
      </w:r>
      <w:r>
        <w:rPr>
          <w:rStyle w:val="default"/>
          <w:sz w:val="28"/>
          <w:sz w:val="28"/>
          <w:rtl w:val="true"/>
        </w:rPr>
        <w:t>א</w:t>
      </w:r>
      <w:r>
        <w:rPr>
          <w:rStyle w:val="default"/>
          <w:sz w:val="28"/>
          <w:rtl w:val="true"/>
        </w:rPr>
        <w:t xml:space="preserve">), </w:t>
      </w:r>
      <w:r>
        <w:rPr>
          <w:rStyle w:val="default"/>
          <w:sz w:val="28"/>
          <w:sz w:val="28"/>
          <w:rtl w:val="true"/>
        </w:rPr>
        <w:t>בטרם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הוגש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כתב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אישום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בטרם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הוגשה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בקשה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לחילוט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אזרחי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על</w:t>
      </w:r>
      <w:r>
        <w:rPr>
          <w:rStyle w:val="default"/>
          <w:sz w:val="28"/>
          <w:rtl w:val="true"/>
        </w:rPr>
        <w:t>-</w:t>
      </w:r>
      <w:r>
        <w:rPr>
          <w:rStyle w:val="default"/>
          <w:sz w:val="28"/>
          <w:sz w:val="28"/>
          <w:rtl w:val="true"/>
        </w:rPr>
        <w:t>פי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בקשה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חתומה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בידי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פרקליט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מחוז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הנתמכת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בתצהיר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יש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יסוד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סביר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להניח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שהרכוש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שלגביו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מבקשים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הצו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עלול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להיעלם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שעלולים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לעשות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פעולות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שימנעו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מימוש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החילוט</w:t>
      </w:r>
      <w:r>
        <w:rPr>
          <w:rStyle w:val="default"/>
          <w:sz w:val="28"/>
          <w:rtl w:val="true"/>
        </w:rPr>
        <w:t xml:space="preserve">; </w:t>
      </w:r>
      <w:r>
        <w:rPr>
          <w:rStyle w:val="default"/>
          <w:sz w:val="28"/>
          <w:sz w:val="28"/>
          <w:rtl w:val="true"/>
        </w:rPr>
        <w:t>תקפו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צו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זמני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לפי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סעיף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קטן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זה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יפקע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לא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הוגש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כתב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אישום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תשעים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יום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מיום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שניתן</w:t>
      </w:r>
      <w:r>
        <w:rPr>
          <w:rStyle w:val="default"/>
          <w:sz w:val="28"/>
          <w:rtl w:val="true"/>
        </w:rPr>
        <w:t xml:space="preserve">. </w:t>
      </w:r>
    </w:p>
    <w:p>
      <w:pPr>
        <w:pStyle w:val="Ruller5"/>
        <w:ind w:end="1282"/>
        <w:jc w:val="both"/>
        <w:rPr>
          <w:rStyle w:val="default"/>
          <w:sz w:val="28"/>
        </w:rPr>
      </w:pPr>
      <w:r>
        <w:rPr>
          <w:rtl w:val="true"/>
        </w:rPr>
      </w:r>
    </w:p>
    <w:p>
      <w:pPr>
        <w:pStyle w:val="Ruller5"/>
        <w:ind w:end="1282"/>
        <w:jc w:val="both"/>
        <w:rPr>
          <w:rStyle w:val="default"/>
          <w:sz w:val="28"/>
        </w:rPr>
      </w:pPr>
      <w:r>
        <w:rPr>
          <w:rStyle w:val="default"/>
          <w:sz w:val="28"/>
          <w:rtl w:val="true"/>
        </w:rPr>
        <w:t>(</w:t>
      </w:r>
      <w:r>
        <w:rPr>
          <w:rStyle w:val="default"/>
          <w:sz w:val="28"/>
          <w:sz w:val="28"/>
          <w:rtl w:val="true"/>
        </w:rPr>
        <w:t>ג</w:t>
      </w:r>
      <w:r>
        <w:rPr>
          <w:rStyle w:val="default"/>
          <w:sz w:val="28"/>
          <w:rtl w:val="true"/>
        </w:rPr>
        <w:t xml:space="preserve">) </w:t>
      </w:r>
      <w:r>
        <w:rPr>
          <w:rStyle w:val="default"/>
          <w:sz w:val="28"/>
          <w:sz w:val="28"/>
          <w:rtl w:val="true"/>
        </w:rPr>
        <w:t>בית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המשפט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רשאי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לתת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צו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זמני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כאמור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בסעיפים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קטנים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rtl w:val="true"/>
        </w:rPr>
        <w:t>(</w:t>
      </w:r>
      <w:r>
        <w:rPr>
          <w:rStyle w:val="default"/>
          <w:sz w:val="28"/>
          <w:sz w:val="28"/>
          <w:rtl w:val="true"/>
        </w:rPr>
        <w:t>א</w:t>
      </w:r>
      <w:r>
        <w:rPr>
          <w:rStyle w:val="default"/>
          <w:sz w:val="28"/>
          <w:rtl w:val="true"/>
        </w:rPr>
        <w:t xml:space="preserve">) </w:t>
      </w:r>
      <w:r>
        <w:rPr>
          <w:rStyle w:val="default"/>
          <w:sz w:val="28"/>
          <w:sz w:val="28"/>
          <w:rtl w:val="true"/>
        </w:rPr>
        <w:t>ו</w:t>
      </w:r>
      <w:r>
        <w:rPr>
          <w:rStyle w:val="default"/>
          <w:sz w:val="28"/>
          <w:rtl w:val="true"/>
        </w:rPr>
        <w:t>-(</w:t>
      </w:r>
      <w:r>
        <w:rPr>
          <w:rStyle w:val="default"/>
          <w:sz w:val="28"/>
          <w:sz w:val="28"/>
          <w:rtl w:val="true"/>
        </w:rPr>
        <w:t>ב</w:t>
      </w:r>
      <w:r>
        <w:rPr>
          <w:rStyle w:val="default"/>
          <w:sz w:val="28"/>
          <w:rtl w:val="true"/>
        </w:rPr>
        <w:t xml:space="preserve">) </w:t>
      </w:r>
      <w:r>
        <w:rPr>
          <w:rStyle w:val="default"/>
          <w:sz w:val="28"/>
          <w:sz w:val="28"/>
          <w:rtl w:val="true"/>
        </w:rPr>
        <w:t>גם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במעמד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צד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אחד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אם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סבר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שיש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חשש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לעשיה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מיידית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ברכוש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שתכשיל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חילוטו</w:t>
      </w:r>
      <w:r>
        <w:rPr>
          <w:rStyle w:val="default"/>
          <w:sz w:val="28"/>
          <w:rtl w:val="true"/>
        </w:rPr>
        <w:t xml:space="preserve">; </w:t>
      </w:r>
      <w:r>
        <w:rPr>
          <w:rStyle w:val="default"/>
          <w:sz w:val="28"/>
          <w:sz w:val="28"/>
          <w:rtl w:val="true"/>
        </w:rPr>
        <w:t>תקפו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צו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זמני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שניתן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במעמד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צד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אחד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לא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יעלה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על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עשרה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ימים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והבקשה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תישמע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במעמד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הצדדים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בהקדם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האפשרי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ותוך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תקופת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תקפו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הצו</w:t>
      </w:r>
      <w:r>
        <w:rPr>
          <w:rStyle w:val="default"/>
          <w:sz w:val="28"/>
          <w:rtl w:val="true"/>
        </w:rPr>
        <w:t xml:space="preserve">; </w:t>
      </w:r>
      <w:r>
        <w:rPr>
          <w:rStyle w:val="default"/>
          <w:sz w:val="28"/>
          <w:sz w:val="28"/>
          <w:rtl w:val="true"/>
        </w:rPr>
        <w:t>בית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המשפט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רשאי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מנימוקים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שיירשמו</w:t>
      </w:r>
      <w:r>
        <w:rPr>
          <w:rStyle w:val="default"/>
          <w:sz w:val="28"/>
          <w:rtl w:val="true"/>
        </w:rPr>
        <w:t xml:space="preserve">, </w:t>
      </w:r>
      <w:r>
        <w:rPr>
          <w:rStyle w:val="default"/>
          <w:sz w:val="28"/>
          <w:sz w:val="28"/>
          <w:rtl w:val="true"/>
        </w:rPr>
        <w:t>להאריך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תקפו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צו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זמני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שניתן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במעמד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צד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אחד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לתקופה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נוספת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שלא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תעלה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על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עשרה</w:t>
      </w:r>
      <w:r>
        <w:rPr>
          <w:rStyle w:val="default"/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ימים</w:t>
      </w:r>
      <w:r>
        <w:rPr>
          <w:rStyle w:val="default"/>
          <w:sz w:val="28"/>
          <w:rtl w:val="true"/>
        </w:rPr>
        <w:t>".</w:t>
      </w:r>
    </w:p>
    <w:p>
      <w:pPr>
        <w:pStyle w:val="Ruller5"/>
        <w:ind w:end="1282"/>
        <w:jc w:val="both"/>
        <w:rPr>
          <w:rStyle w:val="default"/>
          <w:sz w:val="28"/>
        </w:rPr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tl w:val="true"/>
        </w:rPr>
        <w:t>מכוח סעיף זה</w:t>
      </w:r>
      <w:r>
        <w:rPr>
          <w:rtl w:val="true"/>
        </w:rPr>
        <w:t xml:space="preserve">, </w:t>
      </w:r>
      <w:r>
        <w:rPr>
          <w:rtl w:val="true"/>
        </w:rPr>
        <w:t xml:space="preserve">ניתן להוציא צו חילוט לאחר כתב אישום או לפני כתב אישום </w:t>
      </w:r>
      <w:r>
        <w:rPr>
          <w:rtl w:val="true"/>
        </w:rPr>
        <w:t>–</w:t>
      </w:r>
      <w:r>
        <w:rPr>
          <w:rtl w:val="true"/>
        </w:rPr>
        <w:t xml:space="preserve"> אך במקרה האחרון</w:t>
      </w:r>
      <w:r>
        <w:rPr>
          <w:rtl w:val="true"/>
        </w:rPr>
        <w:t xml:space="preserve">, </w:t>
      </w:r>
      <w:r>
        <w:rPr>
          <w:rtl w:val="true"/>
        </w:rPr>
        <w:t xml:space="preserve">צו התפיסה הזמני יעמוד בתוקף למשך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 בלבד</w:t>
      </w:r>
      <w:r>
        <w:rPr>
          <w:rtl w:val="true"/>
        </w:rPr>
        <w:t xml:space="preserve">, </w:t>
      </w:r>
      <w:r>
        <w:rPr>
          <w:rtl w:val="true"/>
        </w:rPr>
        <w:t>עד להגשת כתב אישום</w:t>
      </w:r>
      <w:r>
        <w:rPr>
          <w:rtl w:val="true"/>
        </w:rPr>
        <w:t xml:space="preserve">. </w:t>
      </w:r>
      <w:r>
        <w:rPr>
          <w:rtl w:val="true"/>
        </w:rPr>
        <w:t>הסעיף גם אינו מכיל מנגנון המאפשר הארכת המועד שבו יעמוד בתוקף צו החילוט הזמני טרם שהוגש כתב אישום</w:t>
      </w:r>
      <w:r>
        <w:rPr>
          <w:rtl w:val="true"/>
        </w:rPr>
        <w:t>.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לעומת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מסלול הפסד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 מציב מגבלת זמנים נוקשה פחות של שישה חודשים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ניתנים להארכה על ידי בית המשפט </w:t>
      </w:r>
      <w:r>
        <w:rPr>
          <w:rFonts w:cs="Century" w:ascii="Century" w:hAnsi="Century"/>
          <w:sz w:val="22"/>
          <w:rtl w:val="true"/>
        </w:rPr>
        <w:t>(</w:t>
      </w:r>
      <w:hyperlink r:id="rId8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לפסד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בפסיקה הוכרע זה מכבר כי שני המסלולים</w:t>
      </w:r>
      <w:r>
        <w:rPr>
          <w:rtl w:val="true"/>
        </w:rPr>
        <w:t xml:space="preserve">, </w:t>
      </w:r>
      <w:r>
        <w:rPr>
          <w:rtl w:val="true"/>
        </w:rPr>
        <w:t>מסלול הפסד</w:t>
      </w:r>
      <w:r>
        <w:rPr>
          <w:rtl w:val="true"/>
        </w:rPr>
        <w:t>"</w:t>
      </w:r>
      <w:r>
        <w:rPr>
          <w:rtl w:val="true"/>
        </w:rPr>
        <w:t>פ ומסלול פקודת הסמים</w:t>
      </w:r>
      <w:r>
        <w:rPr>
          <w:rtl w:val="true"/>
        </w:rPr>
        <w:t xml:space="preserve">, </w:t>
      </w:r>
      <w:r>
        <w:rPr>
          <w:rtl w:val="true"/>
        </w:rPr>
        <w:t>חלים במקביל</w:t>
      </w:r>
      <w:r>
        <w:rPr>
          <w:rtl w:val="true"/>
        </w:rPr>
        <w:t xml:space="preserve">, </w:t>
      </w:r>
      <w:r>
        <w:rPr>
          <w:rtl w:val="true"/>
        </w:rPr>
        <w:t>ותחולתו של מסלול פקודת הסמים אינה מוציאה את תחולתו של מסלול הפסד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תחולה מקבילה זו</w:t>
      </w:r>
      <w:r>
        <w:rPr>
          <w:rtl w:val="true"/>
        </w:rPr>
        <w:t xml:space="preserve">, </w:t>
      </w:r>
      <w:r>
        <w:rPr>
          <w:rtl w:val="true"/>
        </w:rPr>
        <w:t>כך נפסק</w:t>
      </w:r>
      <w:r>
        <w:rPr>
          <w:rtl w:val="true"/>
        </w:rPr>
        <w:t xml:space="preserve">, </w:t>
      </w:r>
      <w:r>
        <w:rPr>
          <w:rtl w:val="true"/>
        </w:rPr>
        <w:t xml:space="preserve">עולה בקנה אחד עם תכליתו של </w:t>
      </w:r>
      <w:hyperlink r:id="rId8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הרחבת סמכויות האכיפה של רשויות החוק כחלק מהמאבק בתופעת הלבנת ההון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8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3384/09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26.7.2009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דנ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אברם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8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6002/16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27.10.2016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9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3190/14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שמעון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משטרת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25.6.2014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הבחירה בין המסלולים אינה אקראית או שרירותית</w:t>
      </w:r>
      <w:r>
        <w:rPr>
          <w:rtl w:val="true"/>
        </w:rPr>
        <w:t xml:space="preserve">. </w:t>
      </w:r>
      <w:r>
        <w:rPr>
          <w:rtl w:val="true"/>
        </w:rPr>
        <w:t xml:space="preserve">כפי שציינה 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ביניש</w:t>
      </w:r>
      <w:r>
        <w:rPr>
          <w:rtl w:val="true"/>
        </w:rPr>
        <w:t xml:space="preserve"> ב</w:t>
      </w:r>
      <w:r>
        <w:rPr>
          <w:rFonts w:ascii="Century" w:hAnsi="Century" w:cs="Century"/>
          <w:sz w:val="22"/>
          <w:sz w:val="22"/>
          <w:rtl w:val="true"/>
        </w:rPr>
        <w:t>דנ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 xml:space="preserve">פ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אברם</w:t>
      </w:r>
      <w:r>
        <w:rPr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הנקיטה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שרירותית</w:t>
      </w:r>
      <w:r>
        <w:rPr>
          <w:rtl w:val="true"/>
        </w:rPr>
        <w:t xml:space="preserve">, </w:t>
      </w:r>
      <w:r>
        <w:rPr>
          <w:rtl w:val="true"/>
        </w:rPr>
        <w:t>ועליה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. </w:t>
      </w:r>
      <w:r>
        <w:rPr>
          <w:rtl w:val="true"/>
        </w:rPr>
        <w:t>בבחירה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פישר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ברוך</w:t>
      </w:r>
      <w:r>
        <w:rPr>
          <w:rFonts w:ascii="Century" w:hAnsi="Century" w:cs="Century"/>
          <w:sz w:val="22"/>
          <w:sz w:val="22"/>
          <w:rtl w:val="true"/>
        </w:rPr>
        <w:t xml:space="preserve"> אף נקבע כאמור כי קיימת תחולה מקבילה של מסלול הפסד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 ומסלול פקודת הסמים גם בתפיסה בשווי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השאלה הניצבת לפנינו מצומצמת יותר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האם התחולה המקבילה נמשכת גם לאחר הגשת כתב האישום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כאמור טוען כי מייד עם הגשת כתב האישום פוקע צו החילוט שהוצא מכוח הפסד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 ויש להגיש בקשה חדשה מכוח פקודת הסמים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לעומתו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המשיבה גורסת כי לאחר הגשת כתב אישום אמנם יש להגיש בקשה לפי פקודת הסמים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אולם הצו שהוצא מכוח הפסד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 ממשיך לחול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לעמדתי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צודק המערער בטענתו לעניין חוסר סמכותה של המדינה להמשיך ולהחזיק בתפוסים בשווי במסלול הפסד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אבאר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קביעתו של בית המשפט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בנוגע לתפיסה זמנית של רכוש בשווי</w:t>
      </w:r>
      <w:r>
        <w:rPr>
          <w:rtl w:val="true"/>
        </w:rPr>
        <w:t xml:space="preserve"> נבעה מניתוח לשונו של </w:t>
      </w:r>
      <w:hyperlink r:id="rId9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אשר מפנה כאמור לפסד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על רכיביו השונים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עמד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על כך ש</w:t>
      </w:r>
      <w:hyperlink r:id="rId9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מפנה באופן פרטני לתחום בו עוסק </w:t>
      </w:r>
      <w:hyperlink r:id="rId9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לפסד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סמכות לתפוס חפצים</w:t>
      </w:r>
      <w:r>
        <w:rPr>
          <w:rtl w:val="true"/>
        </w:rPr>
        <w:t xml:space="preserve">".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הקביעה המפורשת </w:t>
      </w:r>
      <w:hyperlink r:id="rId9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כי סמכויות התפיסה לפי הפסד</w:t>
      </w:r>
      <w:r>
        <w:rPr>
          <w:rtl w:val="true"/>
        </w:rPr>
        <w:t>"</w:t>
      </w:r>
      <w:r>
        <w:rPr>
          <w:rtl w:val="true"/>
        </w:rPr>
        <w:t xml:space="preserve">פ יחולו </w:t>
      </w:r>
      <w:r>
        <w:rPr>
          <w:rtl w:val="true"/>
        </w:rPr>
        <w:t>"</w:t>
      </w:r>
      <w:r>
        <w:rPr>
          <w:rtl w:val="true"/>
        </w:rPr>
        <w:t>בשינויים המחוייבים</w:t>
      </w:r>
      <w:r>
        <w:rPr>
          <w:rtl w:val="true"/>
        </w:rPr>
        <w:t xml:space="preserve">".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 xml:space="preserve">העובדה </w:t>
      </w:r>
      <w:hyperlink r:id="rId98">
        <w:r>
          <w:rPr>
            <w:rStyle w:val="Hyperlink"/>
            <w:color w:val="0000FF"/>
            <w:u w:val="single"/>
            <w:rtl w:val="true"/>
          </w:rPr>
          <w:t>שסעיף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 קובע שסמכויות התפיסה לפי הפסד</w:t>
      </w:r>
      <w:r>
        <w:rPr>
          <w:rtl w:val="true"/>
        </w:rPr>
        <w:t>"</w:t>
      </w:r>
      <w:r>
        <w:rPr>
          <w:rtl w:val="true"/>
        </w:rPr>
        <w:t xml:space="preserve">פ יחולו </w:t>
      </w:r>
      <w:r>
        <w:rPr>
          <w:rtl w:val="true"/>
        </w:rPr>
        <w:t>"</w:t>
      </w:r>
      <w:r>
        <w:rPr>
          <w:rtl w:val="true"/>
        </w:rPr>
        <w:t xml:space="preserve">גם לעניין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חילוט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לפי חוק זה</w:t>
      </w:r>
      <w:r>
        <w:rPr>
          <w:rFonts w:cs="Century" w:ascii="Century" w:hAnsi="Century"/>
          <w:sz w:val="22"/>
          <w:rtl w:val="true"/>
        </w:rPr>
        <w:t xml:space="preserve">", </w:t>
      </w:r>
      <w:hyperlink r:id="rId10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לאותו חוק מורה כי ניתן להוציא צו חילוט ביחס לרכוש בשווי רכוש הקשור בעבירה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כפי שהצביע בית המשפט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גם הפסיקה וההיסטוריה החקיקתית מובילים אל עבר תוצאה זו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8-7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עמד על קושי בפרשנות האמורה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לפיה ניתן לחלט רכוש בשווי גם במסלול הפסד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נוכח ההפניה של </w:t>
      </w:r>
      <w:hyperlink r:id="rId10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0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הון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</w:t>
      </w:r>
      <w:hyperlink r:id="rId103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לסעיף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36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ג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עד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36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י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לפקודת הסמים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ובכלל זה </w:t>
      </w:r>
      <w:hyperlink r:id="rId10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הקובע אף הוא מסלול לחילוט לפני הגשת 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לשונו מתיישבת ביתר קלות עם חילוט בשווי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מענה לקושי האמור הציעה המשיבה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0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2195/15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אהוד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יפרח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7.9.2015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שבגדרו נדחתה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בית משפט זה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ובראן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ואנכי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בקשה למתן רשות ערר על החלטת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בדיון שנערך באותו 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בעקבות שאלה שהוצגה לבא כוח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התברר מטיעוני המדינה כי היא הנהיגה נוהל לפיו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הגשת כתב אישום המדינה מיוזמתה מגישה בקשה על פי פקודת הסמים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ואילו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הגשת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פועלת היא בהתאם לפסד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 שבה והבהירה נוהל זה גם בדיון בפניי בענייננו</w:t>
      </w:r>
      <w:r>
        <w:rPr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צא ולמד מנוהל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שהמדינה עושה שימוש בשני המטריות המשפטיות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פסד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 טרם הגשת כתב 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גם כדי להתמודד עם מגבלת </w:t>
      </w:r>
      <w:r>
        <w:rPr>
          <w:rFonts w:cs="Century" w:ascii="Century" w:hAnsi="Century"/>
        </w:rPr>
        <w:t>90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הימים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ופקודת הסמים לאחר הגשת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שהדיון יהא במתכונת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ראויה יותר </w:t>
      </w:r>
      <w:r>
        <w:rPr>
          <w:rFonts w:cs="Century" w:ascii="Century" w:hAnsi="Century"/>
          <w:rtl w:val="true"/>
        </w:rPr>
        <w:t xml:space="preserve">... </w:t>
      </w:r>
      <w:r>
        <w:rPr>
          <w:rFonts w:ascii="Century" w:hAnsi="Century" w:cs="Century"/>
          <w:rtl w:val="true"/>
        </w:rPr>
        <w:t>נחה דעתי כי בסופו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הסדר זה שואף לעשות הרמוניה וצדק דיוני בצורה מיטבית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אסתיר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נימוק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עמדתה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5"/>
        <w:spacing w:lineRule="auto" w:line="360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המקרה דנא מלמד כי הצהרות המדינה לחוד</w:t>
      </w:r>
      <w:r>
        <w:rPr>
          <w:rtl w:val="true"/>
        </w:rPr>
        <w:t xml:space="preserve">, </w:t>
      </w:r>
      <w:r>
        <w:rPr>
          <w:rtl w:val="true"/>
        </w:rPr>
        <w:t>והמציאות בשטח לחוד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במסגרת עיקרי הטיעון הצהירה המדינה כי היא עומדת באופן חלקי מאחורי הנוהל האמור</w:t>
      </w:r>
      <w:r>
        <w:rPr>
          <w:rtl w:val="true"/>
        </w:rPr>
        <w:t>: "</w:t>
      </w:r>
      <w:r>
        <w:rPr>
          <w:rtl w:val="true"/>
        </w:rPr>
        <w:t>המשיבה תפתח ותאמר כי היא אכן מסכימה כי ככלל</w:t>
      </w:r>
      <w:r>
        <w:rPr>
          <w:rtl w:val="true"/>
        </w:rPr>
        <w:t xml:space="preserve">, </w:t>
      </w:r>
      <w:r>
        <w:rPr>
          <w:rtl w:val="true"/>
        </w:rPr>
        <w:t>יש להגיש את הבקשה לתפיסה זמנית לפי הפס</w:t>
      </w:r>
      <w:r>
        <w:rPr>
          <w:rtl w:val="true"/>
        </w:rPr>
        <w:t>"</w:t>
      </w:r>
      <w:r>
        <w:rPr>
          <w:rtl w:val="true"/>
        </w:rPr>
        <w:t>מ יחד עם הגשת כתב האישום</w:t>
      </w:r>
      <w:r>
        <w:rPr>
          <w:rtl w:val="true"/>
        </w:rPr>
        <w:t xml:space="preserve">", </w:t>
      </w:r>
      <w:r>
        <w:rPr>
          <w:rtl w:val="true"/>
        </w:rPr>
        <w:t>אולם לצד זאת טענה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אין בנוהל שקיבלה על עצמה המדינה</w:t>
      </w:r>
      <w:r>
        <w:rPr>
          <w:rtl w:val="true"/>
        </w:rPr>
        <w:t xml:space="preserve">, </w:t>
      </w:r>
      <w:r>
        <w:rPr>
          <w:rtl w:val="true"/>
        </w:rPr>
        <w:t>כדי לשלול את הסמכות המוקנית בחוק להחזיק בתפוסים לפי הפסד</w:t>
      </w:r>
      <w:r>
        <w:rPr>
          <w:rtl w:val="true"/>
        </w:rPr>
        <w:t>"</w:t>
      </w:r>
      <w:r>
        <w:rPr>
          <w:rtl w:val="true"/>
        </w:rPr>
        <w:t>פ אף לאחר הגשת כתב אישום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אלא שכפי שציין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שאלת הסמכות לתפיסה זמנית בשווי במסלול הפסד</w:t>
      </w:r>
      <w:r>
        <w:rPr>
          <w:rtl w:val="true"/>
        </w:rPr>
        <w:t>"</w:t>
      </w:r>
      <w:r>
        <w:rPr>
          <w:rtl w:val="true"/>
        </w:rPr>
        <w:t>פ אינה פשוטה כלל ועיקר</w:t>
      </w:r>
      <w:r>
        <w:rPr>
          <w:rtl w:val="true"/>
        </w:rPr>
        <w:t xml:space="preserve">, </w:t>
      </w:r>
      <w:r>
        <w:rPr>
          <w:rtl w:val="true"/>
        </w:rPr>
        <w:t>נוכח קיומו של מסלול מקביל בפקודת הסמים</w:t>
      </w:r>
      <w:r>
        <w:rPr>
          <w:rtl w:val="true"/>
        </w:rPr>
        <w:t xml:space="preserve">. </w:t>
      </w:r>
      <w:r>
        <w:rPr>
          <w:rtl w:val="true"/>
        </w:rPr>
        <w:t xml:space="preserve">הפרשנות שניתנה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ברוך</w:t>
      </w:r>
      <w:r>
        <w:rPr>
          <w:rFonts w:ascii="Century" w:hAnsi="Century" w:cs="Century"/>
          <w:sz w:val="22"/>
          <w:sz w:val="22"/>
          <w:rtl w:val="true"/>
        </w:rPr>
        <w:t xml:space="preserve"> נבעה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מתוך הכרה במורכבות של עבירות הלבנת הון והקושי הפרקטי לעמוד בתנאיו של </w:t>
      </w:r>
      <w:hyperlink r:id="rId10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כמו גם מלשון </w:t>
      </w:r>
      <w:hyperlink r:id="rId10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10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הון</w:t>
        </w:r>
      </w:hyperlink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אולם פרשנותו של בית המשפט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ברוך</w:t>
      </w:r>
      <w:r>
        <w:rPr>
          <w:rtl w:val="true"/>
        </w:rPr>
        <w:t xml:space="preserve">, </w:t>
      </w:r>
      <w:r>
        <w:rPr>
          <w:rtl w:val="true"/>
        </w:rPr>
        <w:t>המקנה סמכות לתפיסה בשווי במסלול הפסד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נסמכה גם על הנוהל אליו התחייבה המשיבה</w:t>
      </w:r>
      <w:r>
        <w:rPr>
          <w:rtl w:val="true"/>
        </w:rPr>
        <w:t xml:space="preserve">. </w:t>
      </w:r>
      <w:r>
        <w:rPr>
          <w:rtl w:val="true"/>
        </w:rPr>
        <w:t>טענת המשיבה בהליך לפנינו כי התחייבותה האמורה אינה שוללת את סמכותה להחזיק בתפוסים בשווי מכוח הפסד</w:t>
      </w:r>
      <w:r>
        <w:rPr>
          <w:rtl w:val="true"/>
        </w:rPr>
        <w:t>"</w:t>
      </w:r>
      <w:r>
        <w:rPr>
          <w:rtl w:val="true"/>
        </w:rPr>
        <w:t>פ אף לאחר הגשת כתב האישום מצדיקה בחינה מחודשת של הסוגיה</w:t>
      </w:r>
      <w:r>
        <w:rPr>
          <w:rtl w:val="true"/>
        </w:rPr>
        <w:t xml:space="preserve">. </w:t>
      </w:r>
      <w:r>
        <w:rPr>
          <w:rtl w:val="true"/>
        </w:rPr>
        <w:t>סבורני אפוא כי הגיעה השעה לחדד את הגבול הקיים בין מסלול לבין מסלול פקודת הסמים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אתווה אפוא בתמצית את קו הגבול בין מסלול הפסד</w:t>
      </w:r>
      <w:r>
        <w:rPr>
          <w:rtl w:val="true"/>
        </w:rPr>
        <w:t>"</w:t>
      </w:r>
      <w:r>
        <w:rPr>
          <w:rtl w:val="true"/>
        </w:rPr>
        <w:t>פ ומסלול פקודת הסמים בעת בקשה לתפיסה של רכוש בשווי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 xml:space="preserve">(-)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החקירה</w:t>
      </w:r>
      <w:r>
        <w:rPr>
          <w:rtl w:val="true"/>
        </w:rPr>
        <w:t xml:space="preserve"> </w:t>
      </w:r>
      <w:r>
        <w:rPr>
          <w:rtl w:val="true"/>
        </w:rPr>
        <w:t>רשאיות</w:t>
      </w:r>
      <w:r>
        <w:rPr>
          <w:rtl w:val="true"/>
        </w:rPr>
        <w:t xml:space="preserve"> </w:t>
      </w:r>
      <w:r>
        <w:rPr>
          <w:rtl w:val="true"/>
        </w:rPr>
        <w:t>רשויות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במסלול</w:t>
      </w:r>
      <w:r>
        <w:rPr>
          <w:rtl w:val="true"/>
        </w:rPr>
        <w:t xml:space="preserve"> </w:t>
      </w:r>
      <w:r>
        <w:rPr>
          <w:rtl w:val="true"/>
        </w:rPr>
        <w:t>הפסד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>
          <w:rtl w:val="true"/>
        </w:rPr>
        <w:t>והן</w:t>
      </w:r>
      <w:r>
        <w:rPr>
          <w:rtl w:val="true"/>
        </w:rPr>
        <w:t xml:space="preserve"> </w:t>
      </w:r>
      <w:r>
        <w:rPr>
          <w:rtl w:val="true"/>
        </w:rPr>
        <w:t>במסלול</w:t>
      </w:r>
      <w:r>
        <w:rPr>
          <w:rtl w:val="true"/>
        </w:rPr>
        <w:t xml:space="preserve"> </w:t>
      </w:r>
      <w:r>
        <w:rPr>
          <w:rtl w:val="true"/>
        </w:rPr>
        <w:t>פקודת</w:t>
      </w:r>
      <w:r>
        <w:rPr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 לצורך תפיסה בשווי </w:t>
      </w:r>
      <w:r>
        <w:rPr>
          <w:rtl w:val="true"/>
        </w:rPr>
        <w:t>(</w:t>
      </w:r>
      <w:r>
        <w:rPr>
          <w:rtl w:val="true"/>
        </w:rPr>
        <w:t>כמו גם לצרכים אחרים על פי דין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פשיטא כי</w:t>
      </w:r>
      <w:r>
        <w:rPr>
          <w:rtl w:val="true"/>
        </w:rPr>
        <w:t xml:space="preserve"> </w:t>
      </w:r>
      <w:r>
        <w:rPr>
          <w:rtl w:val="true"/>
        </w:rPr>
        <w:t>הבחירה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המסלולים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שרירותית</w:t>
      </w:r>
      <w:r>
        <w:rPr>
          <w:rtl w:val="true"/>
        </w:rPr>
        <w:t xml:space="preserve"> </w:t>
      </w:r>
      <w:r>
        <w:rPr>
          <w:rtl w:val="true"/>
        </w:rPr>
        <w:t>ויש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 </w:t>
      </w:r>
      <w:r>
        <w:rPr>
          <w:rtl w:val="true"/>
        </w:rPr>
        <w:t>במסלול</w:t>
      </w:r>
      <w:r>
        <w:rPr>
          <w:rtl w:val="true"/>
        </w:rPr>
        <w:t xml:space="preserve"> </w:t>
      </w:r>
      <w:r>
        <w:rPr>
          <w:rtl w:val="true"/>
        </w:rPr>
        <w:t>שפוגע</w:t>
      </w:r>
      <w:r>
        <w:rPr>
          <w:rtl w:val="true"/>
        </w:rPr>
        <w:t xml:space="preserve"> </w:t>
      </w:r>
      <w:r>
        <w:rPr>
          <w:rtl w:val="true"/>
        </w:rPr>
        <w:t>בצורה פחותה ככל הניתן</w:t>
      </w:r>
      <w:r>
        <w:rPr>
          <w:rtl w:val="true"/>
        </w:rPr>
        <w:t xml:space="preserve"> </w:t>
      </w:r>
      <w:r>
        <w:rPr>
          <w:rtl w:val="true"/>
        </w:rPr>
        <w:t>בזכות</w:t>
      </w:r>
      <w:r>
        <w:rPr>
          <w:rtl w:val="true"/>
        </w:rPr>
        <w:t xml:space="preserve"> </w:t>
      </w:r>
      <w:r>
        <w:rPr>
          <w:rtl w:val="true"/>
        </w:rPr>
        <w:t>הקניין</w:t>
      </w:r>
      <w:r>
        <w:rPr>
          <w:rtl w:val="true"/>
        </w:rPr>
        <w:t xml:space="preserve"> של החשוד ההופך לימים לנאשם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rtl w:val="true"/>
        </w:rPr>
        <w:t xml:space="preserve">(-) </w:t>
      </w:r>
      <w:r>
        <w:rPr>
          <w:rFonts w:ascii="Century" w:hAnsi="Century" w:cs="Century"/>
          <w:rtl w:val="true"/>
        </w:rPr>
        <w:t xml:space="preserve">קו פרשת המים בין שני המסלולים הוא מועד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במועד זה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פוקעת</w:t>
      </w:r>
      <w:r>
        <w:rPr>
          <w:rtl w:val="true"/>
        </w:rPr>
        <w:t xml:space="preserve"> הסמכות לתפיסה זמנית מכוח הפסד</w:t>
      </w:r>
      <w:r>
        <w:rPr>
          <w:rtl w:val="true"/>
        </w:rPr>
        <w:t>"</w:t>
      </w:r>
      <w:r>
        <w:rPr>
          <w:rtl w:val="true"/>
        </w:rPr>
        <w:t>פ כאשר מדובר בתפיסה בשווי</w:t>
      </w:r>
      <w:r>
        <w:rPr>
          <w:rtl w:val="true"/>
        </w:rPr>
        <w:t xml:space="preserve">, </w:t>
      </w:r>
      <w:r>
        <w:rPr>
          <w:rtl w:val="true"/>
        </w:rPr>
        <w:t>ועל התביעה להגיש</w:t>
      </w:r>
      <w:r>
        <w:rPr>
          <w:rtl w:val="true"/>
        </w:rPr>
        <w:t xml:space="preserve">, </w:t>
      </w:r>
      <w:r>
        <w:rPr>
          <w:rtl w:val="true"/>
        </w:rPr>
        <w:t>בד בבד עם הגשת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בקשה לפי </w:t>
      </w:r>
      <w:hyperlink r:id="rId10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או </w:t>
      </w:r>
      <w:hyperlink r:id="rId1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 הסמים</w:t>
      </w:r>
      <w:r>
        <w:rPr>
          <w:rtl w:val="true"/>
        </w:rPr>
        <w:t xml:space="preserve">, </w:t>
      </w:r>
      <w:r>
        <w:rPr>
          <w:rtl w:val="true"/>
        </w:rPr>
        <w:t>ככל שאין אפשרות לקיים דיון מיידי בבקשה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 xml:space="preserve">(-)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 xml:space="preserve">יש לקיים דיון בבקשה במסגרת לוח הזמנים הקבוע </w:t>
      </w:r>
      <w:hyperlink r:id="rId11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קרי לכל היותר עשרים ימים ממועד הגשת כתב האישום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ישאל השואל</w:t>
      </w:r>
      <w:r>
        <w:rPr>
          <w:rtl w:val="true"/>
        </w:rPr>
        <w:t xml:space="preserve">: </w:t>
      </w:r>
      <w:r>
        <w:rPr>
          <w:rtl w:val="true"/>
        </w:rPr>
        <w:t>מדוע לקבוע את קו הגבול בין שני המסלולים במועד הגשת כתב האישום</w:t>
      </w:r>
      <w:r>
        <w:rPr>
          <w:rtl w:val="true"/>
        </w:rPr>
        <w:t xml:space="preserve">? </w:t>
      </w:r>
      <w:r>
        <w:rPr>
          <w:rtl w:val="true"/>
        </w:rPr>
        <w:t>אפנה לשם כך ל</w:t>
      </w:r>
      <w:hyperlink r:id="rId112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6159/01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8.10.2001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יונס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באותו עניין דנה 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נאור</w:t>
      </w:r>
      <w:r>
        <w:rPr>
          <w:rFonts w:ascii="Century" w:hAnsi="Century" w:cs="Century"/>
          <w:sz w:val="22"/>
          <w:sz w:val="22"/>
          <w:rtl w:val="true"/>
        </w:rPr>
        <w:t xml:space="preserve"> בסוגיה קרובה לענייננו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האם צו שניתן לפי </w:t>
      </w:r>
      <w:hyperlink r:id="rId11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לפקודת הסמים עומד בעינו עד לסיום ההליכים המשפטיים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 שעל המדינה להגיש לאחר הגשת כתב האישום בקשה נוספת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כאמור </w:t>
      </w:r>
      <w:hyperlink r:id="rId11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לפקודת הסמים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באותו מקרה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לפני הגשת כתב האישום הגישה המדינה לבית המשפט המחוזי בקשה לצו זמני לתפיסת רכב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לפי </w:t>
      </w:r>
      <w:hyperlink r:id="rId1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hyperlink r:id="rId116"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לפקודת הסמים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תחילה נתן בית המשפט המחוזי צו זמני במעמד צד אחד מכוח </w:t>
      </w:r>
      <w:hyperlink r:id="rId11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לפקודת הסמים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לאחר דחיות רבות התנהל הדיון בבקשה לפי </w:t>
      </w:r>
      <w:hyperlink r:id="rId11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זמן רב לאחר הגשת 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כאשר המדינה לא הגישה לאחר כתב האישום בקשה כאמור </w:t>
      </w:r>
      <w:hyperlink r:id="rId11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טענתה של המדינה בדיון הייתה כי ניתן להסתפק בצו זמני</w:t>
      </w:r>
      <w:r>
        <w:rPr>
          <w:rtl w:val="true"/>
        </w:rPr>
        <w:t xml:space="preserve">, </w:t>
      </w:r>
      <w:r>
        <w:rPr>
          <w:rtl w:val="true"/>
        </w:rPr>
        <w:t xml:space="preserve">כאמור </w:t>
      </w:r>
      <w:hyperlink r:id="rId120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בלי לבקש צו נוסף לאחר הגשת כתב אישום</w:t>
      </w:r>
      <w:r>
        <w:rPr>
          <w:rtl w:val="true"/>
        </w:rPr>
        <w:t xml:space="preserve">, </w:t>
      </w:r>
      <w:r>
        <w:rPr>
          <w:rtl w:val="true"/>
        </w:rPr>
        <w:t xml:space="preserve">כאמור </w:t>
      </w:r>
      <w:hyperlink r:id="rId12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בית המשפט דחה טענה זו וקבע כי </w:t>
      </w:r>
      <w:hyperlink r:id="rId1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ו</w:t>
        </w:r>
      </w:hyperlink>
      <w:r>
        <w:rPr>
          <w:rtl w:val="true"/>
        </w:rPr>
        <w:t xml:space="preserve"> מבחין בין בקשה לצו זמני בטרם הוגש כתב אישום </w:t>
      </w:r>
      <w:r>
        <w:rPr>
          <w:rtl w:val="true"/>
        </w:rPr>
        <w:t>(</w:t>
      </w:r>
      <w:r>
        <w:rPr>
          <w:rtl w:val="true"/>
        </w:rPr>
        <w:t xml:space="preserve">בקשה לפי </w:t>
      </w:r>
      <w:hyperlink r:id="rId1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לבין בקשה לצו זמני לאחר הגשת כתב אישום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1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)).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הנימוק העיקרי היה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המובנה</w:t>
      </w:r>
      <w:r>
        <w:rPr>
          <w:rFonts w:ascii="Century" w:hAnsi="Century" w:cs="Century"/>
          <w:sz w:val="22"/>
          <w:sz w:val="22"/>
          <w:rtl w:val="true"/>
        </w:rPr>
        <w:t xml:space="preserve"> בין ההליך לפני הגשת כתב אישום לבין הליך לאחר הגשת כתב אישום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בשלב הדיון במתן הסעד הזמני על בית המשפט לבחון דיות הראיות במישור הלכאורי ולהשתכנע כי קיים </w:t>
      </w:r>
      <w:r>
        <w:rPr>
          <w:rtl w:val="true"/>
        </w:rPr>
        <w:t>"</w:t>
      </w:r>
      <w:r>
        <w:rPr>
          <w:rtl w:val="true"/>
        </w:rPr>
        <w:t>פוטנציאל חילוט</w:t>
      </w:r>
      <w:r>
        <w:rPr>
          <w:rtl w:val="true"/>
        </w:rPr>
        <w:t xml:space="preserve">" </w:t>
      </w:r>
      <w:r>
        <w:rPr>
          <w:rtl w:val="true"/>
        </w:rPr>
        <w:t xml:space="preserve">במובן זה שהראיות לכאורה מקימות סיכוי סביר לכך שבתום ההליך הפלילי יורשע הנאשם בעבירות המיוחסות לו וכי בעקבות אותה הרשעה ניתן יהיה להורות על חילוט רכושו </w:t>
      </w:r>
      <w:r>
        <w:rPr>
          <w:rtl w:val="true"/>
        </w:rPr>
        <w:t>(</w:t>
      </w:r>
      <w:hyperlink r:id="rId1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אוסקר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29.8.2013</w:t>
      </w:r>
      <w:r>
        <w:rPr>
          <w:rFonts w:cs="Century" w:ascii="Century" w:hAnsi="Century"/>
          <w:rtl w:val="true"/>
        </w:rPr>
        <w:t xml:space="preserve">); </w:t>
      </w:r>
      <w:hyperlink r:id="rId1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5763/12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12-13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21.10.2012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סיטבון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לאחר הגשת כתב</w:t>
      </w:r>
      <w:r>
        <w:rPr>
          <w:position w:val="4"/>
          <w:rtl w:val="true"/>
        </w:rPr>
        <w:t xml:space="preserve"> </w:t>
      </w:r>
      <w:r>
        <w:rPr>
          <w:rtl w:val="true"/>
        </w:rPr>
        <w:t>אישום יש בידי המ</w:t>
      </w:r>
      <w:r>
        <w:rPr>
          <w:rtl w:val="true"/>
        </w:rPr>
        <w:t>שיבה</w:t>
      </w:r>
      <w:r>
        <w:rPr>
          <w:rtl w:val="true"/>
        </w:rPr>
        <w:t xml:space="preserve"> מלוא הראיות הרלוונטיות וניתן אז לבחון באופן לכאורי אם ישנה תשתית ראייתית מספקת העשויה להצדיק שבשלב גזר</w:t>
      </w:r>
      <w:r>
        <w:rPr>
          <w:position w:val="4"/>
          <w:rtl w:val="true"/>
        </w:rPr>
        <w:t xml:space="preserve"> </w:t>
      </w:r>
      <w:r>
        <w:rPr>
          <w:rtl w:val="true"/>
        </w:rPr>
        <w:t>הדין יורה בית</w:t>
      </w:r>
      <w:r>
        <w:rPr>
          <w:position w:val="4"/>
          <w:rtl w:val="true"/>
        </w:rPr>
        <w:t xml:space="preserve"> </w:t>
      </w:r>
      <w:r>
        <w:rPr>
          <w:rtl w:val="true"/>
        </w:rPr>
        <w:t>המשפט על חילוט סופי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, </w:t>
      </w:r>
      <w:r>
        <w:rPr>
          <w:rtl w:val="true"/>
        </w:rPr>
        <w:t>בשינויים המחוייבים</w:t>
      </w:r>
      <w:r>
        <w:rPr>
          <w:rtl w:val="true"/>
        </w:rPr>
        <w:t xml:space="preserve">, </w:t>
      </w:r>
      <w:r>
        <w:rPr>
          <w:rtl w:val="true"/>
        </w:rPr>
        <w:t xml:space="preserve">את קו הגבול בין מעצר </w:t>
      </w:r>
      <w:r>
        <w:rPr>
          <w:rtl w:val="true"/>
        </w:rPr>
        <w:t>"</w:t>
      </w:r>
      <w:r>
        <w:rPr>
          <w:rtl w:val="true"/>
        </w:rPr>
        <w:t>ימים</w:t>
      </w:r>
      <w:r>
        <w:rPr>
          <w:rtl w:val="true"/>
        </w:rPr>
        <w:t xml:space="preserve">" </w:t>
      </w:r>
      <w:r>
        <w:rPr>
          <w:rtl w:val="true"/>
        </w:rPr>
        <w:t>לבין מעצר עד תום ההליכים</w:t>
      </w:r>
      <w:r>
        <w:rPr>
          <w:rtl w:val="true"/>
        </w:rPr>
        <w:t xml:space="preserve">: </w:t>
      </w:r>
      <w:hyperlink r:id="rId127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4455/00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בדווי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794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2000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2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1270/14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ששון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20.3.2014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נוכח שוני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יונס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השופטת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כתארה אז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נאור</w:t>
      </w:r>
      <w:r>
        <w:rPr>
          <w:rFonts w:ascii="Century" w:hAnsi="Century" w:cs="Century"/>
          <w:sz w:val="22"/>
          <w:sz w:val="22"/>
          <w:rtl w:val="true"/>
        </w:rPr>
        <w:t xml:space="preserve"> כדלקמן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"...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>ו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</w:t>
      </w:r>
      <w:r>
        <w:rPr>
          <w:rtl w:val="true"/>
        </w:rPr>
        <w:t xml:space="preserve">)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מחדש</w:t>
      </w:r>
      <w:r>
        <w:rPr>
          <w:rFonts w:ascii="Century" w:hAnsi="Century" w:cs="Century"/>
          <w:rtl w:val="true"/>
        </w:rPr>
        <w:t xml:space="preserve"> אם הראיות שנאספו מצדיקות בקשה לצו זמני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שקילה מחדש כזו מעלה שאכן יש לדבר הצדקה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להגיש בקשה נוספת כאמור בסעיף </w:t>
      </w:r>
      <w:r>
        <w:rPr>
          <w:rFonts w:cs="Century" w:ascii="Century" w:hAnsi="Century"/>
        </w:rPr>
        <w:t>36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המשפט מצדו ישקול בשלב זה מחדש אם יש הצדקה להחזיק בתפוס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על יסוד התשתית הראייתית המלאה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האם ייתכן כי בחירה במסלול פקודת הסמים לפני הגשת כתב האישום תחייב הגשת בקשה לפי </w:t>
      </w:r>
      <w:hyperlink r:id="rId1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מיד לאחר הגשתו</w:t>
      </w:r>
      <w:r>
        <w:rPr>
          <w:rtl w:val="true"/>
        </w:rPr>
        <w:t xml:space="preserve">, </w:t>
      </w:r>
      <w:r>
        <w:rPr>
          <w:rtl w:val="true"/>
        </w:rPr>
        <w:t>ואילו במסלול הפסד</w:t>
      </w:r>
      <w:r>
        <w:rPr>
          <w:rtl w:val="true"/>
        </w:rPr>
        <w:t>"</w:t>
      </w:r>
      <w:r>
        <w:rPr>
          <w:rtl w:val="true"/>
        </w:rPr>
        <w:t>פ לא תהיה המדינה כבולה לסד זמנים זהה</w:t>
      </w:r>
      <w:r>
        <w:rPr>
          <w:rtl w:val="true"/>
        </w:rPr>
        <w:t xml:space="preserve">? </w:t>
      </w:r>
      <w:r>
        <w:rPr>
          <w:rtl w:val="true"/>
        </w:rPr>
        <w:t>דומני</w:t>
      </w:r>
      <w:r>
        <w:rPr>
          <w:rtl w:val="true"/>
        </w:rPr>
        <w:t xml:space="preserve">, </w:t>
      </w:r>
      <w:r>
        <w:rPr>
          <w:rtl w:val="true"/>
        </w:rPr>
        <w:t>כי התשובה לכך ברורה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>גם כאשר מדובר בתפיסה זמנית במסלול הפסד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 xml:space="preserve">נדרשת המשיבה עם הגשת כתב אישום להגיש בקשה בהתאם </w:t>
      </w:r>
      <w:hyperlink r:id="rId130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 הסמים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הדברים אף עולים בקנה אחד עם התחייבותה של המשיבה לפני בית המשפט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במקרה דנא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הגישה המשיבה את הבקשה </w:t>
      </w:r>
      <w:r>
        <w:rPr>
          <w:rtl w:val="true"/>
        </w:rPr>
        <w:t xml:space="preserve">ביום </w:t>
      </w:r>
      <w:r>
        <w:rPr/>
        <w:t>5.3.2019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יום לאחר הגשת כתב האישום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על פי המתווה שתואר</w:t>
      </w:r>
      <w:r>
        <w:rPr>
          <w:rtl w:val="true"/>
        </w:rPr>
        <w:t xml:space="preserve">, </w:t>
      </w:r>
      <w:r>
        <w:rPr>
          <w:rtl w:val="true"/>
        </w:rPr>
        <w:t>אכן נפל פגם בהתנהלותה של המשיבה</w:t>
      </w:r>
      <w:r>
        <w:rPr>
          <w:rtl w:val="true"/>
        </w:rPr>
        <w:t xml:space="preserve">, </w:t>
      </w:r>
      <w:r>
        <w:rPr>
          <w:rtl w:val="true"/>
        </w:rPr>
        <w:t>שכן היה עליה להגיש את הבקשה מיד לאחר הגשת כתב האישום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בנסיבות</w:t>
      </w:r>
      <w:r>
        <w:rPr>
          <w:rtl w:val="true"/>
        </w:rPr>
        <w:t xml:space="preserve"> העניין</w:t>
      </w:r>
      <w:r>
        <w:rPr>
          <w:rtl w:val="true"/>
        </w:rPr>
        <w:t xml:space="preserve">, </w:t>
      </w:r>
      <w:r>
        <w:rPr>
          <w:rtl w:val="true"/>
        </w:rPr>
        <w:t xml:space="preserve">היה על בית המשפט המחוזי לקיים דיון ולהכריע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בהקדם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האפשרי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בבקשת המדינה להחזיק בתפוסים מכוח </w:t>
      </w:r>
      <w:hyperlink r:id="rId13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 הסמים</w:t>
      </w:r>
      <w:r>
        <w:rPr>
          <w:rtl w:val="true"/>
        </w:rPr>
        <w:t xml:space="preserve">. </w:t>
      </w:r>
      <w:r>
        <w:rPr>
          <w:rtl w:val="true"/>
        </w:rPr>
        <w:t>הדבר לא התבצע ועל כך יש להצר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משלא נגרם למערער עיוות דין ונוכח האינטרס הציבורי</w:t>
      </w:r>
      <w:r>
        <w:rPr>
          <w:rtl w:val="true"/>
        </w:rPr>
        <w:t xml:space="preserve">, </w:t>
      </w:r>
      <w:r>
        <w:rPr>
          <w:rtl w:val="true"/>
        </w:rPr>
        <w:t>אין מקום להורות על שחרור התפוסים</w:t>
      </w:r>
      <w:r>
        <w:rPr>
          <w:rtl w:val="true"/>
        </w:rPr>
        <w:t xml:space="preserve">. </w:t>
      </w:r>
      <w:r>
        <w:rPr>
          <w:rtl w:val="true"/>
        </w:rPr>
        <w:t>העובדה שהמשיבה איחרה בהגשת הבקשה מכוח פקודת הסמים</w:t>
      </w:r>
      <w:r>
        <w:rPr>
          <w:rtl w:val="true"/>
        </w:rPr>
        <w:t xml:space="preserve">, </w:t>
      </w:r>
      <w:r>
        <w:rPr>
          <w:rtl w:val="true"/>
        </w:rPr>
        <w:t xml:space="preserve">אין בה במקרה זה כדי להטות את הכף לעבר שחרור הרכוש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, </w:t>
      </w:r>
      <w:r>
        <w:rPr>
          <w:rtl w:val="true"/>
        </w:rPr>
        <w:t>לעניין מעצר בלתי חוקי</w:t>
      </w:r>
      <w:r>
        <w:rPr>
          <w:rtl w:val="true"/>
        </w:rPr>
        <w:t xml:space="preserve">: </w:t>
      </w:r>
      <w:hyperlink r:id="rId13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1426/95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איברהים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12.3.1995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3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10803/05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עילווי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22.11.2005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והאסמכתאות שבהם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8"/>
          <w:szCs w:val="28"/>
        </w:rPr>
        <w:t>1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מצטרף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לתוצאה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שאליה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מינץ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ולפיה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שחרור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התפוסים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להצטרף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להנמקתו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ולעמדתו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פוקעת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הסמכות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לתפיסה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זמנית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hyperlink r:id="rId134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הפלילי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מעצר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וחיפוש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[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התשכ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ט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8"/>
          <w:szCs w:val="28"/>
        </w:rPr>
        <w:t>1969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הפסד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מדובר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בתפיסה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hyperlink r:id="rId13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ההפני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</w:t>
      </w:r>
      <w:hyperlink r:id="rId13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הסמים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המסוכנים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מסלולים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שרירותית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הפוגעני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3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3384/09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אברם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26.7.2009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דנ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rtl w:val="true"/>
        </w:rPr>
        <w:t>אברם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ספציפי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3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3190/14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ארזון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ascii="Century" w:hAnsi="Century" w:cs="Miriam"/>
          <w:b/>
          <w:b/>
          <w:sz w:val="22"/>
          <w:sz w:val="22"/>
          <w:rtl w:val="true"/>
        </w:rPr>
        <w:t>שטרת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25.6.2014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4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1236/97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חוזה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5.6.1997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לצרכי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דנ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פ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נדבך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כהגדרתו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hyperlink r:id="rId14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הון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איסור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הלבנת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4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1359/17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15.3.2017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מינץ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מיוזמתה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במתכונת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המורכבות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בהתחייבותה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סמכותה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בתפוסים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מינץ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הסוגיה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פוקעת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נומקה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4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6159/01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אבו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עמר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נו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</w:rPr>
        <w:t>817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2001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שהתבססה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ההבדל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נמשכה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משהוכרה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לתפוסים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4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8353/09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מגאלניק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26.11.2009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מגאלניק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ההבדל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התפיסות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לשחרור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התפוסים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ויודגש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ובכפוף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לתוצאותיו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ומטבע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שנוהלו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שהמסלולים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המקבילים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להחריג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קטגורי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ניהול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המסלולים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המקבילים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מונחת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4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סמכויות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מהמאבק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5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6002/16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27.10.2016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אפקטיבי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מורכבות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בשווי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פוקעים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תפוסים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מתאפשרת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הניתנים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שלגביה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ההיסטורי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בחפץ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5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שילה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ענבר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חילוט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אמצעים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לביצוע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עבירה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–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'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מבחן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הזיקה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המהותית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' "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משפט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מפתח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כתב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העת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של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פרקליטות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המדינה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 xml:space="preserve">,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בתכליתו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5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5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איסור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הלבנת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הון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hyperlink r:id="rId15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26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מפורש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סמכויות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החיפוש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סמכויות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מוגבלות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בזכויות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המוטלת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מגאלניק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פקיעת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5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17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סמכויות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1996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156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המעצרים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משהסתיימה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ישוחרר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ממעצר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שוכנע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ערבויות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5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58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5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המעצרים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הערבויות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יתבטלו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כפוקעים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15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4586/06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חלידו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22.8.2006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6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ו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נעלמה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מסלולים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יהפוך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הבעייתיות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מסלולים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מקבילים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הנימוקים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אינטרס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ציבורי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קטגורית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360"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להסדיר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שתושג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ההרמוניה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החקיקתית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והנחוצה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ובהצעת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2018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להחיל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יושוו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התנאים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סוגי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השונים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תפיסה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בשווי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הצעת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hyperlink r:id="rId161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תקבולי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התשע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8"/>
          <w:szCs w:val="28"/>
        </w:rPr>
        <w:t>2018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1245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הצעת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החוק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לחילוט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תוגש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בנפרד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מכתב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ותוך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30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הגשתו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5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))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ובקשה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לצו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זמני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תוגש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30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לצו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22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היינו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גילה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המחוקק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המוצע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יאפשר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60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להסדרת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שאלת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הזמני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בפרק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30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יחולו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הפסד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פ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ברי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מחייב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נחקק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להצביע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האינטרס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שבקיומם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חילוט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זמנים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התואמת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מורכבות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הלבנת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ההון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החילוט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auto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18"/>
          <w:szCs w:val="22"/>
          <w:u w:val="single"/>
        </w:rPr>
      </w:pPr>
      <w:r>
        <w:rPr>
          <w:rFonts w:cs="Miriam"/>
          <w:sz w:val="18"/>
          <w:szCs w:val="22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במסגרת חקירה פלילית ניתן צו לתפיסה זמנית של רכוש בשווי מכוח </w:t>
      </w:r>
      <w:hyperlink r:id="rId16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מעצר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וחיפוש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 xml:space="preserve">- </w:t>
      </w:r>
      <w:r>
        <w:rPr>
          <w:rFonts w:cs="Century" w:ascii="Century" w:hAnsi="Century"/>
        </w:rPr>
        <w:t>1969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הפקודה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האם במועד הגשת כתב האישום פוקעת מאליה הסמכות להחזקת הרכוש התפוס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וממילא פוקע תוקפה של התפיסה כל עוד לא הוגשה בקשה מתאימה בתוקף חוק אחר כדוגמת </w:t>
      </w:r>
      <w:hyperlink r:id="rId1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המסוכנים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1973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הסמים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או </w:t>
      </w:r>
      <w:hyperlink r:id="rId16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2000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Fonts w:cs="Century" w:ascii="Century" w:hAnsi="Century"/>
          <w:rtl w:val="true"/>
        </w:rPr>
        <w:t xml:space="preserve">)? </w:t>
      </w:r>
      <w:r>
        <w:rPr>
          <w:rFonts w:ascii="Century" w:hAnsi="Century" w:cs="Century"/>
          <w:rtl w:val="true"/>
        </w:rPr>
        <w:t>זו השאלה שאליה נדרשנו במסגרת ההליך דנן בנסיבות שבהן לא הוגשה בקשה כאמור לצדו של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רק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יום מאוחר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סבורים שני חברי כי יש מקום לתת תוקף לתפיסה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הם מגיעים לתוצאה זו בדרך שונה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ascii="Century" w:hAnsi="Century" w:cs="Century"/>
          <w:rtl w:val="true"/>
        </w:rPr>
        <w:t xml:space="preserve"> סבור כי ככלל אין סמכות להוסיף ולהחזיק ברכוש התפוס מבלי שהוגשה בקשה מתאימה עם כתב האישום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אם כי סבור שיש מקום להכיר בתוקפה של התפיסה בדיעבד מאחר שבקשה כזו כבר הוגשה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מכוח עקרון הבטלות היחסית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ascii="Century" w:hAnsi="Century" w:cs="Century"/>
          <w:rtl w:val="true"/>
        </w:rPr>
        <w:t xml:space="preserve"> סבור כי הסמכות להוסיף ולהחזיק ברכוש התפוס אינה פוקעת עם הגשתו של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שרצוי ללוות אותה בהגשת בקשת תפיסה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חרף ההסכמה במישור התוצאה 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להכרעה במחלוקת יש חשיבות מבחינתם של מקרים אחרים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אציין בשלב זה כי במישור העקרוני אני מצרפת את עמדתו לזו של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0"/>
          <w:szCs w:val="24"/>
        </w:rPr>
      </w:pPr>
      <w:r>
        <w:rPr>
          <w:rFonts w:cs="Century" w:ascii="Century" w:hAnsi="Century"/>
          <w:sz w:val="2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ראוי הוא שהגשתו של כתב אישום תהיה מלווה בהגשת בקשת תפיסה חדשה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שתותאם לתשתית הראייתית שביסודו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טוב עשתה המדינה באמצה נוהל לפיו עם הגשת כתב אישום מוגשת בקשה חדשה לפי פקודת הסמים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בכך בלבד אין כדי ללמד שתוקפו של צו תפיסה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פקודת סדר הדין הפלילי פוקע באופן אוטומטי עם הגשת כתב 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מסקנה זו אינה נתמכת בלשונה של פקודת סדר הדין הפלילי</w:t>
      </w:r>
      <w:r>
        <w:rPr>
          <w:rFonts w:cs="Century" w:ascii="Century" w:hAnsi="Century"/>
          <w:rtl w:val="true"/>
        </w:rPr>
        <w:t xml:space="preserve">. </w:t>
      </w:r>
      <w:hyperlink r:id="rId16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לפקודה מתייחס לחובתה של המשטרה להחזיר חפץ שנתפס במצב שבו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הוגש המשפט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בו התייחסות ישירה לחובה להחזיר את הרכוש עם הגשת כתב 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מהיבט התכלית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פקיעתו של הצו עולה בקנה אחד עם השינוי שחל במעמדו של האדם שרכושו נתפס מחשוד לנאשם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מה שלכאורה מחזק את ההצדקה להחזיק בחפצים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שהדבר משרת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תכליות התפיסה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כמפורט בפסקה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לחוות דעתו של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חשוב לחזור ולהבהיר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הנוהל שאומץ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המדינה אכן מלמד על ההתנהלות הראויה והרצויה מבחינת התביעה מהיבט ההגנה על זכויות הקניין של הנוגעים בדבר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מעבר לחשיבות הנודעת לפעולה לפי נהלים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כערך בפני עצמו</w:t>
      </w:r>
      <w:r>
        <w:rPr>
          <w:rFonts w:cs="Century" w:ascii="Century" w:hAnsi="Century"/>
          <w:rtl w:val="true"/>
        </w:rPr>
        <w:t>). "</w:t>
      </w:r>
      <w:r>
        <w:rPr>
          <w:rFonts w:ascii="Century" w:hAnsi="Century" w:cs="Century"/>
          <w:rtl w:val="true"/>
        </w:rPr>
        <w:t>דרך המלך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היא כי כאשר פרקליט מגיש לבית המשפט כתב 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ילווה לכתב האישום גם את כל הבקשות הנלוות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ובכלל זה בקשות לפי פקודת הסמים או לפי </w:t>
      </w:r>
      <w:hyperlink r:id="rId16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שנתפס רכוש במהלך הליכי החקירה מתוך מטרה לחלטו בסוף ההליך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ברי כי בעת הגשת כתב האישום ידוע לתביעה כי בכוונתה לבקש צווים בעניין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שבמקרים חריגים הדבר אינו מתאפשר מסיבות 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 זה שינוי נסיבות או סד זמנים דחוק במיוחד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 התפיסה שניתן בטרם הגשת כתב האישום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פקודת סדר הדין הפלילי יוסיף לעמוד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במקרים כאלה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שהובהר גם על ידי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התביעה להגיש את הבקשות החדשות בהקדם האפשרי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מובן כי אם התנהלות התביעה חורגת מן הסביר במישור שיקול הדעת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המנהל את ההליך הפלילי עשוי ליתן לכך משקל בהחלטותיו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בשלב זה או אחר של ההליך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הקושי שהתעורר בפנינו נובע מכך שהסוגיה של תפיסה וחילוט רכוש מוסדרת בחקיקה בהסדר ספורדי הבנוי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טלאים טלאים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חלק מההסדרים הרלוונטיים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אלה הקבועים בפקודה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נמצאים עמנו עוד מהתקופה המנדטורית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רקע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כפי שציין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הוחל בפעילות שתכליתה הסדרה והאחדה של ההוראות העוסקות בחילוט רכוש כך שתתקבל הרמוניה חקיקתית בנושא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הצעת </w:t>
      </w:r>
      <w:hyperlink r:id="rId16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חילוט תקבולי עבירה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2018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ברקע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 עוד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דן ביין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הצעת </w:t>
      </w:r>
      <w:hyperlink r:id="rId1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אמצעים משטרתיים</w:t>
      </w:r>
      <w:r>
        <w:rPr>
          <w:rFonts w:cs="Century" w:ascii="Century" w:hAnsi="Century"/>
          <w:rtl w:val="true"/>
        </w:rPr>
        <w:t xml:space="preserve">)"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פלילי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קרימינולוגיה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ומשטרה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כרך א </w:t>
      </w:r>
      <w:r>
        <w:rPr>
          <w:rFonts w:cs="Century" w:ascii="Century" w:hAnsi="Century"/>
        </w:rPr>
        <w:t>265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358-348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גרשון אוריון עורך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1986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דין וחשבון הוועדה לסדר דין פלילי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אמצעים משטרתיים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חיפוש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הצגה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תפיסה וחילוט</w:t>
      </w:r>
      <w:r>
        <w:rPr>
          <w:rFonts w:cs="Century" w:ascii="Century" w:hAnsi="Century"/>
          <w:rtl w:val="true"/>
        </w:rPr>
        <w:t>) (</w:t>
      </w:r>
      <w:r>
        <w:rPr>
          <w:rFonts w:cs="Century" w:ascii="Century" w:hAnsi="Century"/>
        </w:rPr>
        <w:t>1996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הצעת חוק סדר הדין הפלילי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סמכויות אכיפה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המצאה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חיפוש ותפיסה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ח הממשלה </w:t>
      </w:r>
      <w:r>
        <w:rPr>
          <w:rFonts w:cs="Century" w:ascii="Century" w:hAnsi="Century"/>
        </w:rPr>
        <w:t>867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חיים </w:t>
      </w:r>
      <w:hyperlink r:id="rId16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ויסמונסקי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חקירה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פלילית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במרחב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הסייבר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178-176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יש לקוות כי הסדרה נחוצה זו אכן תקרום עור וגידים בעתיד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עוד הדבר לא נעשה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לפעול בגדרו של הדין הנוהג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הפעלת שיקול דעת זהיר מטעמה של התביעה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להבטיח זכויותיהם של חשודים ונאשמים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21.11.2019</w:t>
      </w:r>
      <w:r>
        <w:rPr>
          <w:rtl w:val="true"/>
        </w:rPr>
        <w:t xml:space="preserve">). </w:t>
      </w:r>
      <w:bookmarkEnd w:id="2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19033900</w:t>
      </w:r>
      <w:r>
        <w:rPr>
          <w:sz w:val="16"/>
          <w:rtl w:val="true"/>
        </w:rPr>
        <w:t>_</w:t>
      </w:r>
      <w:r>
        <w:rPr>
          <w:sz w:val="16"/>
        </w:rPr>
        <w:t>N09.docx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7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54678313-3390/19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7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72"/>
      <w:footerReference w:type="default" r:id="rId17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3390/19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אהרון אביטן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default">
    <w:name w:val="defaul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35897" TargetMode="External"/><Relationship Id="rId3" Type="http://schemas.openxmlformats.org/officeDocument/2006/relationships/hyperlink" Target="http://www.nevo.co.il/safrut/book/35897" TargetMode="External"/><Relationship Id="rId4" Type="http://schemas.openxmlformats.org/officeDocument/2006/relationships/hyperlink" Target="http://www.nevo.co.il/safrut/bookgroup/1154" TargetMode="External"/><Relationship Id="rId5" Type="http://schemas.openxmlformats.org/officeDocument/2006/relationships/hyperlink" Target="http://www.nevo.co.il/safrut/bookgroup/1154" TargetMode="External"/><Relationship Id="rId6" Type="http://schemas.openxmlformats.org/officeDocument/2006/relationships/hyperlink" Target="http://www.nevo.co.il/law/74345" TargetMode="External"/><Relationship Id="rId7" Type="http://schemas.openxmlformats.org/officeDocument/2006/relationships/hyperlink" Target="http://www.nevo.co.il/law/74345/3" TargetMode="External"/><Relationship Id="rId8" Type="http://schemas.openxmlformats.org/officeDocument/2006/relationships/hyperlink" Target="http://www.nevo.co.il/law/74345/4" TargetMode="External"/><Relationship Id="rId9" Type="http://schemas.openxmlformats.org/officeDocument/2006/relationships/hyperlink" Target="http://www.nevo.co.il/law/74345/21" TargetMode="External"/><Relationship Id="rId10" Type="http://schemas.openxmlformats.org/officeDocument/2006/relationships/hyperlink" Target="http://www.nevo.co.il/law/74345/21.a" TargetMode="External"/><Relationship Id="rId11" Type="http://schemas.openxmlformats.org/officeDocument/2006/relationships/hyperlink" Target="http://www.nevo.co.il/law/74345/23" TargetMode="External"/><Relationship Id="rId12" Type="http://schemas.openxmlformats.org/officeDocument/2006/relationships/hyperlink" Target="http://www.nevo.co.il/law/74345/26" TargetMode="External"/><Relationship Id="rId13" Type="http://schemas.openxmlformats.org/officeDocument/2006/relationships/hyperlink" Target="http://www.nevo.co.il/law/74345/26.a" TargetMode="External"/><Relationship Id="rId14" Type="http://schemas.openxmlformats.org/officeDocument/2006/relationships/hyperlink" Target="http://www.nevo.co.il/law/74918" TargetMode="External"/><Relationship Id="rId15" Type="http://schemas.openxmlformats.org/officeDocument/2006/relationships/hyperlink" Target="http://www.nevo.co.il/law/74918/32" TargetMode="External"/><Relationship Id="rId16" Type="http://schemas.openxmlformats.org/officeDocument/2006/relationships/hyperlink" Target="http://www.nevo.co.il/law/74918/35" TargetMode="External"/><Relationship Id="rId17" Type="http://schemas.openxmlformats.org/officeDocument/2006/relationships/hyperlink" Target="http://www.nevo.co.il/law/74918/39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law/4216/36a" TargetMode="External"/><Relationship Id="rId20" Type="http://schemas.openxmlformats.org/officeDocument/2006/relationships/hyperlink" Target="http://www.nevo.co.il/law/4216/36c" TargetMode="External"/><Relationship Id="rId21" Type="http://schemas.openxmlformats.org/officeDocument/2006/relationships/hyperlink" Target="http://www.nevo.co.il/law/4216/36d" TargetMode="External"/><Relationship Id="rId22" Type="http://schemas.openxmlformats.org/officeDocument/2006/relationships/hyperlink" Target="http://www.nevo.co.il/law/4216/36e" TargetMode="External"/><Relationship Id="rId23" Type="http://schemas.openxmlformats.org/officeDocument/2006/relationships/hyperlink" Target="http://www.nevo.co.il/law/4216/36f" TargetMode="External"/><Relationship Id="rId24" Type="http://schemas.openxmlformats.org/officeDocument/2006/relationships/hyperlink" Target="http://www.nevo.co.il/law/4216/36f.a" TargetMode="External"/><Relationship Id="rId25" Type="http://schemas.openxmlformats.org/officeDocument/2006/relationships/hyperlink" Target="http://www.nevo.co.il/law/4216/36f.b" TargetMode="External"/><Relationship Id="rId26" Type="http://schemas.openxmlformats.org/officeDocument/2006/relationships/hyperlink" Target="http://www.nevo.co.il/law/4216/36f.c." TargetMode="External"/><Relationship Id="rId27" Type="http://schemas.openxmlformats.org/officeDocument/2006/relationships/hyperlink" Target="http://www.nevo.co.il/law/4216/36g" TargetMode="External"/><Relationship Id="rId28" Type="http://schemas.openxmlformats.org/officeDocument/2006/relationships/hyperlink" Target="http://www.nevo.co.il/law/4216/36h" TargetMode="External"/><Relationship Id="rId29" Type="http://schemas.openxmlformats.org/officeDocument/2006/relationships/hyperlink" Target="http://www.nevo.co.il/law/4216/36i" TargetMode="External"/><Relationship Id="rId30" Type="http://schemas.openxmlformats.org/officeDocument/2006/relationships/hyperlink" Target="http://www.nevo.co.il/law/4216/36j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98568" TargetMode="External"/><Relationship Id="rId33" Type="http://schemas.openxmlformats.org/officeDocument/2006/relationships/hyperlink" Target="http://www.nevo.co.il/law/98568/17.d" TargetMode="External"/><Relationship Id="rId34" Type="http://schemas.openxmlformats.org/officeDocument/2006/relationships/hyperlink" Target="http://www.nevo.co.il/law/98568/58.a" TargetMode="External"/><Relationship Id="rId35" Type="http://schemas.openxmlformats.org/officeDocument/2006/relationships/hyperlink" Target="http://www.nevo.co.il/law/74903" TargetMode="External"/><Relationship Id="rId36" Type="http://schemas.openxmlformats.org/officeDocument/2006/relationships/hyperlink" Target="http://www.nevo.co.il/law/74345" TargetMode="External"/><Relationship Id="rId37" Type="http://schemas.openxmlformats.org/officeDocument/2006/relationships/hyperlink" Target="http://www.nevo.co.il/law/74345" TargetMode="External"/><Relationship Id="rId38" Type="http://schemas.openxmlformats.org/officeDocument/2006/relationships/hyperlink" Target="http://www.nevo.co.il/case/21642818" TargetMode="External"/><Relationship Id="rId39" Type="http://schemas.openxmlformats.org/officeDocument/2006/relationships/hyperlink" Target="http://www.nevo.co.il/law/74918" TargetMode="External"/><Relationship Id="rId40" Type="http://schemas.openxmlformats.org/officeDocument/2006/relationships/hyperlink" Target="http://www.nevo.co.il/law/74918/32" TargetMode="External"/><Relationship Id="rId41" Type="http://schemas.openxmlformats.org/officeDocument/2006/relationships/hyperlink" Target="http://www.nevo.co.il/law/4216/36f.a" TargetMode="External"/><Relationship Id="rId42" Type="http://schemas.openxmlformats.org/officeDocument/2006/relationships/hyperlink" Target="http://www.nevo.co.il/law/4216" TargetMode="External"/><Relationship Id="rId43" Type="http://schemas.openxmlformats.org/officeDocument/2006/relationships/hyperlink" Target="http://www.nevo.co.il/law/74345/21" TargetMode="External"/><Relationship Id="rId44" Type="http://schemas.openxmlformats.org/officeDocument/2006/relationships/hyperlink" Target="http://www.nevo.co.il/law/74345" TargetMode="External"/><Relationship Id="rId45" Type="http://schemas.openxmlformats.org/officeDocument/2006/relationships/hyperlink" Target="http://www.nevo.co.il/law/74345" TargetMode="External"/><Relationship Id="rId46" Type="http://schemas.openxmlformats.org/officeDocument/2006/relationships/hyperlink" Target="http://www.nevo.co.il/law/74345" TargetMode="External"/><Relationship Id="rId47" Type="http://schemas.openxmlformats.org/officeDocument/2006/relationships/hyperlink" Target="http://www.nevo.co.il/law/74345" TargetMode="External"/><Relationship Id="rId48" Type="http://schemas.openxmlformats.org/officeDocument/2006/relationships/hyperlink" Target="http://www.nevo.co.il/case/22236552" TargetMode="External"/><Relationship Id="rId49" Type="http://schemas.openxmlformats.org/officeDocument/2006/relationships/hyperlink" Target="http://www.nevo.co.il/law/74345" TargetMode="External"/><Relationship Id="rId50" Type="http://schemas.openxmlformats.org/officeDocument/2006/relationships/hyperlink" Target="http://www.nevo.co.il/law/74345/21" TargetMode="External"/><Relationship Id="rId51" Type="http://schemas.openxmlformats.org/officeDocument/2006/relationships/hyperlink" Target="http://www.nevo.co.il/law/74345" TargetMode="External"/><Relationship Id="rId52" Type="http://schemas.openxmlformats.org/officeDocument/2006/relationships/hyperlink" Target="http://www.nevo.co.il/law/74345/3" TargetMode="External"/><Relationship Id="rId53" Type="http://schemas.openxmlformats.org/officeDocument/2006/relationships/hyperlink" Target="http://www.nevo.co.il/law/74345/4" TargetMode="External"/><Relationship Id="rId54" Type="http://schemas.openxmlformats.org/officeDocument/2006/relationships/hyperlink" Target="http://www.nevo.co.il/law/74345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6159827" TargetMode="External"/><Relationship Id="rId57" Type="http://schemas.openxmlformats.org/officeDocument/2006/relationships/hyperlink" Target="http://www.nevo.co.il/case/17947547" TargetMode="External"/><Relationship Id="rId58" Type="http://schemas.openxmlformats.org/officeDocument/2006/relationships/hyperlink" Target="http://www.nevo.co.il/law/74345/21" TargetMode="External"/><Relationship Id="rId59" Type="http://schemas.openxmlformats.org/officeDocument/2006/relationships/hyperlink" Target="http://www.nevo.co.il/law/74345" TargetMode="External"/><Relationship Id="rId60" Type="http://schemas.openxmlformats.org/officeDocument/2006/relationships/hyperlink" Target="http://www.nevo.co.il/case/5585849" TargetMode="External"/><Relationship Id="rId61" Type="http://schemas.openxmlformats.org/officeDocument/2006/relationships/hyperlink" Target="http://www.nevo.co.il/case/5826430" TargetMode="External"/><Relationship Id="rId62" Type="http://schemas.openxmlformats.org/officeDocument/2006/relationships/hyperlink" Target="http://www.nevo.co.il/law/74345" TargetMode="External"/><Relationship Id="rId63" Type="http://schemas.openxmlformats.org/officeDocument/2006/relationships/hyperlink" Target="http://www.nevo.co.il/law/4216/36a" TargetMode="External"/><Relationship Id="rId64" Type="http://schemas.openxmlformats.org/officeDocument/2006/relationships/hyperlink" Target="http://www.nevo.co.il/case/24287807" TargetMode="External"/><Relationship Id="rId65" Type="http://schemas.openxmlformats.org/officeDocument/2006/relationships/hyperlink" Target="http://www.nevo.co.il/law/74345" TargetMode="External"/><Relationship Id="rId66" Type="http://schemas.openxmlformats.org/officeDocument/2006/relationships/hyperlink" Target="http://www.nevo.co.il/case/20588755" TargetMode="External"/><Relationship Id="rId67" Type="http://schemas.openxmlformats.org/officeDocument/2006/relationships/hyperlink" Target="http://www.nevo.co.il/case/23226444" TargetMode="External"/><Relationship Id="rId68" Type="http://schemas.openxmlformats.org/officeDocument/2006/relationships/hyperlink" Target="http://www.nevo.co.il/case/5603871" TargetMode="External"/><Relationship Id="rId69" Type="http://schemas.openxmlformats.org/officeDocument/2006/relationships/hyperlink" Target="http://www.nevo.co.il/case/7799725" TargetMode="External"/><Relationship Id="rId70" Type="http://schemas.openxmlformats.org/officeDocument/2006/relationships/hyperlink" Target="http://www.nevo.co.il/case/25289958" TargetMode="External"/><Relationship Id="rId71" Type="http://schemas.openxmlformats.org/officeDocument/2006/relationships/hyperlink" Target="http://www.nevo.co.il/law/74345/21" TargetMode="External"/><Relationship Id="rId72" Type="http://schemas.openxmlformats.org/officeDocument/2006/relationships/hyperlink" Target="http://www.nevo.co.il/law/74345" TargetMode="External"/><Relationship Id="rId73" Type="http://schemas.openxmlformats.org/officeDocument/2006/relationships/hyperlink" Target="http://www.nevo.co.il/law/74345/26.a" TargetMode="External"/><Relationship Id="rId74" Type="http://schemas.openxmlformats.org/officeDocument/2006/relationships/hyperlink" Target="http://www.nevo.co.il/law/74345" TargetMode="External"/><Relationship Id="rId75" Type="http://schemas.openxmlformats.org/officeDocument/2006/relationships/hyperlink" Target="http://www.nevo.co.il/law/74918/32" TargetMode="External"/><Relationship Id="rId76" Type="http://schemas.openxmlformats.org/officeDocument/2006/relationships/hyperlink" Target="http://www.nevo.co.il/law/74918/32" TargetMode="External"/><Relationship Id="rId77" Type="http://schemas.openxmlformats.org/officeDocument/2006/relationships/hyperlink" Target="http://www.nevo.co.il/case/6118477" TargetMode="External"/><Relationship Id="rId78" Type="http://schemas.openxmlformats.org/officeDocument/2006/relationships/hyperlink" Target="http://www.nevo.co.il/case/5892364" TargetMode="External"/><Relationship Id="rId79" Type="http://schemas.openxmlformats.org/officeDocument/2006/relationships/hyperlink" Target="http://www.nevo.co.il/law/74345" TargetMode="External"/><Relationship Id="rId80" Type="http://schemas.openxmlformats.org/officeDocument/2006/relationships/hyperlink" Target="http://www.nevo.co.il/law/74345" TargetMode="External"/><Relationship Id="rId81" Type="http://schemas.openxmlformats.org/officeDocument/2006/relationships/hyperlink" Target="http://www.nevo.co.il/law/74345/23" TargetMode="External"/><Relationship Id="rId82" Type="http://schemas.openxmlformats.org/officeDocument/2006/relationships/hyperlink" Target="http://www.nevo.co.il/law/74345" TargetMode="External"/><Relationship Id="rId83" Type="http://schemas.openxmlformats.org/officeDocument/2006/relationships/hyperlink" Target="http://www.nevo.co.il/law/4216/36c;36d;36e;36f;36g;36h;36i;36j" TargetMode="External"/><Relationship Id="rId84" Type="http://schemas.openxmlformats.org/officeDocument/2006/relationships/hyperlink" Target="http://www.nevo.co.il/law/4216" TargetMode="External"/><Relationship Id="rId85" Type="http://schemas.openxmlformats.org/officeDocument/2006/relationships/hyperlink" Target="http://www.nevo.co.il/law/4216/36f.a.;36f.c.;36f.b" TargetMode="External"/><Relationship Id="rId86" Type="http://schemas.openxmlformats.org/officeDocument/2006/relationships/hyperlink" Target="http://www.nevo.co.il/law/74918/35" TargetMode="External"/><Relationship Id="rId87" Type="http://schemas.openxmlformats.org/officeDocument/2006/relationships/hyperlink" Target="http://www.nevo.co.il/law/74345" TargetMode="External"/><Relationship Id="rId88" Type="http://schemas.openxmlformats.org/officeDocument/2006/relationships/hyperlink" Target="http://www.nevo.co.il/case/5892363" TargetMode="External"/><Relationship Id="rId89" Type="http://schemas.openxmlformats.org/officeDocument/2006/relationships/hyperlink" Target="http://www.nevo.co.il/case/21476875" TargetMode="External"/><Relationship Id="rId90" Type="http://schemas.openxmlformats.org/officeDocument/2006/relationships/hyperlink" Target="http://www.nevo.co.il/case/16907179" TargetMode="External"/><Relationship Id="rId91" Type="http://schemas.openxmlformats.org/officeDocument/2006/relationships/hyperlink" Target="http://www.nevo.co.il/law/74345" TargetMode="External"/><Relationship Id="rId92" Type="http://schemas.openxmlformats.org/officeDocument/2006/relationships/hyperlink" Target="http://www.nevo.co.il/law/74345/26.a" TargetMode="External"/><Relationship Id="rId93" Type="http://schemas.openxmlformats.org/officeDocument/2006/relationships/hyperlink" Target="http://www.nevo.co.il/law/74345" TargetMode="External"/><Relationship Id="rId94" Type="http://schemas.openxmlformats.org/officeDocument/2006/relationships/hyperlink" Target="http://www.nevo.co.il/law/74345" TargetMode="External"/><Relationship Id="rId95" Type="http://schemas.openxmlformats.org/officeDocument/2006/relationships/hyperlink" Target="http://www.nevo.co.il/law/74918/32" TargetMode="External"/><Relationship Id="rId96" Type="http://schemas.openxmlformats.org/officeDocument/2006/relationships/hyperlink" Target="http://www.nevo.co.il/law/74345/26.a" TargetMode="External"/><Relationship Id="rId97" Type="http://schemas.openxmlformats.org/officeDocument/2006/relationships/hyperlink" Target="http://www.nevo.co.il/law/74345" TargetMode="External"/><Relationship Id="rId98" Type="http://schemas.openxmlformats.org/officeDocument/2006/relationships/hyperlink" Target="http://www.nevo.co.il/law/74345/26.a" TargetMode="External"/><Relationship Id="rId99" Type="http://schemas.openxmlformats.org/officeDocument/2006/relationships/hyperlink" Target="http://www.nevo.co.il/law/74345" TargetMode="External"/><Relationship Id="rId100" Type="http://schemas.openxmlformats.org/officeDocument/2006/relationships/hyperlink" Target="http://www.nevo.co.il/law/74345/21" TargetMode="External"/><Relationship Id="rId101" Type="http://schemas.openxmlformats.org/officeDocument/2006/relationships/hyperlink" Target="http://www.nevo.co.il/law/74345/23" TargetMode="External"/><Relationship Id="rId102" Type="http://schemas.openxmlformats.org/officeDocument/2006/relationships/hyperlink" Target="http://www.nevo.co.il/law/74345" TargetMode="External"/><Relationship Id="rId103" Type="http://schemas.openxmlformats.org/officeDocument/2006/relationships/hyperlink" Target="http://www.nevo.co.il/law/4216/36c;36d;36e;36f;36g;36h;36i;36j" TargetMode="External"/><Relationship Id="rId104" Type="http://schemas.openxmlformats.org/officeDocument/2006/relationships/hyperlink" Target="http://www.nevo.co.il/law/4216/36f.b" TargetMode="External"/><Relationship Id="rId105" Type="http://schemas.openxmlformats.org/officeDocument/2006/relationships/hyperlink" Target="http://www.nevo.co.il/case/20145322" TargetMode="External"/><Relationship Id="rId106" Type="http://schemas.openxmlformats.org/officeDocument/2006/relationships/hyperlink" Target="http://www.nevo.co.il/law/4216/36f.b" TargetMode="External"/><Relationship Id="rId107" Type="http://schemas.openxmlformats.org/officeDocument/2006/relationships/hyperlink" Target="http://www.nevo.co.il/law/74345/23" TargetMode="External"/><Relationship Id="rId108" Type="http://schemas.openxmlformats.org/officeDocument/2006/relationships/hyperlink" Target="http://www.nevo.co.il/law/74345" TargetMode="External"/><Relationship Id="rId109" Type="http://schemas.openxmlformats.org/officeDocument/2006/relationships/hyperlink" Target="http://www.nevo.co.il/law/4216/36f.a" TargetMode="External"/><Relationship Id="rId110" Type="http://schemas.openxmlformats.org/officeDocument/2006/relationships/hyperlink" Target="http://www.nevo.co.il/law/4216/36f.c" TargetMode="External"/><Relationship Id="rId111" Type="http://schemas.openxmlformats.org/officeDocument/2006/relationships/hyperlink" Target="http://www.nevo.co.il/law/4216/36f.c" TargetMode="External"/><Relationship Id="rId112" Type="http://schemas.openxmlformats.org/officeDocument/2006/relationships/hyperlink" Target="http://www.nevo.co.il/case/6052194" TargetMode="External"/><Relationship Id="rId113" Type="http://schemas.openxmlformats.org/officeDocument/2006/relationships/hyperlink" Target="http://www.nevo.co.il/law/4216/36f.b" TargetMode="External"/><Relationship Id="rId114" Type="http://schemas.openxmlformats.org/officeDocument/2006/relationships/hyperlink" Target="http://www.nevo.co.il/law/4216/36f.a" TargetMode="External"/><Relationship Id="rId115" Type="http://schemas.openxmlformats.org/officeDocument/2006/relationships/hyperlink" Target="http://www.nevo.co.il/law/4216/36f.b" TargetMode="External"/><Relationship Id="rId116" Type="http://schemas.openxmlformats.org/officeDocument/2006/relationships/hyperlink" Target="http://www.nevo.co.il/law/4216/36f.c" TargetMode="External"/><Relationship Id="rId117" Type="http://schemas.openxmlformats.org/officeDocument/2006/relationships/hyperlink" Target="http://www.nevo.co.il/law/4216/36f.c" TargetMode="External"/><Relationship Id="rId118" Type="http://schemas.openxmlformats.org/officeDocument/2006/relationships/hyperlink" Target="http://www.nevo.co.il/law/4216/36f.b" TargetMode="External"/><Relationship Id="rId119" Type="http://schemas.openxmlformats.org/officeDocument/2006/relationships/hyperlink" Target="http://www.nevo.co.il/law/4216/36f.a" TargetMode="External"/><Relationship Id="rId120" Type="http://schemas.openxmlformats.org/officeDocument/2006/relationships/hyperlink" Target="http://www.nevo.co.il/law/4216/36f.b" TargetMode="External"/><Relationship Id="rId121" Type="http://schemas.openxmlformats.org/officeDocument/2006/relationships/hyperlink" Target="http://www.nevo.co.il/law/4216/36f.a" TargetMode="External"/><Relationship Id="rId122" Type="http://schemas.openxmlformats.org/officeDocument/2006/relationships/hyperlink" Target="http://www.nevo.co.il/law/4216/36f" TargetMode="External"/><Relationship Id="rId123" Type="http://schemas.openxmlformats.org/officeDocument/2006/relationships/hyperlink" Target="http://www.nevo.co.il/law/4216/36f.b" TargetMode="External"/><Relationship Id="rId124" Type="http://schemas.openxmlformats.org/officeDocument/2006/relationships/hyperlink" Target="http://www.nevo.co.il/law/4216/36f.a" TargetMode="External"/><Relationship Id="rId125" Type="http://schemas.openxmlformats.org/officeDocument/2006/relationships/hyperlink" Target="http://www.nevo.co.il/case/7799725" TargetMode="External"/><Relationship Id="rId126" Type="http://schemas.openxmlformats.org/officeDocument/2006/relationships/hyperlink" Target="http://www.nevo.co.il/case/5591855" TargetMode="External"/><Relationship Id="rId127" Type="http://schemas.openxmlformats.org/officeDocument/2006/relationships/hyperlink" Target="http://www.nevo.co.il/case/5958070" TargetMode="External"/><Relationship Id="rId128" Type="http://schemas.openxmlformats.org/officeDocument/2006/relationships/hyperlink" Target="http://www.nevo.co.il/case/11996860" TargetMode="External"/><Relationship Id="rId129" Type="http://schemas.openxmlformats.org/officeDocument/2006/relationships/hyperlink" Target="http://www.nevo.co.il/law/4216/36f.a" TargetMode="External"/><Relationship Id="rId130" Type="http://schemas.openxmlformats.org/officeDocument/2006/relationships/hyperlink" Target="http://www.nevo.co.il/law/4216/36f.a" TargetMode="External"/><Relationship Id="rId131" Type="http://schemas.openxmlformats.org/officeDocument/2006/relationships/hyperlink" Target="http://www.nevo.co.il/law/4216/36f.a" TargetMode="External"/><Relationship Id="rId132" Type="http://schemas.openxmlformats.org/officeDocument/2006/relationships/hyperlink" Target="http://www.nevo.co.il/case/17911860" TargetMode="External"/><Relationship Id="rId133" Type="http://schemas.openxmlformats.org/officeDocument/2006/relationships/hyperlink" Target="http://www.nevo.co.il/case/5731033" TargetMode="External"/><Relationship Id="rId134" Type="http://schemas.openxmlformats.org/officeDocument/2006/relationships/hyperlink" Target="http://www.nevo.co.il/law/74918" TargetMode="External"/><Relationship Id="rId135" Type="http://schemas.openxmlformats.org/officeDocument/2006/relationships/hyperlink" Target="http://www.nevo.co.il/law/74345" TargetMode="External"/><Relationship Id="rId136" Type="http://schemas.openxmlformats.org/officeDocument/2006/relationships/hyperlink" Target="http://www.nevo.co.il/law/4216" TargetMode="External"/><Relationship Id="rId137" Type="http://schemas.openxmlformats.org/officeDocument/2006/relationships/hyperlink" Target="http://www.nevo.co.il/case/5892363" TargetMode="External"/><Relationship Id="rId138" Type="http://schemas.openxmlformats.org/officeDocument/2006/relationships/hyperlink" Target="http://www.nevo.co.il/law/74345" TargetMode="External"/><Relationship Id="rId139" Type="http://schemas.openxmlformats.org/officeDocument/2006/relationships/hyperlink" Target="http://www.nevo.co.il/case/16907179" TargetMode="External"/><Relationship Id="rId140" Type="http://schemas.openxmlformats.org/officeDocument/2006/relationships/hyperlink" Target="http://www.nevo.co.il/law/74918/39" TargetMode="External"/><Relationship Id="rId141" Type="http://schemas.openxmlformats.org/officeDocument/2006/relationships/hyperlink" Target="http://www.nevo.co.il/case/5755606" TargetMode="External"/><Relationship Id="rId142" Type="http://schemas.openxmlformats.org/officeDocument/2006/relationships/hyperlink" Target="http://www.nevo.co.il/law/74345/21.a" TargetMode="External"/><Relationship Id="rId143" Type="http://schemas.openxmlformats.org/officeDocument/2006/relationships/hyperlink" Target="http://www.nevo.co.il/law/74345" TargetMode="External"/><Relationship Id="rId144" Type="http://schemas.openxmlformats.org/officeDocument/2006/relationships/hyperlink" Target="http://www.nevo.co.il/law/74345" TargetMode="External"/><Relationship Id="rId145" Type="http://schemas.openxmlformats.org/officeDocument/2006/relationships/hyperlink" Target="http://www.nevo.co.il/case/22236552" TargetMode="External"/><Relationship Id="rId146" Type="http://schemas.openxmlformats.org/officeDocument/2006/relationships/hyperlink" Target="http://www.nevo.co.il/law/4216/36f.c" TargetMode="External"/><Relationship Id="rId147" Type="http://schemas.openxmlformats.org/officeDocument/2006/relationships/hyperlink" Target="http://www.nevo.co.il/case/6052194" TargetMode="External"/><Relationship Id="rId148" Type="http://schemas.openxmlformats.org/officeDocument/2006/relationships/hyperlink" Target="http://www.nevo.co.il/case/6127377" TargetMode="External"/><Relationship Id="rId149" Type="http://schemas.openxmlformats.org/officeDocument/2006/relationships/hyperlink" Target="http://www.nevo.co.il/law/74345" TargetMode="External"/><Relationship Id="rId150" Type="http://schemas.openxmlformats.org/officeDocument/2006/relationships/hyperlink" Target="http://www.nevo.co.il/case/21476875" TargetMode="External"/><Relationship Id="rId151" Type="http://schemas.openxmlformats.org/officeDocument/2006/relationships/hyperlink" Target="http://www.nevo.co.il/safrut/book/35897" TargetMode="External"/><Relationship Id="rId152" Type="http://schemas.openxmlformats.org/officeDocument/2006/relationships/hyperlink" Target="http://www.nevo.co.il/law/74345/26" TargetMode="External"/><Relationship Id="rId153" Type="http://schemas.openxmlformats.org/officeDocument/2006/relationships/hyperlink" Target="http://www.nevo.co.il/law/74345" TargetMode="External"/><Relationship Id="rId154" Type="http://schemas.openxmlformats.org/officeDocument/2006/relationships/hyperlink" Target="http://www.nevo.co.il/law/74345/26.a" TargetMode="External"/><Relationship Id="rId155" Type="http://schemas.openxmlformats.org/officeDocument/2006/relationships/hyperlink" Target="http://www.nevo.co.il/law/98568/17.d" TargetMode="External"/><Relationship Id="rId156" Type="http://schemas.openxmlformats.org/officeDocument/2006/relationships/hyperlink" Target="http://www.nevo.co.il/law/98568" TargetMode="External"/><Relationship Id="rId157" Type="http://schemas.openxmlformats.org/officeDocument/2006/relationships/hyperlink" Target="http://www.nevo.co.il/law/98568/58.a" TargetMode="External"/><Relationship Id="rId158" Type="http://schemas.openxmlformats.org/officeDocument/2006/relationships/hyperlink" Target="http://www.nevo.co.il/law/98568" TargetMode="External"/><Relationship Id="rId159" Type="http://schemas.openxmlformats.org/officeDocument/2006/relationships/hyperlink" Target="http://www.nevo.co.il/case/5966021" TargetMode="External"/><Relationship Id="rId160" Type="http://schemas.openxmlformats.org/officeDocument/2006/relationships/hyperlink" Target="http://www.nevo.co.il/law/4216/36f.b" TargetMode="External"/><Relationship Id="rId161" Type="http://schemas.openxmlformats.org/officeDocument/2006/relationships/hyperlink" Target="http://www.nevo.co.il/law/74903" TargetMode="External"/><Relationship Id="rId162" Type="http://schemas.openxmlformats.org/officeDocument/2006/relationships/hyperlink" Target="http://www.nevo.co.il/law/74918" TargetMode="External"/><Relationship Id="rId163" Type="http://schemas.openxmlformats.org/officeDocument/2006/relationships/hyperlink" Target="http://www.nevo.co.il/law/4216" TargetMode="External"/><Relationship Id="rId164" Type="http://schemas.openxmlformats.org/officeDocument/2006/relationships/hyperlink" Target="http://www.nevo.co.il/law/74345" TargetMode="External"/><Relationship Id="rId165" Type="http://schemas.openxmlformats.org/officeDocument/2006/relationships/hyperlink" Target="http://www.nevo.co.il/law/74918/35" TargetMode="External"/><Relationship Id="rId166" Type="http://schemas.openxmlformats.org/officeDocument/2006/relationships/hyperlink" Target="http://www.nevo.co.il/law/74345" TargetMode="External"/><Relationship Id="rId167" Type="http://schemas.openxmlformats.org/officeDocument/2006/relationships/hyperlink" Target="http://www.nevo.co.il/law/74903" TargetMode="External"/><Relationship Id="rId168" Type="http://schemas.openxmlformats.org/officeDocument/2006/relationships/hyperlink" Target="http://www.nevo.co.il/law/74903" TargetMode="External"/><Relationship Id="rId169" Type="http://schemas.openxmlformats.org/officeDocument/2006/relationships/hyperlink" Target="http://www.nevo.co.il/safrut/bookgroup/1154" TargetMode="External"/><Relationship Id="rId170" Type="http://schemas.openxmlformats.org/officeDocument/2006/relationships/hyperlink" Target="http://supreme.court.gov.il/" TargetMode="External"/><Relationship Id="rId171" Type="http://schemas.openxmlformats.org/officeDocument/2006/relationships/hyperlink" Target="http://www.nevo.co.il/advertisements/nevo-100.doc" TargetMode="External"/><Relationship Id="rId172" Type="http://schemas.openxmlformats.org/officeDocument/2006/relationships/header" Target="header1.xml"/><Relationship Id="rId173" Type="http://schemas.openxmlformats.org/officeDocument/2006/relationships/footer" Target="footer1.xml"/><Relationship Id="rId174" Type="http://schemas.openxmlformats.org/officeDocument/2006/relationships/numbering" Target="numbering.xml"/><Relationship Id="rId175" Type="http://schemas.openxmlformats.org/officeDocument/2006/relationships/fontTable" Target="fontTable.xml"/><Relationship Id="rId176" Type="http://schemas.openxmlformats.org/officeDocument/2006/relationships/settings" Target="settings.xml"/><Relationship Id="rId17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2020-04-26T12:50:00Z</dcterms:created>
  <dc:creator>h4</dc:creator>
  <dc:description/>
  <cp:keywords/>
  <dc:language>en-IL</dc:language>
  <cp:lastModifiedBy>yafit</cp:lastModifiedBy>
  <cp:lastPrinted>2019-11-21T13:37:00Z</cp:lastPrinted>
  <dcterms:modified xsi:type="dcterms:W3CDTF">2020-04-26T12:50:00Z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אהרון אביטן</vt:lpwstr>
  </property>
  <property fmtid="{D5CDD505-2E9C-101B-9397-08002B2CF9AE}" pid="3" name="APPELLEE">
    <vt:lpwstr>מדינת ישראל</vt:lpwstr>
  </property>
  <property fmtid="{D5CDD505-2E9C-101B-9397-08002B2CF9AE}" pid="4" name="BOOKGROUPTMP1">
    <vt:lpwstr>1154</vt:lpwstr>
  </property>
  <property fmtid="{D5CDD505-2E9C-101B-9397-08002B2CF9AE}" pid="5" name="BOOKLISTTMP1">
    <vt:lpwstr>35897</vt:lpwstr>
  </property>
  <property fmtid="{D5CDD505-2E9C-101B-9397-08002B2CF9AE}" pid="6" name="CASESLISTTMP1">
    <vt:lpwstr>21642818;22236552:2;6159827;17947547;5585849;5826430;24287807;20588755;23226444;5603871;7799725:2;25289958;6118477;5892364;5892363:2;21476875:2;16907179:2;20145322;6052194:2;5591855;5958070;11996860;17911860;5731033;5755606;6127377;5966021</vt:lpwstr>
  </property>
  <property fmtid="{D5CDD505-2E9C-101B-9397-08002B2CF9AE}" pid="7" name="DATE">
    <vt:lpwstr>20191121</vt:lpwstr>
  </property>
  <property fmtid="{D5CDD505-2E9C-101B-9397-08002B2CF9AE}" pid="8" name="ISABSTRACT">
    <vt:lpwstr>Y</vt:lpwstr>
  </property>
  <property fmtid="{D5CDD505-2E9C-101B-9397-08002B2CF9AE}" pid="9" name="JUDGE">
    <vt:lpwstr>ד' ברק ארז;ג' קרא;ד' מינץ</vt:lpwstr>
  </property>
  <property fmtid="{D5CDD505-2E9C-101B-9397-08002B2CF9AE}" pid="10" name="LAWLISTTMP1">
    <vt:lpwstr>74345/021:5;003;004;026.a:5;023:3;021.a;026</vt:lpwstr>
  </property>
  <property fmtid="{D5CDD505-2E9C-101B-9397-08002B2CF9AE}" pid="11" name="LAWLISTTMP2">
    <vt:lpwstr>74918/032:4;035:2;039</vt:lpwstr>
  </property>
  <property fmtid="{D5CDD505-2E9C-101B-9397-08002B2CF9AE}" pid="12" name="LAWLISTTMP3">
    <vt:lpwstr>4216/036f.a:10;036a;036c:2;036d:2;036e:2;036f:3;036g:2;036h:2;036i:2;036j:2;036f.c:6;036f.b:9</vt:lpwstr>
  </property>
  <property fmtid="{D5CDD505-2E9C-101B-9397-08002B2CF9AE}" pid="13" name="LAWLISTTMP4">
    <vt:lpwstr>70301</vt:lpwstr>
  </property>
  <property fmtid="{D5CDD505-2E9C-101B-9397-08002B2CF9AE}" pid="14" name="LAWLISTTMP5">
    <vt:lpwstr>98568/017.d;058.a</vt:lpwstr>
  </property>
  <property fmtid="{D5CDD505-2E9C-101B-9397-08002B2CF9AE}" pid="15" name="LAWLISTTMP6">
    <vt:lpwstr>74903:3</vt:lpwstr>
  </property>
  <property fmtid="{D5CDD505-2E9C-101B-9397-08002B2CF9AE}" pid="16" name="LAWYER">
    <vt:lpwstr>מורן פולמן;גיא שמר;אורי ברעוז</vt:lpwstr>
  </property>
  <property fmtid="{D5CDD505-2E9C-101B-9397-08002B2CF9AE}" pid="17" name="METAKZER">
    <vt:lpwstr>פאני</vt:lpwstr>
  </property>
  <property fmtid="{D5CDD505-2E9C-101B-9397-08002B2CF9AE}" pid="18" name="NOSE11">
    <vt:lpwstr>דיון פלילי</vt:lpwstr>
  </property>
  <property fmtid="{D5CDD505-2E9C-101B-9397-08002B2CF9AE}" pid="19" name="NOSE12">
    <vt:lpwstr>דיון פלילי</vt:lpwstr>
  </property>
  <property fmtid="{D5CDD505-2E9C-101B-9397-08002B2CF9AE}" pid="20" name="NOSE1ID">
    <vt:lpwstr>18;18</vt:lpwstr>
  </property>
  <property fmtid="{D5CDD505-2E9C-101B-9397-08002B2CF9AE}" pid="21" name="NOSE21">
    <vt:lpwstr>חילוט</vt:lpwstr>
  </property>
  <property fmtid="{D5CDD505-2E9C-101B-9397-08002B2CF9AE}" pid="22" name="NOSE22">
    <vt:lpwstr>חילוט</vt:lpwstr>
  </property>
  <property fmtid="{D5CDD505-2E9C-101B-9397-08002B2CF9AE}" pid="23" name="NOSE2ID">
    <vt:lpwstr>473;473</vt:lpwstr>
  </property>
  <property fmtid="{D5CDD505-2E9C-101B-9397-08002B2CF9AE}" pid="24" name="NOSE31">
    <vt:lpwstr>צו זמני</vt:lpwstr>
  </property>
  <property fmtid="{D5CDD505-2E9C-101B-9397-08002B2CF9AE}" pid="25" name="NOSE32">
    <vt:lpwstr>איסור הלבנת הון</vt:lpwstr>
  </property>
  <property fmtid="{D5CDD505-2E9C-101B-9397-08002B2CF9AE}" pid="26" name="NOSE3ID">
    <vt:lpwstr>3660;14774</vt:lpwstr>
  </property>
  <property fmtid="{D5CDD505-2E9C-101B-9397-08002B2CF9AE}" pid="27" name="PADIDATE">
    <vt:lpwstr>20191124</vt:lpwstr>
  </property>
  <property fmtid="{D5CDD505-2E9C-101B-9397-08002B2CF9AE}" pid="28" name="PADIMAIL">
    <vt:lpwstr>YES</vt:lpwstr>
  </property>
  <property fmtid="{D5CDD505-2E9C-101B-9397-08002B2CF9AE}" pid="29" name="PROCESS">
    <vt:lpwstr>עפ</vt:lpwstr>
  </property>
  <property fmtid="{D5CDD505-2E9C-101B-9397-08002B2CF9AE}" pid="30" name="PROCNUM">
    <vt:lpwstr>3390</vt:lpwstr>
  </property>
  <property fmtid="{D5CDD505-2E9C-101B-9397-08002B2CF9AE}" pid="31" name="PROCYEAR">
    <vt:lpwstr>19</vt:lpwstr>
  </property>
  <property fmtid="{D5CDD505-2E9C-101B-9397-08002B2CF9AE}" pid="32" name="PSAKDIN">
    <vt:lpwstr>פסק-דין</vt:lpwstr>
  </property>
  <property fmtid="{D5CDD505-2E9C-101B-9397-08002B2CF9AE}" pid="33" name="TYPE">
    <vt:lpwstr>1</vt:lpwstr>
  </property>
  <property fmtid="{D5CDD505-2E9C-101B-9397-08002B2CF9AE}" pid="34" name="TYPE_ABS_DATE">
    <vt:lpwstr>410120191121</vt:lpwstr>
  </property>
  <property fmtid="{D5CDD505-2E9C-101B-9397-08002B2CF9AE}" pid="35" name="TYPE_N_DATE">
    <vt:lpwstr>41020191121</vt:lpwstr>
  </property>
  <property fmtid="{D5CDD505-2E9C-101B-9397-08002B2CF9AE}" pid="36" name="WORDNUMPAGES">
    <vt:lpwstr>20</vt:lpwstr>
  </property>
</Properties>
</file>