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rFonts w:cs="FrankRuehl"/>
                <w:bCs w:val="false"/>
                <w:spacing w:val="10"/>
                <w:sz w:val="22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3393/16</w:t>
            </w:r>
          </w:p>
        </w:tc>
      </w:tr>
    </w:tbl>
    <w:p>
      <w:pPr>
        <w:pStyle w:val="Normal"/>
        <w:ind w:end="0"/>
        <w:jc w:val="end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עיסאווי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FrankRuehl"/>
                <w:spacing w:val="10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BodyRuller1"/>
              <w:ind w:end="0"/>
              <w:jc w:val="start"/>
              <w:rPr>
                <w:rFonts w:cs="FrankRuehl"/>
                <w:spacing w:val="10"/>
              </w:rPr>
            </w:pPr>
            <w:r>
              <w:rPr>
                <w:rFonts w:cs="FrankRuehl"/>
                <w:spacing w:val="10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cs="FrankRuehl"/>
                <w:spacing w:val="10"/>
              </w:rPr>
            </w:pPr>
            <w:r>
              <w:rPr>
                <w:rFonts w:cs="FrankRuehl"/>
                <w:spacing w:val="10"/>
                <w:rtl w:val="true"/>
              </w:rPr>
            </w:r>
          </w:p>
        </w:tc>
      </w:tr>
      <w:tr>
        <w:trPr/>
        <w:tc>
          <w:tcPr>
            <w:tcW w:w="328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cs="FrankRuehl"/>
                <w:spacing w:val="10"/>
              </w:rPr>
            </w:pPr>
            <w:r>
              <w:rPr>
                <w:rFonts w:cs="FrankRuehl"/>
                <w:spacing w:val="1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07.03.2016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8321-04-14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FrankRuehl"/>
                <w:spacing w:val="10"/>
              </w:rPr>
            </w:pPr>
            <w:r>
              <w:rPr>
                <w:rFonts w:cs="FrankRuehl"/>
                <w:spacing w:val="10"/>
                <w:rtl w:val="true"/>
              </w:rPr>
              <w:t>תאריך</w:t>
            </w:r>
            <w:r>
              <w:rPr>
                <w:rFonts w:cs="Times New Roman"/>
                <w:spacing w:val="10"/>
                <w:rtl w:val="true"/>
              </w:rPr>
              <w:t xml:space="preserve"> </w:t>
            </w:r>
            <w:r>
              <w:rPr>
                <w:rFonts w:cs="FrankRuehl"/>
                <w:spacing w:val="10"/>
                <w:rtl w:val="true"/>
              </w:rPr>
              <w:t>הישיבה</w:t>
            </w:r>
            <w:r>
              <w:rPr>
                <w:rFonts w:cs="FrankRuehl"/>
                <w:spacing w:val="10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pacing w:val="10"/>
              </w:rPr>
            </w:pPr>
            <w:r>
              <w:rPr>
                <w:rFonts w:cs="FrankRuehl"/>
                <w:spacing w:val="10"/>
                <w:rtl w:val="true"/>
              </w:rPr>
              <w:t>כ</w:t>
            </w:r>
            <w:r>
              <w:rPr>
                <w:rFonts w:cs="FrankRuehl"/>
                <w:spacing w:val="10"/>
                <w:rtl w:val="true"/>
              </w:rPr>
              <w:t>"</w:t>
            </w:r>
            <w:r>
              <w:rPr>
                <w:rFonts w:cs="FrankRuehl"/>
                <w:spacing w:val="10"/>
                <w:rtl w:val="true"/>
              </w:rPr>
              <w:t>ו</w:t>
            </w:r>
            <w:r>
              <w:rPr>
                <w:rFonts w:cs="Times New Roman"/>
                <w:spacing w:val="10"/>
                <w:rtl w:val="true"/>
              </w:rPr>
              <w:t xml:space="preserve"> </w:t>
            </w:r>
            <w:r>
              <w:rPr>
                <w:rFonts w:cs="FrankRuehl"/>
                <w:spacing w:val="10"/>
                <w:rtl w:val="true"/>
              </w:rPr>
              <w:t>בתשרי</w:t>
            </w:r>
            <w:r>
              <w:rPr>
                <w:rFonts w:cs="Times New Roman"/>
                <w:spacing w:val="10"/>
                <w:rtl w:val="true"/>
              </w:rPr>
              <w:t xml:space="preserve"> </w:t>
            </w:r>
            <w:r>
              <w:rPr>
                <w:rFonts w:cs="FrankRuehl"/>
                <w:spacing w:val="10"/>
                <w:rtl w:val="true"/>
              </w:rPr>
              <w:t>התשע</w:t>
            </w:r>
            <w:r>
              <w:rPr>
                <w:rFonts w:cs="FrankRuehl"/>
                <w:spacing w:val="10"/>
                <w:rtl w:val="true"/>
              </w:rPr>
              <w:t>"</w:t>
            </w:r>
            <w:r>
              <w:rPr>
                <w:rFonts w:cs="FrankRuehl"/>
                <w:spacing w:val="10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FrankRuehl"/>
                <w:spacing w:val="10"/>
              </w:rPr>
            </w:pPr>
            <w:r>
              <w:rPr>
                <w:rFonts w:cs="FrankRuehl"/>
                <w:spacing w:val="10"/>
                <w:rtl w:val="true"/>
              </w:rPr>
              <w:t>(</w:t>
            </w:r>
            <w:r>
              <w:rPr>
                <w:rFonts w:cs="FrankRuehl"/>
                <w:spacing w:val="10"/>
              </w:rPr>
              <w:t>16.10.2017</w:t>
            </w:r>
            <w:r>
              <w:rPr>
                <w:rFonts w:cs="FrankRuehl"/>
                <w:spacing w:val="10"/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3393/16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3393/16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10"/>
          <w:sz w:val="24"/>
          <w:szCs w:val="28"/>
        </w:rPr>
      </w:pPr>
      <w:r>
        <w:rPr>
          <w:rFonts w:cs="FrankRuehl" w:ascii="FrankRuehl" w:hAnsi="FrankRuehl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1945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איסור מימון טרור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2016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להתאחדות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FrankRuehl"/>
          <w:sz w:val="24"/>
          <w:szCs w:val="26"/>
        </w:rPr>
        <w:t>85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לתקנות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חירום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הסטטוטורית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מוכרת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פרשנות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–הגנות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משרד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שהעסיק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עורכי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פעילותו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הועברו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לאסירים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ביטחוניים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איגרות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החמאס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הארגון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האיגרות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הועברו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עבורו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הארגוני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ולעתים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ביטחוניים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בביטחון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להתאחדות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איסור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למטרות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במצטבר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הביקורים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בביטחון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המכביד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ביטחוניות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להפחתה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הסטטוטורית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להתאחדות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85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לתקנות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חירום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לתוקפו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המאבק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ובוטלה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85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לתקנות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ההגנה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החקיקה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המאבק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להתאחדות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85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לתקנות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ההגנה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הופחתה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המירבי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ההגנה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להפחתת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המאבק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יוותרו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בעינם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12"/>
          <w:szCs w:val="18"/>
          <w:u w:val="single"/>
        </w:rPr>
      </w:pPr>
      <w:r>
        <w:rPr>
          <w:rFonts w:cs="Times New Roman" w:ascii="Times New Roman" w:hAnsi="Times New Roman"/>
          <w:sz w:val="12"/>
          <w:szCs w:val="18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בפנינו </w:t>
      </w:r>
      <w:r>
        <w:rPr>
          <w:rFonts w:ascii="Times New Roman" w:hAnsi="Times New Roman" w:cs="Times New Roman"/>
          <w:rtl w:val="true"/>
        </w:rPr>
        <w:t>ערעור על פסק דינו של בית המשפט המחוזי</w:t>
      </w:r>
      <w:r>
        <w:rPr>
          <w:rFonts w:ascii="Times New Roman" w:hAnsi="Times New Roman" w:cs="Times New Roman"/>
          <w:rtl w:val="true"/>
        </w:rPr>
        <w:t xml:space="preserve"> ב</w:t>
      </w:r>
      <w:r>
        <w:rPr>
          <w:rFonts w:ascii="Times New Roman" w:hAnsi="Times New Roman" w:cs="Times New Roman"/>
          <w:rtl w:val="true"/>
        </w:rPr>
        <w:t>ירושלים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מוסק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-</w:t>
      </w:r>
      <w:hyperlink r:id="rId1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8321-04-14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 גם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העיקרי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במסגרתו בית המשפט המחוזי הנכבד השית על המערער את העונשים הבאים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 לריצוי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הפעלת מאסר מותנה של שנה אחת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שהוטל על המערער ב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36187-05-10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וזאת במצטבר לעונש המאסר שהוטל עליו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העיקרי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כך שבסך הכל אמור המערער לרצות עונש של </w:t>
      </w: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 בפועל החל מתאריך מעצרו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שנתיים מאסר על תנאי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למשך שלוש שנים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 בתנאי שהמערער לא יעבור את אחת העבירות בהן הורשע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נביא להלן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בתמצית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את הנתונים הדרושים להכרעה בערעור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רקע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/>
        <w:t>24.12.2015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3437/16</w:t>
      </w:r>
      <w:r>
        <w:rPr>
          <w:rtl w:val="true"/>
        </w:rPr>
        <w:t xml:space="preserve"> (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בינתיים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שבהמשך</w:t>
      </w:r>
      <w:r>
        <w:rPr>
          <w:rtl w:val="true"/>
        </w:rPr>
        <w:t xml:space="preserve">) </w:t>
      </w:r>
      <w:r>
        <w:rPr>
          <w:rFonts w:cs="Times New Roman" w:ascii="Times New Roman" w:hAnsi="Times New Roman"/>
          <w:rtl w:val="true"/>
        </w:rPr>
        <w:t>–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העונשין</w:t>
        </w:r>
      </w:hyperlink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התשל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1977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מתן שירות להתאחדות בלתי מותרת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עבירה לפי </w:t>
      </w:r>
      <w:hyperlink r:id="rId1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85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17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תקנות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ההגנה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שעת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חירום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>)</w:t>
        </w:r>
      </w:hyperlink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cs="Miriam" w:ascii="Times New Roman" w:hAnsi="Times New Roman"/>
          <w:spacing w:val="0"/>
          <w:sz w:val="28"/>
          <w:szCs w:val="24"/>
        </w:rPr>
        <w:t>1945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עשרות עבירות</w:t>
      </w:r>
      <w:r>
        <w:rPr>
          <w:rFonts w:cs="Times New Roman" w:ascii="Times New Roman" w:hAnsi="Times New Roman"/>
          <w:rtl w:val="true"/>
        </w:rPr>
        <w:t>)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תקנות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וכן עבירה של איסור פעולה ברכוש למטרות טרור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עבירה לפי </w:t>
      </w:r>
      <w:hyperlink r:id="rId1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8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19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איסור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מימון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טרור</w:t>
        </w:r>
      </w:hyperlink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התשס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2005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עשרות עבירות</w:t>
      </w:r>
      <w:r>
        <w:rPr>
          <w:rFonts w:cs="Times New Roman" w:ascii="Times New Roman" w:hAnsi="Times New Roman"/>
          <w:rtl w:val="true"/>
        </w:rPr>
        <w:t>).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numPr>
          <w:ilvl w:val="0"/>
          <w:numId w:val="1"/>
        </w:numPr>
        <w:overflowPunct w:val="true"/>
        <w:autoSpaceDE w:val="true"/>
        <w:ind w:hanging="0" w:start="0" w:end="0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בתמצית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במסגרת הכרעת הדין נקבע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השאר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המערער הפעיל משרד שהעסיק מספר עורכי 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ובמסגרת פעילותו הועברו לאסירים ביטחוניים איגרות של ארגון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החמאס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הארגון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 xml:space="preserve">האיגרות הללו הועברו במקרים רבים מטעם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הארגון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 עבורו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והן נועדו לשרת את מטרותיו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הארגון</w:t>
      </w:r>
      <w:r>
        <w:rPr>
          <w:rFonts w:ascii="Times New Roman" w:hAnsi="Times New Roman" w:cs="Times New Roman"/>
          <w:rtl w:val="true"/>
        </w:rPr>
        <w:t xml:space="preserve"> הן במישור הארגוני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ולעתים גם בעניינים ביטחוניים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פגיעה בביטחונה מדינת ישראל ובשלום הציבור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5"/>
        <w:spacing w:lineRule="auto" w:line="360"/>
        <w:ind w:end="128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numPr>
          <w:ilvl w:val="0"/>
          <w:numId w:val="1"/>
        </w:numPr>
        <w:overflowPunct w:val="true"/>
        <w:autoSpaceDE w:val="true"/>
        <w:ind w:hanging="0" w:start="0" w:end="0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בתאריך </w:t>
      </w:r>
      <w:r>
        <w:rPr>
          <w:rFonts w:cs="Times New Roman" w:ascii="Times New Roman" w:hAnsi="Times New Roman"/>
        </w:rPr>
        <w:t>07.03.2016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בית המשפט המחוזי הנכבד גזר את דינו של המערער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במסגרת זו נקבע כי מתחם הענישה ההולם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בנסיבות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יעמוד בין 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 לריצוי בפועל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המחוזי הנכבד שקל לחובת המערער את עברו הפלילי המכביד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הכולל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הרשעות בביצוע עבירות ביטחוניות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בגינן הוא ריצה עונשי מאסר ממושכים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בסיכום הדברים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בית המשפט המחוזי הנכבד השית על המערער את העונשים המפורטים בפיסקה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שלעיל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Style14"/>
        <w:spacing w:lineRule="auto" w:line="360"/>
        <w:ind w:end="0"/>
        <w:jc w:val="start"/>
        <w:rPr>
          <w:rFonts w:ascii="Times New Roman" w:hAnsi="Times New Roman" w:cs="Times New Roman"/>
          <w:sz w:val="24"/>
        </w:rPr>
      </w:pPr>
      <w:r>
        <w:rPr>
          <w:rFonts w:cs="Times New Roman"/>
          <w:sz w:val="24"/>
          <w:rtl w:val="true"/>
        </w:rPr>
      </w:r>
    </w:p>
    <w:p>
      <w:pPr>
        <w:pStyle w:val="Ruller41"/>
        <w:numPr>
          <w:ilvl w:val="0"/>
          <w:numId w:val="1"/>
        </w:numPr>
        <w:overflowPunct w:val="true"/>
        <w:autoSpaceDE w:val="true"/>
        <w:ind w:hanging="0" w:start="0" w:end="0"/>
        <w:jc w:val="both"/>
        <w:textAlignment w:val="auto"/>
        <w:rPr>
          <w:sz w:val="24"/>
          <w:szCs w:val="24"/>
        </w:rPr>
      </w:pPr>
      <w:r>
        <w:rPr>
          <w:rFonts w:ascii="Times New Roman" w:hAnsi="Times New Roman" w:cs="Times New Roman"/>
          <w:rtl w:val="true"/>
        </w:rPr>
        <w:t>למען שלמות התמונה נציין כי בית המשפט המחוזי הנכבד השית על המערערת ב</w:t>
      </w:r>
      <w:r>
        <w:rPr>
          <w:rFonts w:cs="Times New Roman" w:ascii="Times New Roman" w:hAnsi="Times New Roman"/>
          <w:rtl w:val="true"/>
        </w:rPr>
        <w:t>-</w:t>
      </w:r>
      <w:hyperlink r:id="rId2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3437/16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עונש מאסר כולל של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וכן עונש של מאסר על תנאי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המערערת</w:t>
      </w:r>
      <w:r>
        <w:rPr>
          <w:rFonts w:ascii="Times New Roman" w:hAnsi="Times New Roman" w:cs="Times New Roman"/>
          <w:rtl w:val="true"/>
        </w:rPr>
        <w:t xml:space="preserve"> הגישה ערעור לבית משפט זה כנגד פסק הדין </w:t>
      </w:r>
      <w:r>
        <w:rPr>
          <w:rFonts w:cs="Times New Roman" w:ascii="Times New Roman" w:hAnsi="Times New Roman"/>
          <w:rtl w:val="true"/>
        </w:rPr>
        <w:t>(</w:t>
      </w:r>
      <w:hyperlink r:id="rId2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3473/16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Style14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41"/>
        <w:overflowPunct w:val="true"/>
        <w:autoSpaceDE w:val="true"/>
        <w:ind w:end="0"/>
        <w:jc w:val="both"/>
        <w:textAlignment w:val="auto"/>
        <w:rPr>
          <w:sz w:val="24"/>
          <w:szCs w:val="24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בתאריך </w:t>
      </w:r>
      <w:r>
        <w:rPr/>
        <w:t>16.10.2017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נָתנו תוקף להסכמות באי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כוח הצדדים בעניינה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מכוחן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ערעורה על הכרעת הדין נדחה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וערעורה על גזר הדין התקבל בחלקו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כך שהופחתו מעונש המאסר בפועל שהושת עליה שלושה חודשי 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ויתר רכיבי העונש שנקבעו לה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נותרו בעינם</w:t>
      </w:r>
      <w:r>
        <w:rPr>
          <w:rFonts w:cs="Times New Roman" w:ascii="Times New Roman" w:hAnsi="Times New Roman"/>
          <w:rtl w:val="true"/>
        </w:rPr>
        <w:t>.</w:t>
      </w:r>
      <w:r>
        <w:rPr>
          <w:sz w:val="24"/>
          <w:szCs w:val="24"/>
          <w:rtl w:val="true"/>
        </w:rPr>
        <w:t xml:space="preserve"> </w:t>
      </w:r>
    </w:p>
    <w:p>
      <w:pPr>
        <w:pStyle w:val="Ruller41"/>
        <w:overflowPunct w:val="true"/>
        <w:autoSpaceDE w:val="true"/>
        <w:ind w:end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לליבון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במהלך הדיון שקיימנו בעניינו של המערער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באי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הצדדים הודיעו לנו כי הם הגיעו להסכמה ביניהם לפיה המערער יחזור בו מן הערעור על הכרעת הדין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והסכמה זו מתאשרת על ידינו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בצד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המערער ביקש להקל בעונשו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 על פי סיכום עם באת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כוח המשיבה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שיעור ההפחתה הושאר לשיקול דעתו של בית המשפט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 לאחר שבאי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הצדדים טענו לעניין זה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נתאר עכשיו את טיעוני באי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הצדדים בהקשר לחומרת העונש</w:t>
      </w:r>
      <w:r>
        <w:rPr>
          <w:rFonts w:cs="Times New Roman" w:ascii="Times New Roman" w:hAnsi="Times New Roman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כוח המערער הפנה את תשומת הלב לעובדה שהמשיבה הסכימה להפחתה מסוימת בעונשו של המערער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פיסקה </w:t>
      </w:r>
      <w:r>
        <w:rPr>
          <w:rFonts w:cs="Times New Roman" w:ascii="Times New Roman" w:hAnsi="Times New Roman"/>
        </w:rPr>
        <w:t>33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לעיקרי הטיעון מטעם המשיבה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בהתחשב בכך שלאחר מתן גזר הדין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</w:t>
      </w:r>
      <w:hyperlink r:id="rId22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המאבק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בטרור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תשע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ו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>-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</w:rPr>
          <w:t>2016</w:t>
        </w:r>
      </w:hyperlink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להלן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המאבק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בטרור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נכנס לתוקפו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וזה קבע עונש נמוך יותר ביחס לאחת העבירות שבהן המערער הורשע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מתן שירות להתאחדות בלתי מותרת לפי </w:t>
      </w:r>
      <w:hyperlink r:id="rId2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85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תקנות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cs="Times New Roman" w:ascii="Times New Roman" w:hAnsi="Times New Roman"/>
          <w:rtl w:val="true"/>
        </w:rPr>
        <w:t>).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זאת ועוד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אחרת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לטענת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גורמי שב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ס ידעו כי עורכי הדין שהופעלו על ידי המערער וביקרו את האסירים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אינם עושים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לגירסתו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רק מטעמים משפטיים מקצועיים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טהורים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אלא גם משיקולים נוספים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הומניטריים ואחרים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לשיטת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היתה איפוא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הסכמה שבשתיקה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מצד גורמי שב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ס לפעולות הנ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והדבר מצדיק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לטענתו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הקלה בעונשו של המערער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Style14"/>
        <w:spacing w:lineRule="auto" w:line="360"/>
        <w:ind w:end="0"/>
        <w:jc w:val="start"/>
        <w:rPr>
          <w:rFonts w:ascii="Times New Roman" w:hAnsi="Times New Roman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המערער ביקש עוד ליתן משקל לכך ששאלות משפטיות שהועלו על ידו במסגרת הערעור על הכרעת הדין לעניין קבילותה ומשקלה של חוות דעת מומחה שב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שהוגשה בתיק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טרם הוכרעו בפסיקה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וכי לא נמצא גם תקדים זהה לנסיבות המקרה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לעניין הענישה הראויה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כוח המערער הוסיף וגרס כי העונש שהושת על המערער מחמיר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שדנה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לשיטתו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בנושאים קרובים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ab/>
      </w:r>
      <w:r>
        <w:rPr>
          <w:rtl w:val="true"/>
        </w:rPr>
        <w:t>בסיכום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נפחית</w:t>
      </w:r>
      <w:r>
        <w:rPr>
          <w:rtl w:val="true"/>
        </w:rPr>
        <w:t xml:space="preserve">, </w:t>
      </w:r>
      <w:r>
        <w:rPr>
          <w:rtl w:val="true"/>
        </w:rPr>
        <w:t>למיצער</w:t>
      </w:r>
      <w:r>
        <w:rPr>
          <w:rtl w:val="true"/>
        </w:rPr>
        <w:t xml:space="preserve">,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המשיבה טענה בתגובה כי מכל הטענות שבא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כוח המערער העלה להקלה בעונשו של המערער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היא מוכנה להסכים רק לטיעון הקשור בהפחתת עונש המאסר המירבי שנקבע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המאבק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בטרור</w:t>
      </w:r>
      <w:r>
        <w:rPr>
          <w:rFonts w:cs="Times New Roman" w:ascii="Times New Roman" w:hAnsi="Times New Roman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בתקנות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הבטחוניים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מקצועיים</w:t>
      </w:r>
      <w:r>
        <w:rPr>
          <w:rtl w:val="true"/>
        </w:rPr>
        <w:t>-</w:t>
      </w:r>
      <w:r>
        <w:rPr>
          <w:rtl w:val="true"/>
        </w:rPr>
        <w:t>משפטיים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הומניטריים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מרביתן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בטחוניות</w:t>
      </w:r>
      <w:r>
        <w:rPr>
          <w:rtl w:val="true"/>
        </w:rPr>
        <w:t xml:space="preserve">),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לגירסתה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)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להסתכם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נתקדם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tl w:val="true"/>
        </w:rPr>
        <w:t xml:space="preserve">. </w:t>
      </w:r>
    </w:p>
    <w:p>
      <w:pPr>
        <w:pStyle w:val="Style14"/>
        <w:spacing w:lineRule="auto" w:line="360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Style14"/>
        <w:spacing w:lineRule="auto" w:line="360"/>
        <w:ind w:end="0"/>
        <w:jc w:val="start"/>
        <w:rPr>
          <w:rFonts w:ascii="Times New Roman" w:hAnsi="Times New Roman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שבתיק</w:t>
      </w:r>
      <w:r>
        <w:rPr>
          <w:rtl w:val="true"/>
        </w:rPr>
        <w:t xml:space="preserve">, </w:t>
      </w:r>
      <w:r>
        <w:rPr>
          <w:rtl w:val="true"/>
        </w:rPr>
        <w:t>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ובדקנו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להתקבל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חלקי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96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יופחתו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 xml:space="preserve">. </w:t>
      </w:r>
      <w:r>
        <w:rPr>
          <w:rtl w:val="true"/>
        </w:rPr>
        <w:t>ההנמקה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לקביעותינו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Style14"/>
        <w:spacing w:lineRule="auto" w:line="360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overflowPunct w:val="true"/>
        <w:autoSpaceDE w:val="true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rtl w:val="true"/>
        </w:rPr>
        <w:t xml:space="preserve">בראשית הדברים נציין כי איננו מקבלים את טענת המערער לעניין קיומה של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גושפנקא למערך הביקורים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כלשונו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המצדיקה הקלה בעונשו נוכח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הגנה מן הצדק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פיסקה </w:t>
      </w:r>
      <w:r>
        <w:rPr>
          <w:rFonts w:cs="Times New Roman" w:ascii="Times New Roman" w:hAnsi="Times New Roman"/>
        </w:rPr>
        <w:t>33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לעיקרי הטיעון מטעמו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בית המשפט המחוזי הנכבד קבע בהכרעת הדין כי לא נמצא בסיס עובדתי לטענה זו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וקבע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יסוד עדותו של גנ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מ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ביטון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שב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ס</w:t>
      </w:r>
      <w:r>
        <w:rPr>
          <w:rFonts w:cs="Times New Roman" w:ascii="Times New Roman" w:hAnsi="Times New Roman"/>
          <w:rtl w:val="true"/>
        </w:rPr>
        <w:t xml:space="preserve">: 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Times New Roman" w:ascii="Times New Roman" w:hAnsi="Times New Roman"/>
          <w:rtl w:val="true"/>
        </w:rPr>
        <w:t>"</w:t>
      </w:r>
      <w:r>
        <w:rPr>
          <w:rtl w:val="true"/>
        </w:rPr>
        <w:t>כיבד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שחתמו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הארגוניות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246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overflowPunct w:val="true"/>
        <w:autoSpaceDE w:val="true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1"/>
        <w:overflowPunct w:val="true"/>
        <w:autoSpaceDE w:val="true"/>
        <w:ind w:end="0"/>
        <w:jc w:val="both"/>
        <w:textAlignment w:val="auto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לא מצאנו טעם טוב לסטות מקביעה עובדתית זו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בהקשר זה ראו גם פיסקה </w:t>
      </w:r>
      <w:r>
        <w:rPr>
          <w:rFonts w:cs="Times New Roman" w:ascii="Times New Roman" w:hAnsi="Times New Roman"/>
        </w:rPr>
        <w:t>57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לגזר הדין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בנסיבות אלו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דין הטענה להקלה בעונש על בסיס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הגנה מן הצדק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cs="Times New Roman" w:ascii="Times New Roman" w:hAnsi="Times New Roman"/>
          <w:rtl w:val="true"/>
        </w:rPr>
        <w:t>–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להידחות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השוו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7621/14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גוטסדינר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01.03.2017</w:t>
      </w:r>
      <w:r>
        <w:rPr>
          <w:rtl w:val="true"/>
        </w:rPr>
        <w:t>)).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השוו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2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2891/12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רבעא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15.7.2012</w:t>
      </w:r>
      <w:r>
        <w:rPr>
          <w:rFonts w:cs="Times New Roman" w:ascii="Times New Roman" w:hAnsi="Times New Roman"/>
          <w:rtl w:val="true"/>
        </w:rPr>
        <w:t xml:space="preserve">); </w:t>
      </w:r>
      <w:hyperlink r:id="rId26">
        <w:bookmarkStart w:id="17" w:name="Text1"/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5152/12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דסוקי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bookmarkEnd w:id="17"/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22.04.2013</w:t>
      </w:r>
      <w:r>
        <w:rPr>
          <w:rFonts w:cs="Times New Roman" w:ascii="Times New Roman" w:hAnsi="Times New Roman"/>
          <w:rtl w:val="true"/>
        </w:rPr>
        <w:t xml:space="preserve">); </w:t>
      </w:r>
      <w:hyperlink r:id="rId2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7368/12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אגבאריה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28.04.2013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1388/13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18.11.2013</w:t>
      </w:r>
      <w:r>
        <w:rPr>
          <w:rFonts w:cs="Times New Roman" w:ascii="Times New Roman" w:hAnsi="Times New Roman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וכן עברו הפלילי המכביד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הכולל ריצוי עונשי מאסר בגין הרשעות בביצוע עבירות ביטחוניות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אינם מצדיקים הקלה בעונשו של המערער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עם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מצאנו כי יש מקום להפחתה מסויימת בעונשו של המערער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הטעם לכך מבוסס בעיקרו על שינוי המדיניות הסטטוטורית ביחס לאחת העבירות בהן הורשע המערער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להתאחדות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תקנות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מה שהביא גם את באת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המשיבה להסכים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בהגינותה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יש מקום להקל קמעא בעונשו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הכל כמבואר בפיסקה הבאה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Style14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sz w:val="28"/>
          <w:sz w:val="28"/>
          <w:rtl w:val="true"/>
        </w:rPr>
        <w:t>בתאריך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01.11.2016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לתוקפו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המאבק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בטרור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</w:t>
      </w:r>
      <w:r>
        <w:rPr>
          <w:sz w:val="28"/>
          <w:sz w:val="28"/>
          <w:rtl w:val="true"/>
        </w:rPr>
        <w:t>בתאריך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01.03.2017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בוטלה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3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תקנה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85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תקנות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3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100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המאבק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בטרור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ועיינו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Times New Roman" w:ascii="Times New Roman" w:hAnsi="Times New Roman"/>
          <w:rtl w:val="true"/>
        </w:rPr>
        <w:t xml:space="preserve"> </w:t>
      </w:r>
      <w:hyperlink r:id="rId3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6434/15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04.07.2017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שינוי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החקיקה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23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המאבק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בטרור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sz w:val="28"/>
          <w:sz w:val="28"/>
          <w:rtl w:val="true"/>
        </w:rPr>
        <w:t>שעניינו</w:t>
      </w:r>
      <w:r>
        <w:rPr>
          <w:sz w:val="28"/>
          <w:rtl w:val="true"/>
        </w:rPr>
        <w:t>: "</w:t>
      </w:r>
      <w:r>
        <w:rPr>
          <w:sz w:val="28"/>
          <w:sz w:val="28"/>
          <w:rtl w:val="true"/>
        </w:rPr>
        <w:t>מתן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העמדת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אמצעים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לארגון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טרור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מירבי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בכך חומרת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להתאחדות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מותרת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3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85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u w:val="single"/>
          </w:rPr>
          <w:t>1</w:t>
        </w:r>
        <w:r>
          <w:rPr>
            <w:rStyle w:val="Hyperlink"/>
            <w:color w:val="0000FF"/>
            <w:sz w:val="28"/>
            <w:u w:val="single"/>
            <w:rtl w:val="true"/>
          </w:rPr>
          <w:t>)(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ג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תקנות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)</w:t>
      </w:r>
      <w:r>
        <w:rPr>
          <w:sz w:val="28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הופחתה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המירבי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שהיה קבוע בצד העבירה הנ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ל לפי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תקנות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עמד בשעתו על 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נוכח האמור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sz w:val="28"/>
          <w:sz w:val="28"/>
          <w:rtl w:val="true"/>
        </w:rPr>
        <w:t>באת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המשיבה הסכימה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להפחתת מה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בעונשו של המערער שהורשע גם בעבירה זו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פיסקה </w:t>
      </w:r>
      <w:r>
        <w:rPr>
          <w:rFonts w:cs="Times New Roman" w:ascii="Times New Roman" w:hAnsi="Times New Roman"/>
        </w:rPr>
        <w:t>33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לעיקרי הטיעון מטעם המשיבה</w:t>
      </w:r>
      <w:r>
        <w:rPr>
          <w:rFonts w:cs="Times New Roman" w:ascii="Times New Roman" w:hAnsi="Times New Roman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בנסיבות העניין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מצאנו איפוא כי יש ליתן כאן ביטוי לשינוי שחל בגישת המחוקק בעבירה של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מתן שירות לארגון טרור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המאבק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בטרור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 על דרך 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הקלה מתונה בעונש המאסר בפועל שהוטל על המערער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כדי הפחתה של עשרה חודשים מעונש המאסר שהושת עליו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Style14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הדין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מתקבל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בחלקו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96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13.03.2018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  <w:color w:val="FFFFFF"/>
          <w:sz w:val="2"/>
          <w:szCs w:val="2"/>
        </w:rPr>
      </w:pPr>
      <w:r>
        <w:rPr>
          <w:rFonts w:cs="Times New Roman" w:ascii="Times New Roman" w:hAnsi="Times New Roman"/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16033930</w:t>
      </w:r>
      <w:r>
        <w:rPr>
          <w:sz w:val="16"/>
          <w:rtl w:val="true"/>
        </w:rPr>
        <w:t>_</w:t>
      </w:r>
      <w:r>
        <w:rPr>
          <w:sz w:val="16"/>
        </w:rPr>
        <w:t>K09.doc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דנ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5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54678313-3393/16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3393/16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מדחת מוחמד עיסאווי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Times New Roman" w:hAnsi="Times New Roman" w:cs="FrankRueh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big-number">
    <w:name w:val="big-number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Style14">
    <w:name w:val="פיסקת רשימה"/>
    <w:basedOn w:val="Normal"/>
    <w:qFormat/>
    <w:pPr>
      <w:ind w:hanging="0" w:start="720" w:end="0"/>
      <w:jc w:val="start"/>
    </w:pPr>
    <w:rPr/>
  </w:style>
  <w:style w:type="paragraph" w:styleId="big-header">
    <w:name w:val="big-header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310056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14.a" TargetMode="External"/><Relationship Id="rId5" Type="http://schemas.openxmlformats.org/officeDocument/2006/relationships/hyperlink" Target="http://www.nevo.co.il/law/73729" TargetMode="External"/><Relationship Id="rId6" Type="http://schemas.openxmlformats.org/officeDocument/2006/relationships/hyperlink" Target="http://www.nevo.co.il/law/73729/85" TargetMode="External"/><Relationship Id="rId7" Type="http://schemas.openxmlformats.org/officeDocument/2006/relationships/hyperlink" Target="http://www.nevo.co.il/law/73729/85.1.c" TargetMode="External"/><Relationship Id="rId8" Type="http://schemas.openxmlformats.org/officeDocument/2006/relationships/hyperlink" Target="http://www.nevo.co.il/law/73854" TargetMode="External"/><Relationship Id="rId9" Type="http://schemas.openxmlformats.org/officeDocument/2006/relationships/hyperlink" Target="http://www.nevo.co.il/law/73854/8.a" TargetMode="External"/><Relationship Id="rId10" Type="http://schemas.openxmlformats.org/officeDocument/2006/relationships/hyperlink" Target="http://www.nevo.co.il/law/141771" TargetMode="External"/><Relationship Id="rId11" Type="http://schemas.openxmlformats.org/officeDocument/2006/relationships/hyperlink" Target="http://www.nevo.co.il/law/141771/23" TargetMode="External"/><Relationship Id="rId12" Type="http://schemas.openxmlformats.org/officeDocument/2006/relationships/hyperlink" Target="http://www.nevo.co.il/law/141771/100" TargetMode="External"/><Relationship Id="rId13" Type="http://schemas.openxmlformats.org/officeDocument/2006/relationships/hyperlink" Target="http://www.nevo.co.il/case/13100566" TargetMode="External"/><Relationship Id="rId14" Type="http://schemas.openxmlformats.org/officeDocument/2006/relationships/hyperlink" Target="http://www.nevo.co.il/law/70301/114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3729/85.1.c" TargetMode="External"/><Relationship Id="rId17" Type="http://schemas.openxmlformats.org/officeDocument/2006/relationships/hyperlink" Target="http://www.nevo.co.il/law/73729" TargetMode="External"/><Relationship Id="rId18" Type="http://schemas.openxmlformats.org/officeDocument/2006/relationships/hyperlink" Target="http://www.nevo.co.il/law/73854/8.a" TargetMode="External"/><Relationship Id="rId19" Type="http://schemas.openxmlformats.org/officeDocument/2006/relationships/hyperlink" Target="http://www.nevo.co.il/law/73854" TargetMode="External"/><Relationship Id="rId20" Type="http://schemas.openxmlformats.org/officeDocument/2006/relationships/hyperlink" Target="http://www.nevo.co.il/case/21473567" TargetMode="External"/><Relationship Id="rId21" Type="http://schemas.openxmlformats.org/officeDocument/2006/relationships/hyperlink" Target="http://www.nevo.co.il/case/21473616" TargetMode="External"/><Relationship Id="rId22" Type="http://schemas.openxmlformats.org/officeDocument/2006/relationships/hyperlink" Target="http://www.nevo.co.il/law/141771" TargetMode="External"/><Relationship Id="rId23" Type="http://schemas.openxmlformats.org/officeDocument/2006/relationships/hyperlink" Target="http://www.nevo.co.il/law/73729/85.1.c" TargetMode="External"/><Relationship Id="rId24" Type="http://schemas.openxmlformats.org/officeDocument/2006/relationships/hyperlink" Target="http://www.nevo.co.il/case/18653868" TargetMode="External"/><Relationship Id="rId25" Type="http://schemas.openxmlformats.org/officeDocument/2006/relationships/hyperlink" Target="http://www.nevo.co.il/case/5581438" TargetMode="External"/><Relationship Id="rId26" Type="http://schemas.openxmlformats.org/officeDocument/2006/relationships/hyperlink" Target="http://www.nevo.co.il/case/5589766" TargetMode="External"/><Relationship Id="rId27" Type="http://schemas.openxmlformats.org/officeDocument/2006/relationships/hyperlink" Target="http://www.nevo.co.il/case/5601136" TargetMode="External"/><Relationship Id="rId28" Type="http://schemas.openxmlformats.org/officeDocument/2006/relationships/hyperlink" Target="http://www.nevo.co.il/case/6548373" TargetMode="External"/><Relationship Id="rId29" Type="http://schemas.openxmlformats.org/officeDocument/2006/relationships/hyperlink" Target="http://www.nevo.co.il/law/73729/85.1.c" TargetMode="External"/><Relationship Id="rId30" Type="http://schemas.openxmlformats.org/officeDocument/2006/relationships/hyperlink" Target="http://www.nevo.co.il/law/73729/85" TargetMode="External"/><Relationship Id="rId31" Type="http://schemas.openxmlformats.org/officeDocument/2006/relationships/hyperlink" Target="http://www.nevo.co.il/law/141771/100" TargetMode="External"/><Relationship Id="rId32" Type="http://schemas.openxmlformats.org/officeDocument/2006/relationships/hyperlink" Target="http://www.nevo.co.il/case/20593844" TargetMode="External"/><Relationship Id="rId33" Type="http://schemas.openxmlformats.org/officeDocument/2006/relationships/hyperlink" Target="http://www.nevo.co.il/law/141771/23" TargetMode="External"/><Relationship Id="rId34" Type="http://schemas.openxmlformats.org/officeDocument/2006/relationships/hyperlink" Target="http://www.nevo.co.il/law/73729/85.1.c" TargetMode="External"/><Relationship Id="rId35" Type="http://schemas.openxmlformats.org/officeDocument/2006/relationships/hyperlink" Target="http://www.court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2018-03-15T16:34:00Z</dcterms:created>
  <dc:creator> </dc:creator>
  <dc:description/>
  <cp:keywords/>
  <dc:language>en-IL</dc:language>
  <cp:lastModifiedBy>orly</cp:lastModifiedBy>
  <cp:lastPrinted>2018-03-11T10:51:00Z</cp:lastPrinted>
  <dcterms:modified xsi:type="dcterms:W3CDTF">2018-03-15T16:34:00Z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מדחת מוחמד עיסאווי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13100567;13100566;21473567;21473616;18653868;5581438;5589766;5601136;6548373;20593844</vt:lpwstr>
  </property>
  <property fmtid="{D5CDD505-2E9C-101B-9397-08002B2CF9AE}" pid="9" name="CITY">
    <vt:lpwstr/>
  </property>
  <property fmtid="{D5CDD505-2E9C-101B-9397-08002B2CF9AE}" pid="10" name="DATE">
    <vt:lpwstr>20180313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הנדל;ד' מינץ;ה ח' מלצר</vt:lpwstr>
  </property>
  <property fmtid="{D5CDD505-2E9C-101B-9397-08002B2CF9AE}" pid="14" name="LAWLISTTMP1">
    <vt:lpwstr>70301/114.a</vt:lpwstr>
  </property>
  <property fmtid="{D5CDD505-2E9C-101B-9397-08002B2CF9AE}" pid="15" name="LAWLISTTMP2">
    <vt:lpwstr>73729/085.1.c:4;085</vt:lpwstr>
  </property>
  <property fmtid="{D5CDD505-2E9C-101B-9397-08002B2CF9AE}" pid="16" name="LAWLISTTMP3">
    <vt:lpwstr>73854/008.a</vt:lpwstr>
  </property>
  <property fmtid="{D5CDD505-2E9C-101B-9397-08002B2CF9AE}" pid="17" name="LAWLISTTMP4">
    <vt:lpwstr>141771/100;023</vt:lpwstr>
  </property>
  <property fmtid="{D5CDD505-2E9C-101B-9397-08002B2CF9AE}" pid="18" name="LAWYER">
    <vt:lpwstr>הילה גורני;חלאילה מוחמד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פרשנות</vt:lpwstr>
  </property>
  <property fmtid="{D5CDD505-2E9C-101B-9397-08002B2CF9AE}" pid="33" name="NOSE14">
    <vt:lpwstr>דיון פלילי</vt:lpwstr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77;77;84;18</vt:lpwstr>
  </property>
  <property fmtid="{D5CDD505-2E9C-101B-9397-08002B2CF9AE}" pid="40" name="NOSE21">
    <vt:lpwstr>עבירות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דין</vt:lpwstr>
  </property>
  <property fmtid="{D5CDD505-2E9C-101B-9397-08002B2CF9AE}" pid="44" name="NOSE24">
    <vt:lpwstr>הגנות</vt:lpwstr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1443;1446;1517;13848</vt:lpwstr>
  </property>
  <property fmtid="{D5CDD505-2E9C-101B-9397-08002B2CF9AE}" pid="51" name="NOSE31">
    <vt:lpwstr>ביצוע שירות עבור התאחדות בלתי מוכרת</vt:lpwstr>
  </property>
  <property fmtid="{D5CDD505-2E9C-101B-9397-08002B2CF9AE}" pid="52" name="NOSE310">
    <vt:lpwstr/>
  </property>
  <property fmtid="{D5CDD505-2E9C-101B-9397-08002B2CF9AE}" pid="53" name="NOSE32">
    <vt:lpwstr>מדיניות ענישה: עבירות ביטחון</vt:lpwstr>
  </property>
  <property fmtid="{D5CDD505-2E9C-101B-9397-08002B2CF9AE}" pid="54" name="NOSE33">
    <vt:lpwstr>חוק המאבק בטרור</vt:lpwstr>
  </property>
  <property fmtid="{D5CDD505-2E9C-101B-9397-08002B2CF9AE}" pid="55" name="NOSE34">
    <vt:lpwstr>הגנה מן הצדק</vt:lpwstr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8771;8985;17479;13849</vt:lpwstr>
  </property>
  <property fmtid="{D5CDD505-2E9C-101B-9397-08002B2CF9AE}" pid="62" name="PADIDATE">
    <vt:lpwstr>20180315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3393</vt:lpwstr>
  </property>
  <property fmtid="{D5CDD505-2E9C-101B-9397-08002B2CF9AE}" pid="68" name="PROCYEAR">
    <vt:lpwstr>16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410120180313</vt:lpwstr>
  </property>
  <property fmtid="{D5CDD505-2E9C-101B-9397-08002B2CF9AE}" pid="72" name="TYPE_N_DATE">
    <vt:lpwstr>41020180313</vt:lpwstr>
  </property>
  <property fmtid="{D5CDD505-2E9C-101B-9397-08002B2CF9AE}" pid="73" name="VOLUME">
    <vt:lpwstr/>
  </property>
  <property fmtid="{D5CDD505-2E9C-101B-9397-08002B2CF9AE}" pid="74" name="WORDNUMPAGES">
    <vt:lpwstr>7</vt:lpwstr>
  </property>
</Properties>
</file>