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3415/23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3440/23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3415/23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3440/23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עוכזי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3415/23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3440/23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21.3.2023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40232-01-21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צפריר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003"/>
        <w:gridCol w:w="213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0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19.10.</w:t>
            </w:r>
            <w:r>
              <w:rPr>
                <w:sz w:val="24"/>
                <w:szCs w:val="24"/>
              </w:rPr>
              <w:t>2023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21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3415/23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3440/23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גאנם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3415/23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3440/23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bookmarkStart w:id="7" w:name="ABSTRACT_START"/>
      <w:bookmarkEnd w:id="7"/>
      <w:r>
        <w:rPr>
          <w:rStyle w:val="big-number"/>
          <w:rFonts w:cs="FrankRuehl"/>
          <w:szCs w:val="26"/>
          <w:rtl w:val="true"/>
        </w:rPr>
        <w:t>מיני</w:t>
      </w:r>
      <w:r>
        <w:rPr>
          <w:rStyle w:val="big-number"/>
          <w:rFonts w:cs="FrankRuehl"/>
          <w:szCs w:val="26"/>
          <w:rtl w:val="true"/>
        </w:rPr>
        <w:t>-</w:t>
      </w:r>
      <w:r>
        <w:rPr>
          <w:rStyle w:val="big-number"/>
          <w:rFonts w:cs="FrankRuehl"/>
          <w:szCs w:val="26"/>
          <w:rtl w:val="true"/>
        </w:rPr>
        <w:t>רציו</w:t>
      </w:r>
      <w:r>
        <w:rPr>
          <w:rStyle w:val="big-number"/>
          <w:rFonts w:cs="FrankRuehl"/>
          <w:szCs w:val="26"/>
          <w:rtl w:val="true"/>
        </w:rPr>
        <w:t>: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 xml:space="preserve">* </w:t>
      </w:r>
      <w:r>
        <w:rPr>
          <w:rStyle w:val="big-number"/>
          <w:rFonts w:cs="FrankRuehl"/>
          <w:szCs w:val="26"/>
          <w:rtl w:val="true"/>
        </w:rPr>
        <w:t>בימ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פסק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יורשע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448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א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רישא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לחוק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העונשין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ולא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סיפא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משלא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ניתנה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</w:t>
      </w:r>
      <w:r>
        <w:rPr>
          <w:rStyle w:val="big-number"/>
          <w:rFonts w:cs="FrankRuehl"/>
          <w:szCs w:val="26"/>
          <w:rtl w:val="true"/>
        </w:rPr>
        <w:t>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הזדמנות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נאותה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להתגונן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מפני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שעניינה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בנכס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המשמש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הציבור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,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ומשלא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הוכחה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שעניינה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 xml:space="preserve">; </w:t>
      </w:r>
      <w:r>
        <w:rPr>
          <w:rStyle w:val="big-number"/>
          <w:rFonts w:cs="FrankRuehl"/>
          <w:szCs w:val="26"/>
          <w:rtl w:val="true"/>
        </w:rPr>
        <w:t>חרף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שינוי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העבירה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נפסק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העונש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שהוטל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שכלל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40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חודשי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מאסר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בפועל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ייוותר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כנו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בהיותו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הולם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חומרת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העבירה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מדיניות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הענישה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הנוהגת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נסיבות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העניין</w:t>
      </w:r>
      <w:r>
        <w:rPr>
          <w:rStyle w:val="big-number"/>
          <w:rFonts w:cs="FrankRuehl"/>
          <w:szCs w:val="26"/>
          <w:rtl w:val="true"/>
        </w:rPr>
        <w:t>.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Style w:val="big-number"/>
          <w:rFonts w:cs="FrankRuehl"/>
          <w:szCs w:val="26"/>
          <w:rtl w:val="true"/>
        </w:rPr>
        <w:t xml:space="preserve">* </w:t>
      </w:r>
      <w:r>
        <w:rPr>
          <w:rStyle w:val="big-number"/>
          <w:rFonts w:cs="FrankRuehl"/>
          <w:szCs w:val="26"/>
          <w:rtl w:val="true"/>
        </w:rPr>
        <w:t>דיון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פלילי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הרשעה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צוינה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בכתב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האישום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Style w:val="big-number"/>
          <w:rFonts w:cs="FrankRuehl"/>
          <w:szCs w:val="26"/>
          <w:rtl w:val="true"/>
        </w:rPr>
        <w:t xml:space="preserve">* </w:t>
      </w:r>
      <w:r>
        <w:rPr>
          <w:rStyle w:val="big-number"/>
          <w:rFonts w:cs="FrankRuehl"/>
          <w:szCs w:val="26"/>
          <w:rtl w:val="true"/>
        </w:rPr>
        <w:t>דיון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פלילי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הרשעה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rFonts w:cs="FrankRuehl"/>
          <w:szCs w:val="26"/>
          <w:rtl w:val="true"/>
        </w:rPr>
        <w:t>-</w:t>
      </w:r>
      <w:r>
        <w:rPr>
          <w:rStyle w:val="big-number"/>
          <w:rFonts w:cs="FrankRuehl"/>
          <w:szCs w:val="26"/>
          <w:rtl w:val="true"/>
        </w:rPr>
        <w:t>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עובדות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נטענו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Style w:val="big-number"/>
          <w:rFonts w:cs="FrankRuehl"/>
          <w:szCs w:val="26"/>
          <w:rtl w:val="true"/>
        </w:rPr>
        <w:t xml:space="preserve">* </w:t>
      </w:r>
      <w:r>
        <w:rPr>
          <w:rStyle w:val="big-number"/>
          <w:rFonts w:cs="FrankRuehl"/>
          <w:szCs w:val="26"/>
          <w:rtl w:val="true"/>
        </w:rPr>
        <w:t>עונשין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עבירות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Style w:val="big-number"/>
          <w:rFonts w:cs="FrankRuehl"/>
          <w:szCs w:val="26"/>
          <w:rtl w:val="true"/>
        </w:rPr>
        <w:t xml:space="preserve">* </w:t>
      </w:r>
      <w:r>
        <w:rPr>
          <w:rStyle w:val="big-number"/>
          <w:rFonts w:cs="FrankRuehl"/>
          <w:szCs w:val="26"/>
          <w:rtl w:val="true"/>
        </w:rPr>
        <w:t>עונשין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ענישה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מדיניות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ענישה</w:t>
      </w:r>
      <w:r>
        <w:rPr>
          <w:rStyle w:val="big-number"/>
          <w:rFonts w:cs="FrankRuehl"/>
          <w:szCs w:val="26"/>
          <w:rtl w:val="true"/>
        </w:rPr>
        <w:t xml:space="preserve">: </w:t>
      </w:r>
      <w:r>
        <w:rPr>
          <w:rStyle w:val="big-number"/>
          <w:rFonts w:cs="FrankRuehl"/>
          <w:szCs w:val="26"/>
          <w:rtl w:val="true"/>
        </w:rPr>
        <w:t>הצתה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 xml:space="preserve">* </w:t>
      </w:r>
      <w:r>
        <w:rPr>
          <w:rStyle w:val="big-number"/>
          <w:rFonts w:cs="FrankRuehl"/>
          <w:szCs w:val="26"/>
          <w:rtl w:val="true"/>
        </w:rPr>
        <w:t>עונשין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ענישה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מדיניות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ענישה</w:t>
      </w:r>
      <w:r>
        <w:rPr>
          <w:rStyle w:val="big-number"/>
          <w:rFonts w:cs="FrankRuehl"/>
          <w:szCs w:val="26"/>
          <w:rtl w:val="true"/>
        </w:rPr>
        <w:t xml:space="preserve">: </w:t>
      </w:r>
      <w:r>
        <w:rPr>
          <w:rStyle w:val="big-number"/>
          <w:rFonts w:cs="FrankRuehl"/>
          <w:szCs w:val="26"/>
          <w:rtl w:val="true"/>
        </w:rPr>
        <w:t>התערבות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ערכאת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>ע</w:t>
      </w:r>
      <w:r>
        <w:rPr>
          <w:rStyle w:val="big-number"/>
          <w:rFonts w:cs="FrankRuehl"/>
          <w:szCs w:val="26"/>
          <w:rtl w:val="true"/>
        </w:rPr>
        <w:t>רעור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הכרעת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דינו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בי</w:t>
      </w:r>
      <w:r>
        <w:rPr>
          <w:rStyle w:val="big-number"/>
          <w:rFonts w:cs="FrankRuehl"/>
          <w:szCs w:val="26"/>
          <w:rtl w:val="true"/>
        </w:rPr>
        <w:t>מ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המחוזי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</w:t>
      </w:r>
      <w:r>
        <w:rPr>
          <w:rStyle w:val="big-number"/>
          <w:rFonts w:cs="FrankRuehl"/>
          <w:szCs w:val="26"/>
          <w:rtl w:val="true"/>
        </w:rPr>
        <w:t>מסגרת</w:t>
      </w:r>
      <w:r>
        <w:rPr>
          <w:rStyle w:val="big-number"/>
          <w:rFonts w:cs="FrankRuehl"/>
          <w:szCs w:val="26"/>
          <w:rtl w:val="true"/>
        </w:rPr>
        <w:t>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הורשע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פ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3415/23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</w:t>
      </w:r>
      <w:r>
        <w:rPr>
          <w:rStyle w:val="big-number"/>
          <w:rFonts w:cs="FrankRuehl"/>
          <w:szCs w:val="26"/>
          <w:rtl w:val="true"/>
        </w:rPr>
        <w:t>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</w:t>
      </w:r>
      <w:r>
        <w:rPr>
          <w:rStyle w:val="big-number"/>
          <w:rFonts w:cs="FrankRuehl"/>
          <w:szCs w:val="26"/>
          <w:rtl w:val="true"/>
        </w:rPr>
        <w:t>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מסעדה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448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א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סיפא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</w:t>
      </w:r>
      <w:r>
        <w:rPr>
          <w:rStyle w:val="big-number"/>
          <w:rFonts w:cs="FrankRuehl"/>
          <w:szCs w:val="26"/>
          <w:rtl w:val="true"/>
        </w:rPr>
        <w:t>חוק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העונשין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בנוסף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ע</w:t>
      </w:r>
      <w:r>
        <w:rPr>
          <w:rStyle w:val="big-number"/>
          <w:rFonts w:cs="FrankRuehl"/>
          <w:szCs w:val="26"/>
          <w:rtl w:val="true"/>
        </w:rPr>
        <w:t>רעורי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והמדינה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נסבים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גזר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הדין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שבגדרו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הושת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עונש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40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חודשי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מאסר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בפועל</w:t>
      </w:r>
      <w:r>
        <w:rPr>
          <w:rStyle w:val="big-number"/>
          <w:rFonts w:cs="FrankRuehl"/>
          <w:szCs w:val="26"/>
          <w:rtl w:val="true"/>
        </w:rPr>
        <w:t xml:space="preserve">; </w:t>
      </w:r>
      <w:r>
        <w:rPr>
          <w:rStyle w:val="big-number"/>
          <w:rFonts w:cs="FrankRuehl"/>
          <w:szCs w:val="26"/>
        </w:rPr>
        <w:t>8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חודשי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מאסר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תנאי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למשך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3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שנים</w:t>
      </w:r>
      <w:r>
        <w:rPr>
          <w:rStyle w:val="big-number"/>
          <w:rFonts w:cs="FrankRuehl"/>
          <w:szCs w:val="26"/>
          <w:rtl w:val="true"/>
        </w:rPr>
        <w:t xml:space="preserve">; </w:t>
      </w:r>
      <w:r>
        <w:rPr>
          <w:rStyle w:val="big-number"/>
          <w:rFonts w:cs="FrankRuehl"/>
          <w:szCs w:val="26"/>
          <w:rtl w:val="true"/>
        </w:rPr>
        <w:t>פיצוי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לקורבן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העבירה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בסך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10,000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ח</w:t>
      </w:r>
      <w:r>
        <w:rPr>
          <w:rStyle w:val="big-number"/>
          <w:rFonts w:cs="FrankRuehl"/>
          <w:szCs w:val="26"/>
          <w:rtl w:val="true"/>
        </w:rPr>
        <w:t xml:space="preserve">; </w:t>
      </w:r>
      <w:r>
        <w:rPr>
          <w:rStyle w:val="big-number"/>
          <w:rFonts w:cs="FrankRuehl"/>
          <w:szCs w:val="26"/>
          <w:rtl w:val="true"/>
        </w:rPr>
        <w:t>וקנס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בסך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2,500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ח</w:t>
      </w:r>
      <w:r>
        <w:rPr>
          <w:rStyle w:val="big-number"/>
          <w:rFonts w:cs="FrankRuehl"/>
          <w:szCs w:val="26"/>
          <w:rtl w:val="true"/>
        </w:rPr>
        <w:t>.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>.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Style w:val="big-number"/>
          <w:rFonts w:cs="FrankRuehl"/>
          <w:szCs w:val="26"/>
          <w:rtl w:val="true"/>
        </w:rPr>
        <w:t>בית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המשפט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העליון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מפי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השופטת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רונן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ובהסכמת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ממלא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מקום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הנשיא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פוגלמן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והשופט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סולברג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קיבל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בחלקו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הערעור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פ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3415/23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דחה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הערעור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פ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3440/23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ופסק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rFonts w:cs="FrankRuehl"/>
          <w:szCs w:val="26"/>
          <w:rtl w:val="true"/>
        </w:rPr>
        <w:t>: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הועמד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לדין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הסיפא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448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א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לחוק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העונשין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לפיו</w:t>
      </w:r>
      <w:r>
        <w:rPr>
          <w:rStyle w:val="big-number"/>
          <w:rFonts w:cs="FrankRuehl"/>
          <w:szCs w:val="26"/>
          <w:rtl w:val="true"/>
        </w:rPr>
        <w:t xml:space="preserve">: </w:t>
      </w:r>
      <w:r>
        <w:rPr>
          <w:rStyle w:val="big-number"/>
          <w:rFonts w:cs="FrankRuehl"/>
          <w:szCs w:val="26"/>
          <w:rtl w:val="true"/>
        </w:rPr>
        <w:t>המשלח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במזיד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בדבר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לו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דינו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-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מאסר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חמש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עשרה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שנים</w:t>
      </w:r>
      <w:r>
        <w:rPr>
          <w:rStyle w:val="big-number"/>
          <w:rFonts w:cs="FrankRuehl"/>
          <w:szCs w:val="26"/>
          <w:rtl w:val="true"/>
        </w:rPr>
        <w:t xml:space="preserve">; </w:t>
      </w:r>
      <w:r>
        <w:rPr>
          <w:rStyle w:val="big-number"/>
          <w:rFonts w:cs="FrankRuehl"/>
          <w:szCs w:val="26"/>
          <w:rtl w:val="true"/>
        </w:rPr>
        <w:t>עשה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בנכס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המדינה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בנכס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המשמש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הציבור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באתר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טבע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בצמחיה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בבטחת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דרי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הסביבה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דינו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מאסר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עשרים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שנים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כתב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האישום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ייחס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עבירה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הסיפא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בטענה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הצית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המסעדה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בי</w:t>
      </w:r>
      <w:r>
        <w:rPr>
          <w:rStyle w:val="big-number"/>
          <w:rFonts w:cs="FrankRuehl"/>
          <w:szCs w:val="26"/>
          <w:rtl w:val="true"/>
        </w:rPr>
        <w:t>מ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המחוזי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התייחס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בהכרעת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הדין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אולם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בכל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הרשיע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חמורה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הסיפא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הסעיף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תוך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שקבע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שילח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במסעדה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שהיא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בגדר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נכס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המשמש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הציבור</w:t>
      </w:r>
      <w:r>
        <w:rPr>
          <w:rStyle w:val="big-number"/>
          <w:rFonts w:cs="FrankRuehl"/>
          <w:szCs w:val="26"/>
          <w:rtl w:val="true"/>
        </w:rPr>
        <w:t xml:space="preserve">".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מקום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להרשיע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בהתאם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בסיפא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שכן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ניתנה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הזדמנות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להתגונן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מפניה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אמנם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לבי</w:t>
      </w:r>
      <w:r>
        <w:rPr>
          <w:rStyle w:val="big-number"/>
          <w:rFonts w:cs="FrankRuehl"/>
          <w:szCs w:val="26"/>
          <w:rtl w:val="true"/>
        </w:rPr>
        <w:t>מ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סמכות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להרשיע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נאשם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אשמתו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עולה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העובדות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שהוכחו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אף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עובדות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אלה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נטענו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בכתב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האישום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אך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רק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ניתנה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לנאשם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הזדמנות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סבירה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להתגונן</w:t>
      </w:r>
      <w:r>
        <w:rPr>
          <w:rStyle w:val="big-number"/>
          <w:rFonts w:cs="FrankRuehl"/>
          <w:szCs w:val="26"/>
          <w:rtl w:val="true"/>
        </w:rPr>
        <w:t xml:space="preserve">". </w:t>
      </w:r>
      <w:r>
        <w:rPr>
          <w:rStyle w:val="big-number"/>
          <w:rFonts w:cs="FrankRuehl"/>
          <w:szCs w:val="26"/>
          <w:rtl w:val="true"/>
        </w:rPr>
        <w:t>השימוש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בסמכות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צריך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להיעשות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בזהירות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ובמשורה</w:t>
      </w:r>
      <w:r>
        <w:rPr>
          <w:rStyle w:val="big-number"/>
          <w:rFonts w:cs="FrankRuehl"/>
          <w:szCs w:val="26"/>
          <w:rtl w:val="true"/>
        </w:rPr>
        <w:t xml:space="preserve">; </w:t>
      </w:r>
      <w:r>
        <w:rPr>
          <w:rStyle w:val="big-number"/>
          <w:rFonts w:cs="FrankRuehl"/>
          <w:szCs w:val="26"/>
          <w:rtl w:val="true"/>
        </w:rPr>
        <w:t>וכאשר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קיים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חשש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זכותו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נאשם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להתגונן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התקיימה</w:t>
      </w:r>
      <w:r>
        <w:rPr>
          <w:rStyle w:val="big-number"/>
          <w:rFonts w:cs="FrankRuehl"/>
          <w:szCs w:val="26"/>
          <w:rtl w:val="true"/>
        </w:rPr>
        <w:t>,</w:t>
      </w:r>
      <w:r>
        <w:rPr>
          <w:rStyle w:val="big-number"/>
          <w:rFonts w:cs="FrankRuehl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בי</w:t>
      </w:r>
      <w:r>
        <w:rPr>
          <w:rStyle w:val="big-number"/>
          <w:rFonts w:cs="FrankRuehl"/>
          <w:szCs w:val="26"/>
          <w:rtl w:val="true"/>
        </w:rPr>
        <w:t>מ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להימנע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מהפעלת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סמכות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זו</w:t>
      </w:r>
      <w:r>
        <w:rPr>
          <w:rStyle w:val="big-number"/>
          <w:rFonts w:cs="FrankRuehl"/>
          <w:szCs w:val="26"/>
          <w:rtl w:val="true"/>
        </w:rPr>
        <w:t xml:space="preserve">. 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>בענייננו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החלופה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448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א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סיפא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לחוק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הדורשת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הוכחת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רכיב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נוסף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בוצעה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נכס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המשמש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הציבור</w:t>
      </w:r>
      <w:r>
        <w:rPr>
          <w:rStyle w:val="big-number"/>
          <w:rFonts w:cs="FrankRuehl"/>
          <w:szCs w:val="26"/>
          <w:rtl w:val="true"/>
        </w:rPr>
        <w:t xml:space="preserve">", </w:t>
      </w:r>
      <w:r>
        <w:rPr>
          <w:rStyle w:val="big-number"/>
          <w:rFonts w:cs="FrankRuehl"/>
          <w:szCs w:val="26"/>
          <w:rtl w:val="true"/>
        </w:rPr>
        <w:t>הועלתה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לראשונה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ידי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בי</w:t>
      </w:r>
      <w:r>
        <w:rPr>
          <w:rStyle w:val="big-number"/>
          <w:rFonts w:cs="FrankRuehl"/>
          <w:szCs w:val="26"/>
          <w:rtl w:val="true"/>
        </w:rPr>
        <w:t>מ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קמא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בהכרעת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הדין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בנסיבות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אלה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ביכולתו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לטעון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נגד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התקיימותו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רכיב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זה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משכך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מקום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להרשיעו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בהתאם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זו</w:t>
      </w:r>
      <w:r>
        <w:rPr>
          <w:rStyle w:val="big-number"/>
          <w:rFonts w:cs="FrankRuehl"/>
          <w:szCs w:val="26"/>
          <w:rtl w:val="true"/>
        </w:rPr>
        <w:t>.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>אף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מקום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להרשיע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הסיפא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448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א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לחוק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בהתבסס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שנטענה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בכתב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האישום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קרי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שההצתה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בוצעה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במטרה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מאחר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rFonts w:cs="FrankRuehl"/>
          <w:szCs w:val="26"/>
          <w:rtl w:val="true"/>
        </w:rPr>
        <w:t>המדינה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הוכיחה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הצית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המסעדה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כדי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להוכיח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רכיב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זה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המדינה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להוכיח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הייתה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צריך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להוכיח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אכן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ידע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במסעדה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למצער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יכול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וצריך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לצפות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זאת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העובדה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שהאורות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במסעדה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דלקו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איננה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מחייבת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בהכרח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המסקנה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אנשים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נוכחים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באותה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עת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כאשר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מדובר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בשעת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לילה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מאוחרת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בה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ניתן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להניח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המסעדה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ריקה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שנותרו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אורות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דולקי</w:t>
      </w:r>
      <w:r>
        <w:rPr>
          <w:rStyle w:val="big-number"/>
          <w:rFonts w:cs="FrankRuehl"/>
          <w:szCs w:val="26"/>
          <w:rtl w:val="true"/>
        </w:rPr>
        <w:t>ם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בנוסף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ההצתה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בוצעה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במטבח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המסעדה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ואין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אינדיקציה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האורות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דלקו</w:t>
      </w:r>
      <w:r>
        <w:rPr>
          <w:rStyle w:val="big-number"/>
          <w:rFonts w:cs="FrankRuehl"/>
          <w:szCs w:val="26"/>
          <w:rtl w:val="true"/>
        </w:rPr>
        <w:t xml:space="preserve">;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אנשים</w:t>
      </w:r>
      <w:r>
        <w:rPr>
          <w:rStyle w:val="big-number"/>
          <w:rFonts w:cs="FrankRuehl"/>
          <w:szCs w:val="26"/>
          <w:rtl w:val="true"/>
        </w:rPr>
        <w:t xml:space="preserve">; </w:t>
      </w:r>
      <w:r>
        <w:rPr>
          <w:rStyle w:val="big-number"/>
          <w:rFonts w:cs="FrankRuehl"/>
          <w:szCs w:val="26"/>
          <w:rtl w:val="true"/>
        </w:rPr>
        <w:t>או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ניתן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להניח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אנשים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בשעת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הלילה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המאוחרת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בוצעה</w:t>
      </w:r>
      <w:r>
        <w:rPr>
          <w:rStyle w:val="big-number"/>
          <w:rFonts w:cs="FrankRuehl"/>
          <w:szCs w:val="26"/>
          <w:rtl w:val="true"/>
        </w:rPr>
        <w:t xml:space="preserve">. 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Style w:val="big-number"/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>לפיכך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משלא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ניתנה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הזדמנות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נאותה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להתגונן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מפני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שעניינה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בנכס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המשמש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הציבור</w:t>
      </w:r>
      <w:r>
        <w:rPr>
          <w:rStyle w:val="big-number"/>
          <w:rFonts w:cs="FrankRuehl"/>
          <w:szCs w:val="26"/>
          <w:rtl w:val="true"/>
        </w:rPr>
        <w:t xml:space="preserve">"; </w:t>
      </w:r>
      <w:r>
        <w:rPr>
          <w:rStyle w:val="big-number"/>
          <w:rFonts w:cs="FrankRuehl"/>
          <w:szCs w:val="26"/>
          <w:rtl w:val="true"/>
        </w:rPr>
        <w:t>ומשלא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הוכחה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החלופה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שעניינה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מטרה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לפגוע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בבני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אדם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 xml:space="preserve">-,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יורשע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448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א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רישא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לחוק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העונשין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שלא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דורש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הוכחת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קיומה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כוונה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מיוחדת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ואשר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חזר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מערעורו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לגבי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הרשעתו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</w:t>
      </w:r>
      <w:r>
        <w:rPr>
          <w:rStyle w:val="big-number"/>
          <w:rFonts w:cs="FrankRuehl"/>
          <w:szCs w:val="26"/>
          <w:rtl w:val="true"/>
        </w:rPr>
        <w:t xml:space="preserve">). </w:t>
      </w:r>
    </w:p>
    <w:p>
      <w:pPr>
        <w:pStyle w:val="p0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Style w:val="big-number"/>
          <w:rFonts w:cs="FrankRuehl"/>
          <w:szCs w:val="26"/>
          <w:rtl w:val="true"/>
        </w:rPr>
        <w:t>אשר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</w:t>
      </w:r>
      <w:r>
        <w:rPr>
          <w:rStyle w:val="big-number"/>
          <w:rFonts w:cs="FrankRuehl"/>
          <w:szCs w:val="26"/>
          <w:rtl w:val="true"/>
        </w:rPr>
        <w:t>ערעורים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גזר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הדין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אמנם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לו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הי</w:t>
      </w:r>
      <w:r>
        <w:rPr>
          <w:rStyle w:val="big-number"/>
          <w:rFonts w:cs="FrankRuehl"/>
          <w:szCs w:val="26"/>
          <w:rtl w:val="true"/>
        </w:rPr>
        <w:t>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נקבע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כי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יש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להרשיע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בעבירת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בנסיבות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מחמירות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בהתאם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לאחת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החלופות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שבסעיף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448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א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סיפא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לחוק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היה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מקום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להחמיר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עונשו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עם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זאת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מ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rFonts w:cs="FrankRuehl"/>
          <w:szCs w:val="26"/>
          <w:rtl w:val="true"/>
        </w:rPr>
        <w:t>יש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לשנות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העבירה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</w:t>
      </w:r>
      <w:r>
        <w:rPr>
          <w:rStyle w:val="big-number"/>
          <w:rFonts w:cs="FrankRuehl"/>
          <w:szCs w:val="26"/>
          <w:rtl w:val="true"/>
        </w:rPr>
        <w:t>עבירת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הצתה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פחותה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בחומרתה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לפי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סעיף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</w:rPr>
        <w:t>448</w:t>
      </w:r>
      <w:r>
        <w:rPr>
          <w:rStyle w:val="big-number"/>
          <w:rFonts w:cs="FrankRuehl"/>
          <w:szCs w:val="26"/>
          <w:rtl w:val="true"/>
        </w:rPr>
        <w:t>(</w:t>
      </w:r>
      <w:r>
        <w:rPr>
          <w:rStyle w:val="big-number"/>
          <w:rFonts w:cs="FrankRuehl"/>
          <w:szCs w:val="26"/>
          <w:rtl w:val="true"/>
        </w:rPr>
        <w:t>א</w:t>
      </w:r>
      <w:r>
        <w:rPr>
          <w:rStyle w:val="big-number"/>
          <w:rFonts w:cs="FrankRuehl"/>
          <w:szCs w:val="26"/>
          <w:rtl w:val="true"/>
        </w:rPr>
        <w:t xml:space="preserve">) </w:t>
      </w:r>
      <w:r>
        <w:rPr>
          <w:rStyle w:val="big-number"/>
          <w:rFonts w:cs="FrankRuehl"/>
          <w:szCs w:val="26"/>
          <w:rtl w:val="true"/>
        </w:rPr>
        <w:t>רישא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עונש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המאסר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שקבע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בי</w:t>
      </w:r>
      <w:r>
        <w:rPr>
          <w:rStyle w:val="big-number"/>
          <w:rFonts w:cs="FrankRuehl"/>
          <w:szCs w:val="26"/>
          <w:rtl w:val="true"/>
        </w:rPr>
        <w:t>מ</w:t>
      </w:r>
      <w:r>
        <w:rPr>
          <w:rStyle w:val="big-number"/>
          <w:rFonts w:cs="FrankRuehl"/>
          <w:szCs w:val="26"/>
          <w:rtl w:val="true"/>
        </w:rPr>
        <w:t>"</w:t>
      </w:r>
      <w:r>
        <w:rPr>
          <w:rStyle w:val="big-number"/>
          <w:rFonts w:cs="FrankRuehl"/>
          <w:szCs w:val="26"/>
          <w:rtl w:val="true"/>
        </w:rPr>
        <w:t>ש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קמא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הולם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חומרת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העבירה</w:t>
      </w:r>
      <w:r>
        <w:rPr>
          <w:rStyle w:val="big-number"/>
          <w:rFonts w:cs="FrankRuehl"/>
          <w:szCs w:val="26"/>
          <w:rtl w:val="true"/>
        </w:rPr>
        <w:t xml:space="preserve">, </w:t>
      </w:r>
      <w:r>
        <w:rPr>
          <w:rStyle w:val="big-number"/>
          <w:rFonts w:cs="FrankRuehl"/>
          <w:szCs w:val="26"/>
          <w:rtl w:val="true"/>
        </w:rPr>
        <w:t>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מדיניות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הענישה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הנוהגת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ואת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הנסיבות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שהתקיימו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בענייננו</w:t>
      </w:r>
      <w:r>
        <w:rPr>
          <w:rStyle w:val="big-number"/>
          <w:rFonts w:cs="FrankRuehl"/>
          <w:szCs w:val="26"/>
          <w:rtl w:val="true"/>
        </w:rPr>
        <w:t xml:space="preserve">. </w:t>
      </w:r>
      <w:r>
        <w:rPr>
          <w:rStyle w:val="big-number"/>
          <w:rFonts w:cs="FrankRuehl"/>
          <w:szCs w:val="26"/>
          <w:rtl w:val="true"/>
        </w:rPr>
        <w:t>אף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אין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להתערב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ברכיב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הפיצוי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שהושת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על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המערער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בגזר</w:t>
      </w:r>
      <w:r>
        <w:rPr>
          <w:rStyle w:val="big-number"/>
          <w:szCs w:val="26"/>
          <w:rtl w:val="true"/>
        </w:rPr>
        <w:t xml:space="preserve"> </w:t>
      </w:r>
      <w:r>
        <w:rPr>
          <w:rStyle w:val="big-number"/>
          <w:rFonts w:cs="FrankRuehl"/>
          <w:szCs w:val="26"/>
          <w:rtl w:val="true"/>
        </w:rPr>
        <w:t>הדין</w:t>
      </w:r>
      <w:r>
        <w:rPr>
          <w:rStyle w:val="big-number"/>
          <w:rFonts w:cs="FrankRuehl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b/>
          <w:bCs/>
          <w:spacing w:val="10"/>
          <w:sz w:val="22"/>
          <w:szCs w:val="28"/>
          <w:u w:val="single"/>
        </w:rPr>
      </w:pPr>
      <w:r>
        <w:rPr>
          <w:rFonts w:cs="Century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בנצרת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צפריר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29.1.2023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40232-01-21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1977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21.3.2023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שבגדרו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40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8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לקורבן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10,000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וקנס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2,500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Miriam"/>
          <w:b/>
          <w:sz w:val="22"/>
        </w:rPr>
      </w:pP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ופסק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b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1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6.1.2021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גמלה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בליבו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להצית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מסעדת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תבור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הממוקמת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ובבד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להאצת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הבערה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03:45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כמא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ריקה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מסועדים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מוארת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ושהו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המתלוננים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בהגיעם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לקרבת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מהרכב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והחל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להתקרב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כשבידיו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הבערה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למטבח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שפך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הבערה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ונעזר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להאצת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התפשטותה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ונסע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ממעשים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פרצה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גדולה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ומטבח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לבעור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הצליחו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הלהבות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ומנעו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התפשטות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ליתר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המטבח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והציוד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נשרפו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וניזוקו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שילוח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במזיד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במטרה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לפגוע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בבני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2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29.1.2023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שבחן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התבסס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במסקנתו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סרטון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מתועדת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הלבוש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בבגדים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מסלול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ולאחריה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יציאתו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מהרכב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וחזרתו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ממכשיר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המאוכנות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ולזמן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משהגיע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יסודותיה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חלופות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החלופה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מתייחסת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בסיסית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שילוח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רכושו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המצית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בצידה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15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החלופה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מתייחסת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שילוח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באחד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מסוגי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הנכסים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המנויים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"),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בצידה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קרי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נדרשת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אקטיבית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שהביאה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לשילוח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ליסוד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הבסיסית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הכרתי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מזיד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בסיפת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באחד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מהנכסים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המנויים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הוכיחה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מגבשים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יסודותיה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בסיפת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משהוכח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לטיב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ולקיום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21.3.2023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נפגעו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ותחושת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היתרה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הפוטנציאל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הגלום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לגרימת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לגוף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להשית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מרתיעה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שהוכחו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המפורט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מביצועה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שעלול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להיגרם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עצום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נתמכה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בוגר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ולחדול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25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50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אלמן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ילד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מכביד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תעבורה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נידון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למאסרים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הסיק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המעידה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בעבריין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שריצה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וחרף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וביצע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פליליות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הרתעת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לנהל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תומו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40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8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10,000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וקנס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2,500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תחתיו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Miriam"/>
          <w:b/>
          <w:sz w:val="22"/>
        </w:rPr>
      </w:pP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ים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b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4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4.5.2023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3415/23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7.5.2023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3440/23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5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19.10.2023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הסכים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ממרבית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שש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במזיד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שמעובדות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ריקה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במזיד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נימוק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המבהיר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וחשוב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לגופו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להגדרה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ערטילאית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נכונה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מרוקנת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מתוכן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וחורג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מהעונשים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המוטלים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בתוכו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מציין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נשרפה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כליל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הובאה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ולשיעורו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אירעה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מאוכלס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אימץ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השריפות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מוגבל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התאלמן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בגיל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ומאז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מגדל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ניהל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סרק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שנועד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לבזבז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זמנו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היקר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eastAsia="Calibri"/>
          <w:sz w:val="22"/>
          <w:szCs w:val="22"/>
        </w:rPr>
      </w:pPr>
      <w:r>
        <w:rPr>
          <w:rStyle w:val="big-number"/>
          <w:rFonts w:ascii="Century" w:hAnsi="Century" w:cs="FrankRuehl"/>
          <w:spacing w:val="10"/>
          <w:szCs w:val="28"/>
          <w:rtl w:val="true"/>
        </w:rPr>
        <w:t>בשולי</w:t>
      </w:r>
      <w:r>
        <w:rPr>
          <w:rStyle w:val="big-number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Cs w:val="28"/>
          <w:rtl w:val="true"/>
        </w:rPr>
        <w:t>הדברים</w:t>
      </w:r>
      <w:r>
        <w:rPr>
          <w:rStyle w:val="big-number"/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Cs w:val="28"/>
          <w:rtl w:val="true"/>
        </w:rPr>
        <w:t>מלין</w:t>
      </w:r>
      <w:r>
        <w:rPr>
          <w:rStyle w:val="big-number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הבעלים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ומבלי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tl w:val="true"/>
        </w:rPr>
        <w:t xml:space="preserve"> 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6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שנטען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שכפי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במזיד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נגזרת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מהעובדה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שהאורות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דולקים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ושהיו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ארבעת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נוכחותם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ומכוח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הלכת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הצפיות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שעדיין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ורלוונטית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בצדק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להגדרה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hyperlink r:id="rId2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כד</w:t>
        </w:r>
      </w:hyperlink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המתייחסת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בנין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אמצעי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תעבורה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אותה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שעה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לציבור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זכות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רשות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גישה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אליהם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בלא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תנאי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בתנאי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תשלום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...".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כשטח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מציינת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מוכנה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יורשע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התגונן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/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חורגים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מההלכה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הקובעת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לגישתה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תתקבל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עמדתה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יורשע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תתקבל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יומר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רישא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מציינת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היתרה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הנלווית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לתכנון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שבוצע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הממוקמת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תחנת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דלק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מוארת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ונוכחים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בתחושת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ששהו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ולפוטנציאל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לחיי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שהסב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בהרבה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המכביד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שעומד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למאסרים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ולמאסרים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מותנים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בעונשים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שבמקרה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הרתעת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למקם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Miriam"/>
          <w:b/>
          <w:sz w:val="22"/>
        </w:rPr>
      </w:pP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והכרעה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Miriam"/>
          <w:b/>
          <w:sz w:val="22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/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7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שעיינו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ושמענו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הגענו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יורשע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רישא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Miriam"/>
          <w:b/>
          <w:sz w:val="22"/>
        </w:rPr>
      </w:pP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סעיף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העבירה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Miriam"/>
          <w:b/>
          <w:sz w:val="22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8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b/>
          <w:bCs/>
          <w:spacing w:val="10"/>
          <w:sz w:val="22"/>
          <w:szCs w:val="28"/>
        </w:rPr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ascii="Century" w:hAnsi="Century" w:cs="Century"/>
          <w:rtl w:val="true"/>
        </w:rPr>
        <w:t>המשלח אש במזיד בדבר לא לו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דינו – מאסר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חמש עשרה שנים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 xml:space="preserve">עשה כן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במטרה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Style w:val="default"/>
          <w:rFonts w:ascii="Century" w:hAnsi="Century" w:cs="Century"/>
          <w:rtl w:val="true"/>
        </w:rPr>
        <w:t xml:space="preserve"> בנכס של המדינה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בנכס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המשמש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באתר טבע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בצמחיה או בבטחת דרי הסביבה או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במטרה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בבני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דינו – מאסר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עשרים שנים</w:t>
      </w:r>
      <w:r>
        <w:rPr>
          <w:rStyle w:val="default"/>
          <w:rFonts w:cs="Century" w:ascii="Century" w:hAnsi="Century"/>
          <w:rtl w:val="true"/>
        </w:rPr>
        <w:t>. (</w:t>
      </w:r>
      <w:r>
        <w:rPr>
          <w:rStyle w:val="default"/>
          <w:rFonts w:ascii="Century" w:hAnsi="Century" w:cs="Century"/>
          <w:rtl w:val="true"/>
        </w:rPr>
        <w:t xml:space="preserve">ההדגשות הוספו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cs="Century"/>
          <w:rtl w:val="true"/>
        </w:rPr>
        <w:t xml:space="preserve"> ר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Style w:val="default"/>
          <w:rFonts w:ascii="Century" w:hAnsi="Century" w:cs="Century"/>
          <w:rtl w:val="true"/>
        </w:rPr>
        <w:t>ר</w:t>
      </w:r>
      <w:r>
        <w:rPr>
          <w:rStyle w:val="default"/>
          <w:rFonts w:cs="Century" w:ascii="Century" w:hAnsi="Century"/>
          <w:rtl w:val="true"/>
        </w:rPr>
        <w:t>.)</w:t>
      </w:r>
    </w:p>
    <w:p>
      <w:pPr>
        <w:pStyle w:val="Normal"/>
        <w:spacing w:lineRule="auto" w:line="360"/>
        <w:ind w:end="0"/>
        <w:jc w:val="start"/>
        <w:rPr>
          <w:rFonts w:cs="Times New Roman"/>
          <w:sz w:val="24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/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שילח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סבורים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בסיפא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הסמכות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שהוכחו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נטענו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184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משולב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התשמ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1982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הוראה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מוגבלת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ולאישומים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שנכללו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לגבש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מופתע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מהרשעה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נערך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5102/03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קליין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36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4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9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.2007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קליין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5268/17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שוויש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44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16.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.2022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שוויש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3956/21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27-26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8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9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.2022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בסמכות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להיעשות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בזהירות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ובמשורה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מהפעלת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סמכות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קליין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46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סעיף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cs="Miriam" w:ascii="Century" w:hAnsi="Century"/>
          <w:b/>
          <w:sz w:val="22"/>
        </w:rPr>
        <w:t>184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ל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מציב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תנאי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בטרם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יפעל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בהתאם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לסמכות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המעוגנת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להרשיע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בהתאם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לסעיף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השתכנע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ניתנה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לנאשם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הזדמנות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סבירה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להתגונן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רכיבים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שעמדו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בבסיס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הרשעתו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ושלא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צוינו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במקור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 (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930/22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חטיב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21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31.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7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.2022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הדורשת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התקיימותו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סבורים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9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שלשיטתה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קרי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/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לטעמנו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הוכיחה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התבצעה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03:45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בוקר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נותנת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סועדים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וסביר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ברוב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הרכיב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הלכת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הצפיות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ולאור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נוכחים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דלקו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/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ברגע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וזוהי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הסיבה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וכאשר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למצער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וצריך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נוכחים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לנוכחותם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שהאורות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דלקו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סבורים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שהאורות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דולקים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לנוכחות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שהאורות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דולקים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נוכחים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ריקה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שנותרו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דולקים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/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במטבח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דלקו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הלילה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המאוחרת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/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במתחם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תחנת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דלק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ייפגעו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העלתה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בדיוק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המרחק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תחנת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הדלק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מהמסעדה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וצריך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תתפתח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ותתפשט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לתחנת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הדלק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/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10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סבורים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נאותה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בנכס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ומשלא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רישא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דורש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מערעורו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Miriam"/>
          <w:b/>
          <w:sz w:val="22"/>
        </w:rPr>
      </w:pP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הערעורים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Miriam"/>
          <w:b/>
          <w:sz w:val="22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</w:rPr>
      </w:pPr>
      <w:r>
        <w:rPr>
          <w:rStyle w:val="big-number"/>
        </w:rPr>
        <w:t>11</w:t>
      </w:r>
      <w:r>
        <w:rPr>
          <w:rStyle w:val="big-number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ערערו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tl w:val="true"/>
        </w:rPr>
        <w:t xml:space="preserve"> 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מחמיר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לענישה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Style w:val="big-number"/>
          <w:rtl w:val="true"/>
        </w:rPr>
        <w:t>,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נשרפה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כליל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אירעה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מאוכלסת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ייקבע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הרישא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בטענתה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הפנתה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4743/22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4811/22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18.8.2022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רישא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שהוצת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27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60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היתרה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שקיימת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הנובעת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מפוטנציאל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ההרסני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הגלום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ומהיעדר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לשלוט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בתוצאותיה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לצפותן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14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p00"/>
        <w:bidi w:val="1"/>
        <w:spacing w:lineRule="auto" w:line="360" w:before="0" w:after="0"/>
        <w:ind w:end="0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12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מגיעים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לאחת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החלופות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הקבועות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סיפא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משקבענו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ולהרשיע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פחותה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בחומרתה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רישא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סבורים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והשוו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1594/21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מהרטו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7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.2021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3216/20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מאור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10.12.2020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700/20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שקארה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21.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7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.2020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98/20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11.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6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.2020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8347/19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מיהרט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17.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3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.2020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1214/18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נאשף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11.11.2018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2745/18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שארב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8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8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.2018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שארב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</w:rPr>
      </w:pPr>
      <w:r>
        <w:rPr>
          <w:rStyle w:val="big-number"/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p00"/>
        <w:bidi w:val="1"/>
        <w:spacing w:lineRule="auto" w:line="360" w:before="0" w:after="0"/>
        <w:ind w:end="0"/>
        <w:jc w:val="both"/>
        <w:rPr/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13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שנופלות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הרישא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שהבהיר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שהנזקים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הנובעים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עלולים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הסכנה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שהאש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תתפשט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לשלוט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ופוטנציאל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ההרסני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טומנת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בחובה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14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מנעד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רחב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ומקרה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15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8337/20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Style w:val="big-number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7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cs="David"/>
          <w:sz w:val="22"/>
          <w:rtl w:val="true"/>
        </w:rPr>
        <w:t>[</w:t>
      </w:r>
      <w:r>
        <w:rPr>
          <w:rStyle w:val="big-number"/>
          <w:rFonts w:cs="David"/>
          <w:sz w:val="22"/>
          <w:sz w:val="22"/>
          <w:rtl w:val="true"/>
        </w:rPr>
        <w:t>פורסם</w:t>
      </w:r>
      <w:r>
        <w:rPr>
          <w:rStyle w:val="big-number"/>
          <w:sz w:val="22"/>
          <w:sz w:val="22"/>
          <w:rtl w:val="true"/>
        </w:rPr>
        <w:t xml:space="preserve"> </w:t>
      </w:r>
      <w:r>
        <w:rPr>
          <w:rStyle w:val="big-number"/>
          <w:rFonts w:cs="David"/>
          <w:sz w:val="22"/>
          <w:sz w:val="22"/>
          <w:rtl w:val="true"/>
        </w:rPr>
        <w:t>בנבו</w:t>
      </w:r>
      <w:r>
        <w:rPr>
          <w:rStyle w:val="big-number"/>
          <w:rFonts w:cs="David"/>
          <w:sz w:val="22"/>
          <w:rtl w:val="true"/>
        </w:rPr>
        <w:t xml:space="preserve">]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4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5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.2021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שארב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16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שטוענת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דובר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בקרבתו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ושם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27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60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הצדיקו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החמר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הקפדני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ההכנות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ושותפיו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לקראתה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הצטיידות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בליטרים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דלק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בפטיש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ובאקדח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בחפץ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הנחזה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התחכום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התפרצות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שנאמד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ממיליון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שבענייננו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הובאה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להיקף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cs="FrankRuehl" w:ascii="Century" w:hAnsi="Century"/>
          <w:spacing w:val="10"/>
          <w:sz w:val="22"/>
          <w:szCs w:val="28"/>
        </w:rPr>
        <w:t>15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מתקיימות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למגמת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ובשל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מכביר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firstLine="720" w:end="0"/>
        <w:jc w:val="both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מצאנו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לנכון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ראינו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ברכיב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eastAsia="Calibri" w:cs="FrankRuehl"/>
          <w:spacing w:val="10"/>
          <w:sz w:val="22"/>
          <w:szCs w:val="28"/>
        </w:rPr>
      </w:pPr>
      <w:r>
        <w:rPr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</w:rPr>
        <w:t>14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Style w:val="big-number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לסעיף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יורשע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רישא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ייוותר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כנו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Fonts w:cs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ממלא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מקום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הנשיא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Fonts w:cs="Century"/>
          <w:sz w:val="24"/>
          <w:szCs w:val="24"/>
          <w:u w:val="single"/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מ</w:t>
            </w:r>
            <w:r>
              <w:rPr>
                <w:rFonts w:cs="Times New Roman" w:ascii="Times New Roman" w:hAnsi="Times New Roman"/>
                <w:b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מ הנשיא</w:t>
            </w:r>
          </w:p>
        </w:tc>
      </w:tr>
    </w:tbl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Fonts w:cs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Fonts w:cs="Century"/>
          <w:sz w:val="24"/>
          <w:szCs w:val="24"/>
          <w:u w:val="single"/>
          <w:rtl w:val="true"/>
        </w:rPr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Style w:val="big-number"/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big-number"/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Style w:val="big-number"/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p00"/>
        <w:bidi w:val="1"/>
        <w:spacing w:lineRule="auto" w:line="360" w:before="0" w:after="0"/>
        <w:ind w:end="0"/>
        <w:jc w:val="both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1.11.2023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מ</w:t>
            </w:r>
            <w:r>
              <w:rPr>
                <w:rFonts w:cs="Times New Roman" w:ascii="Times New Roman" w:hAnsi="Times New Roman"/>
                <w:b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מ הנשיא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23034150</w:t>
      </w:r>
      <w:r>
        <w:rPr>
          <w:sz w:val="16"/>
          <w:rtl w:val="true"/>
        </w:rPr>
        <w:t>_</w:t>
      </w:r>
      <w:r>
        <w:rPr>
          <w:sz w:val="16"/>
        </w:rPr>
        <w:t>P12.docx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54678313-3415/23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5"/>
      <w:footerReference w:type="default" r:id="rId6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3415/23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ריאד עוכזי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34146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kd" TargetMode="External"/><Relationship Id="rId5" Type="http://schemas.openxmlformats.org/officeDocument/2006/relationships/hyperlink" Target="http://www.nevo.co.il/law/70301/407.b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84" TargetMode="External"/><Relationship Id="rId9" Type="http://schemas.openxmlformats.org/officeDocument/2006/relationships/hyperlink" Target="http://www.nevo.co.il/case/27341460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70301/448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law/70301/448.a" TargetMode="External"/><Relationship Id="rId21" Type="http://schemas.openxmlformats.org/officeDocument/2006/relationships/hyperlink" Target="http://www.nevo.co.il/law/70301/448.a" TargetMode="External"/><Relationship Id="rId22" Type="http://schemas.openxmlformats.org/officeDocument/2006/relationships/hyperlink" Target="http://www.nevo.co.il/law/70301/34kd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48.a" TargetMode="External"/><Relationship Id="rId25" Type="http://schemas.openxmlformats.org/officeDocument/2006/relationships/hyperlink" Target="http://www.nevo.co.il/law/70301/448.a" TargetMode="External"/><Relationship Id="rId26" Type="http://schemas.openxmlformats.org/officeDocument/2006/relationships/hyperlink" Target="http://www.nevo.co.il/law/70301/448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48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4903/184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case/5993495" TargetMode="External"/><Relationship Id="rId33" Type="http://schemas.openxmlformats.org/officeDocument/2006/relationships/hyperlink" Target="http://www.nevo.co.il/case/22793929" TargetMode="External"/><Relationship Id="rId34" Type="http://schemas.openxmlformats.org/officeDocument/2006/relationships/hyperlink" Target="http://www.nevo.co.il/case/27682198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case/28300349" TargetMode="External"/><Relationship Id="rId37" Type="http://schemas.openxmlformats.org/officeDocument/2006/relationships/hyperlink" Target="http://www.nevo.co.il/law/70301/448.a" TargetMode="External"/><Relationship Id="rId38" Type="http://schemas.openxmlformats.org/officeDocument/2006/relationships/hyperlink" Target="http://www.nevo.co.il/law/70301/448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48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48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8770694" TargetMode="External"/><Relationship Id="rId45" Type="http://schemas.openxmlformats.org/officeDocument/2006/relationships/hyperlink" Target="http://www.nevo.co.il/law/70301/448.a" TargetMode="External"/><Relationship Id="rId46" Type="http://schemas.openxmlformats.org/officeDocument/2006/relationships/hyperlink" Target="http://www.nevo.co.il/law/70301/448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48.a" TargetMode="External"/><Relationship Id="rId49" Type="http://schemas.openxmlformats.org/officeDocument/2006/relationships/hyperlink" Target="http://www.nevo.co.il/case/27454369" TargetMode="External"/><Relationship Id="rId50" Type="http://schemas.openxmlformats.org/officeDocument/2006/relationships/hyperlink" Target="http://www.nevo.co.il/case/26684901" TargetMode="External"/><Relationship Id="rId51" Type="http://schemas.openxmlformats.org/officeDocument/2006/relationships/hyperlink" Target="http://www.nevo.co.il/case/26400535" TargetMode="External"/><Relationship Id="rId52" Type="http://schemas.openxmlformats.org/officeDocument/2006/relationships/hyperlink" Target="http://www.nevo.co.il/case/26333858" TargetMode="External"/><Relationship Id="rId53" Type="http://schemas.openxmlformats.org/officeDocument/2006/relationships/hyperlink" Target="http://www.nevo.co.il/case/26280650" TargetMode="External"/><Relationship Id="rId54" Type="http://schemas.openxmlformats.org/officeDocument/2006/relationships/hyperlink" Target="http://www.nevo.co.il/case/23750585" TargetMode="External"/><Relationship Id="rId55" Type="http://schemas.openxmlformats.org/officeDocument/2006/relationships/hyperlink" Target="http://www.nevo.co.il/case/23842034" TargetMode="External"/><Relationship Id="rId56" Type="http://schemas.openxmlformats.org/officeDocument/2006/relationships/hyperlink" Target="http://www.nevo.co.il/law/70301/448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7202300" TargetMode="External"/><Relationship Id="rId59" Type="http://schemas.openxmlformats.org/officeDocument/2006/relationships/hyperlink" Target="http://www.nevo.co.il/law/70301/407.b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448.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s://supreme.court.gov.il/" TargetMode="External"/><Relationship Id="rId64" Type="http://schemas.openxmlformats.org/officeDocument/2006/relationships/hyperlink" Target="http://www.nevo.co.il/advertisements/nevo-100.doc" TargetMode="Externa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2023-11-06T01:55:00Z</dcterms:created>
  <dc:creator>h4</dc:creator>
  <dc:description/>
  <cp:keywords/>
  <dc:language>en-IL</dc:language>
  <cp:lastModifiedBy>h1</cp:lastModifiedBy>
  <cp:lastPrinted>2023-11-01T09:00:00Z</cp:lastPrinted>
  <dcterms:modified xsi:type="dcterms:W3CDTF">2023-11-06T01:55:00Z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ריאד עוכזי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27341460:2;5993495;22793929;27682198;28300349;28770694;27454369;26684901;26400535;26333858;26280650;23750585;23842034;27202300</vt:lpwstr>
  </property>
  <property fmtid="{D5CDD505-2E9C-101B-9397-08002B2CF9AE}" pid="9" name="CITY">
    <vt:lpwstr/>
  </property>
  <property fmtid="{D5CDD505-2E9C-101B-9397-08002B2CF9AE}" pid="10" name="DATE">
    <vt:lpwstr>20231101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סולברג;ר' רונן;ממלא מקום ע' פוגלמן</vt:lpwstr>
  </property>
  <property fmtid="{D5CDD505-2E9C-101B-9397-08002B2CF9AE}" pid="14" name="LAWLISTTMP1">
    <vt:lpwstr>70301/448.a:21;34kd;407.b</vt:lpwstr>
  </property>
  <property fmtid="{D5CDD505-2E9C-101B-9397-08002B2CF9AE}" pid="15" name="LAWLISTTMP2">
    <vt:lpwstr>74903/184</vt:lpwstr>
  </property>
  <property fmtid="{D5CDD505-2E9C-101B-9397-08002B2CF9AE}" pid="16" name="LAWYER">
    <vt:lpwstr>סיגל בלום;נאיף נ. גאנם;מראם יונס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18;18;77;77;77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הרשעה</vt:lpwstr>
  </property>
  <property fmtid="{D5CDD505-2E9C-101B-9397-08002B2CF9AE}" pid="41" name="NOSE23">
    <vt:lpwstr>עבירות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465;465;1443;1446;1446</vt:lpwstr>
  </property>
  <property fmtid="{D5CDD505-2E9C-101B-9397-08002B2CF9AE}" pid="49" name="NOSE31">
    <vt:lpwstr>בעבירה שלא צוינה בכתב האישום</vt:lpwstr>
  </property>
  <property fmtid="{D5CDD505-2E9C-101B-9397-08002B2CF9AE}" pid="50" name="NOSE310">
    <vt:lpwstr/>
  </property>
  <property fmtid="{D5CDD505-2E9C-101B-9397-08002B2CF9AE}" pid="51" name="NOSE32">
    <vt:lpwstr>בעבירה על-פי עובדות שלא נטענו</vt:lpwstr>
  </property>
  <property fmtid="{D5CDD505-2E9C-101B-9397-08002B2CF9AE}" pid="52" name="NOSE33">
    <vt:lpwstr>הצתה</vt:lpwstr>
  </property>
  <property fmtid="{D5CDD505-2E9C-101B-9397-08002B2CF9AE}" pid="53" name="NOSE34">
    <vt:lpwstr>מדיניות ענישה: הצתה</vt:lpwstr>
  </property>
  <property fmtid="{D5CDD505-2E9C-101B-9397-08002B2CF9AE}" pid="54" name="NOSE35">
    <vt:lpwstr>מדיניות ענישה: התערבות ערכאת ערעור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18960;3632;8815;15357;8982</vt:lpwstr>
  </property>
  <property fmtid="{D5CDD505-2E9C-101B-9397-08002B2CF9AE}" pid="60" name="PADIDATE">
    <vt:lpwstr>20231102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3415;3440</vt:lpwstr>
  </property>
  <property fmtid="{D5CDD505-2E9C-101B-9397-08002B2CF9AE}" pid="66" name="PROCYEAR">
    <vt:lpwstr>23;23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410120231101</vt:lpwstr>
  </property>
  <property fmtid="{D5CDD505-2E9C-101B-9397-08002B2CF9AE}" pid="70" name="TYPE_N_DATE">
    <vt:lpwstr>41020231101</vt:lpwstr>
  </property>
  <property fmtid="{D5CDD505-2E9C-101B-9397-08002B2CF9AE}" pid="71" name="VOLUME">
    <vt:lpwstr/>
  </property>
  <property fmtid="{D5CDD505-2E9C-101B-9397-08002B2CF9AE}" pid="72" name="WORDNUMPAGES">
    <vt:lpwstr>14</vt:lpwstr>
  </property>
</Properties>
</file>