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3450/17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דמתי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33818-07-16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בגדרו נגזרו על המערער – בעקבות הרשעתו במסגרת הסדר טיעון בביצוע שתי עבירות של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שנעשו בבניין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עבור בצע כסף –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הופעל עונש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תנאי למשך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מחציתו במצטבר ומחציתו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בגדרו נגזרו על המערער – בעקבות הרשעתו במסגרת הסדר טיעון בביצוע שתי עבירות של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שנעשו בבניין מגורים עבור בצע כסף –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הופעל עונש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תנאי למשך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מחציתו במצטבר ומחציתו בחופף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אינה נוהגת להתערב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ההתערבות בכגון דא מתוחמת למצבים חריגים שבהם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הוא חורג באופן קיצוני ממדיניות הענישה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נמנה על חריגים אלו ואין הצדקה לשנות מן העונש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צורך להכביר במילים על חומרתה של 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שראשיתה גפרור ואחריתה עלולה להיות שערי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בנדון דידן נעשו ההצתות בבניין מגורים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ובשעות שבהן שוהים מרבית הדיירים בבתיהם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העמיד המערער בסכנה עצומה את פלוני ואת דיירי הבניין – סכנת נפשות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שאך בנס לא התממשה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נזק בלתי מבוטל נגרם גם למכונית שהוצתה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לבניין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תכנון מוקדם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המערער מצטייד מבעוד מועד בחומר דליק ובגפרורים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מצית ושב ומצית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תמורת בצע כסף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שנקבע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שנים לבין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– הועמד על הצד הגבוה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עיון בפסיקה מעלה כי המתחם שנקבע איננו חורג באופן קיצוני מהמדיניות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 שנוגע לקביעת העונש בתוך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שקל את כלל השיקולים הרלבנטיים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איזן ביניהם כיאות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עונש הנוטה לצִדו הנמוך 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בנסיבות חייו הקשות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נמנע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מחיובו בפיצוי כספי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הנזק הכספי הרב שגרם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רבבות שקלים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והפעיל אך מחצית מן המאסר המותנה בחופף לעונש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יש לציין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המאסר שריצה המערער בגין עבירת השוד המזוין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 המותנה שעמד לחובתו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ותקופות מאסר נוספות שריצה בעבר – לא לימדוהו לקח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שב לסורו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שמא בתקופת המאסר הנוכחית יהיה כדי להרתיעו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bookmarkStart w:id="17" w:name="_GoBack"/>
      <w:bookmarkEnd w:id="17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33818-07-16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13.4.2016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וביקשוֹ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לפלוני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מסוכסך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13.4.2016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קרקעי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האגס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ובגפרורים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הציתהּ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המטירה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החניון</w:t>
      </w:r>
      <w:r>
        <w:rPr>
          <w:rtl w:val="true"/>
        </w:rPr>
        <w:t xml:space="preserve">, </w:t>
      </w:r>
      <w:r>
        <w:rPr>
          <w:rtl w:val="true"/>
        </w:rPr>
        <w:t>והאש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כובתה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30.5.2016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3:00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האגס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עִמו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וגפרורים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בקומה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משכניו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, </w:t>
      </w:r>
      <w:r>
        <w:rPr>
          <w:rtl w:val="true"/>
        </w:rPr>
        <w:t>ושהה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הומטרו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, </w:t>
      </w:r>
      <w:r>
        <w:rPr>
          <w:rtl w:val="true"/>
        </w:rPr>
        <w:t>ומנעו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הדלֵקה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9.2.2017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ומחציתן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tl w:val="true"/>
        </w:rPr>
        <w:t>-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-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 xml:space="preserve">' </w:t>
      </w:r>
      <w:r>
        <w:rPr>
          <w:rtl w:val="true"/>
        </w:rPr>
        <w:t>ושהה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בפנימיות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לתאומות</w:t>
      </w:r>
      <w:r>
        <w:rPr>
          <w:rtl w:val="true"/>
        </w:rPr>
        <w:t xml:space="preserve">, </w:t>
      </w:r>
      <w:r>
        <w:rPr>
          <w:rtl w:val="true"/>
        </w:rPr>
        <w:t>ניתק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מִנעד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-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אפתח במושכלות ראשונים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היא עמנו כי ערכאת הערעור אינה נוהגת להתערב בעונש שגזרה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ההתערבות בכגון דא מתוחמת למצבים חריגים שבהם נפלה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כאשר הוא חורג באופן קיצוני ממדיניות הענישה הנהוגה </w:t>
      </w:r>
      <w:r>
        <w:rPr>
          <w:rFonts w:cs="Century" w:ascii="Century" w:hAnsi="Century"/>
          <w:rtl w:val="true"/>
        </w:rPr>
        <w:t>(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2684/16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26.10.2017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אין הצדקה לשנות מן העונש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אציע אפוא לחברַי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דומה כי אין צורך להכביר במילים על חומרתה של עבירת ההצתה</w:t>
      </w:r>
      <w:r>
        <w:rPr>
          <w:rFonts w:cs="Century" w:ascii="Century" w:hAnsi="Century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שראשיתה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גפרור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3210/06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 (</w:t>
      </w:r>
      <w:r>
        <w:rPr>
          <w:rFonts w:cs="Century" w:ascii="Century" w:hAnsi="Century"/>
        </w:rPr>
        <w:t>18.3.2007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 כל 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בנדון דידן נעשו ההצתות בבניין מגורים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ובשעות שבהן שוהים מרבית הדיירים בבתיהם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העמיד המערער בסכנה עצומה את פלוני ואת דיירי הבניין – סכנת נפשות פשוטו כמשמעו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שאך בנס לא התממשה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נזק בלתי מבוטל נגרם גם למכונית שהוצתה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לבניין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המערער מצטייד מבעוד מועד בחומר דליק ובגפרורים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מצית ושב ומצית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תמורת בצע כסף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אמנם נכון הדבר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6720/16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7.3.2017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ובענייננו נראה כי הועמד מתחם הענישה על הצד הגבוה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עיון בפסיקה מעלה כי המתחם שנקבע איננו חורג באופן קיצוני מהמדיניות הנהוגה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9299/09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קסקס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19.9.2010</w:t>
      </w:r>
      <w:r>
        <w:rPr>
          <w:rFonts w:cs="Century" w:ascii="Century" w:hAnsi="Century"/>
          <w:rtl w:val="true"/>
        </w:rPr>
        <w:t xml:space="preserve">);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4006/12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5.2.2013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7.11.2012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במה שנוגע לקביעת העונש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המחוזי את כלל השיקולים הרלבנטיים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מזה ומזה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איזן ביניהם כיאות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עונש הנוטה לצִדו הנמוך של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בנסיבות חייו הקשות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נמנע בית המשפט המחוזי מחיובו בפיצוי כספי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חרף הנזק הכספי הרב שגרם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רבבות שקלים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והפעיל אך מחצית מן המאסר המותנה בחופף לעונש המאסר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שהוטלה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10173/16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טאהא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14.2.2017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עוד זאת יש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המאסר שריצה המערער בגין עבירת השוד המזוין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המאסר המותנה שעמד לחובתו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ותקופות מאסר נוספות שריצה בעבר – לא לימדוהו לקח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שב לסורו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שמא בתקופת המאסר הנוכחית יהיה כדי להרתיעו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טרם 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נעלמו מעינַי טענות המערער שלפיהן הוא עושה מאמצים על מנת להשתקם ולחזור למוטב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לי אלא לברך על 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בן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עתידו עוד לפניו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תקוותי כי ימשיך במסלול זה שבו החל לצעוד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בבחינת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סור מרע ועשה טוב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וינצל את תקופת המאסר על מנת ללמוד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להשתקם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לעלות על דרך המלך – לטובתו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למען רעייתו ובנותיו ולתועלת החברה כולה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10.1.2018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17034500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">
        <w:r>
          <w:rPr>
            <w:rStyle w:val="Hyperlink"/>
            <w:sz w:val="16"/>
          </w:rPr>
          <w:t>www.court.gov.il</w:t>
        </w:r>
      </w:hyperlink>
    </w:p>
    <w:p>
      <w:pPr>
        <w:pStyle w:val="Normal"/>
        <w:keepNext w:val="true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54678313-3450/17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color w:val="000000"/>
          <w:sz w:val="26"/>
          <w:sz w:val="26"/>
          <w:szCs w:val="26"/>
          <w:rtl w:val="true"/>
        </w:rPr>
        <w:t>נוסח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מסמך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זה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כפוף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לשינויי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ניסוח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ועריכה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color w:val="0000FF"/>
          <w:sz w:val="26"/>
          <w:u w:val="single"/>
        </w:rPr>
      </w:pPr>
      <w:hyperlink r:id="rId1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פסיקה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כאן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center"/>
        <w:rPr>
          <w:color w:val="0000FF"/>
          <w:sz w:val="26"/>
          <w:u w:val="single"/>
        </w:rPr>
      </w:pPr>
      <w:r>
        <w:rPr>
          <w:color w:val="0000FF"/>
          <w:sz w:val="26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3450/17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דמתי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362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case/21736259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2303085" TargetMode="External"/><Relationship Id="rId9" Type="http://schemas.openxmlformats.org/officeDocument/2006/relationships/hyperlink" Target="http://www.nevo.co.il/case/5882592" TargetMode="External"/><Relationship Id="rId10" Type="http://schemas.openxmlformats.org/officeDocument/2006/relationships/hyperlink" Target="http://www.nevo.co.il/case/21478675" TargetMode="External"/><Relationship Id="rId11" Type="http://schemas.openxmlformats.org/officeDocument/2006/relationships/hyperlink" Target="http://www.nevo.co.il/case/6146906" TargetMode="External"/><Relationship Id="rId12" Type="http://schemas.openxmlformats.org/officeDocument/2006/relationships/hyperlink" Target="http://www.nevo.co.il/case/5585564" TargetMode="External"/><Relationship Id="rId13" Type="http://schemas.openxmlformats.org/officeDocument/2006/relationships/hyperlink" Target="http://www.nevo.co.il/case/5570864" TargetMode="External"/><Relationship Id="rId14" Type="http://schemas.openxmlformats.org/officeDocument/2006/relationships/hyperlink" Target="http://www.nevo.co.il/case/21914030" TargetMode="External"/><Relationship Id="rId15" Type="http://schemas.openxmlformats.org/officeDocument/2006/relationships/hyperlink" Target="http://www.court.gov.il/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2018-01-11T11:38:00Z</dcterms:created>
  <dc:creator> </dc:creator>
  <dc:description/>
  <cp:keywords/>
  <dc:language>en-IL</dc:language>
  <cp:lastModifiedBy>orly</cp:lastModifiedBy>
  <cp:lastPrinted>2018-01-10T15:58:00Z</cp:lastPrinted>
  <dcterms:modified xsi:type="dcterms:W3CDTF">2018-01-11T11:38:00Z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דמתי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ProcID=133;209&amp;PartA=4006&amp;PartC=12</vt:lpwstr>
  </property>
  <property fmtid="{D5CDD505-2E9C-101B-9397-08002B2CF9AE}" pid="9" name="CASESLISTTMP1">
    <vt:lpwstr>21736259:2;22303085;5882592;21478675;6146906;5570864;21914030</vt:lpwstr>
  </property>
  <property fmtid="{D5CDD505-2E9C-101B-9397-08002B2CF9AE}" pid="10" name="CITY">
    <vt:lpwstr/>
  </property>
  <property fmtid="{D5CDD505-2E9C-101B-9397-08002B2CF9AE}" pid="11" name="DATE">
    <vt:lpwstr>20180110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סולברג;ד' מינץ;י' אלרון</vt:lpwstr>
  </property>
  <property fmtid="{D5CDD505-2E9C-101B-9397-08002B2CF9AE}" pid="15" name="LAWLISTTMP1">
    <vt:lpwstr>70301/448.a</vt:lpwstr>
  </property>
  <property fmtid="{D5CDD505-2E9C-101B-9397-08002B2CF9AE}" pid="16" name="LAWYER">
    <vt:lpwstr>רוני זלושינסקי;עידו פורת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עבירות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1443;1443;1443</vt:lpwstr>
  </property>
  <property fmtid="{D5CDD505-2E9C-101B-9397-08002B2CF9AE}" pid="49" name="NOSE31">
    <vt:lpwstr>הצתה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8815;15334;15335</vt:lpwstr>
  </property>
  <property fmtid="{D5CDD505-2E9C-101B-9397-08002B2CF9AE}" pid="60" name="PADIDATE">
    <vt:lpwstr>20180111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3450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410120180110</vt:lpwstr>
  </property>
  <property fmtid="{D5CDD505-2E9C-101B-9397-08002B2CF9AE}" pid="70" name="TYPE_N_DATE">
    <vt:lpwstr>41020180110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