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3473/17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14854-03-15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אב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ותמר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Times New Roman;Times New Roman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07.02.19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לימור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טברו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135,000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בדפוס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נקשרו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שרכש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שנוצרה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לריבוי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לגילן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בדרגות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מזעזעת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נרתע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המטילה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20-8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נלוות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6"/>
          <w:szCs w:val="10"/>
        </w:rPr>
      </w:pPr>
      <w:r>
        <w:rPr>
          <w:rFonts w:cs="FrankRuehl"/>
          <w:sz w:val="6"/>
          <w:szCs w:val="10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14.3.2017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14854-03-15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נתנאל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tl w:val="true"/>
        </w:rPr>
        <w:t xml:space="preserve">, </w:t>
      </w:r>
      <w:r>
        <w:rPr>
          <w:rtl w:val="true"/>
        </w:rPr>
        <w:t>בשש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הינו יליד </w:t>
      </w:r>
      <w:r>
        <w:rPr/>
        <w:t>1954</w:t>
      </w:r>
      <w:r>
        <w:rPr>
          <w:rtl w:val="true"/>
        </w:rPr>
        <w:t xml:space="preserve">, </w:t>
      </w:r>
      <w:r>
        <w:rPr>
          <w:rtl w:val="true"/>
        </w:rPr>
        <w:t>ולחובתו כבר נרשם עבר פלילי עשיר הכולל עשרות רבות של הרשעות</w:t>
      </w:r>
      <w:r>
        <w:rPr>
          <w:rtl w:val="true"/>
        </w:rPr>
        <w:t xml:space="preserve">, </w:t>
      </w:r>
      <w:r>
        <w:rPr>
          <w:rtl w:val="true"/>
        </w:rPr>
        <w:t>ברובן בגין עבירות רכוש</w:t>
      </w:r>
      <w:r>
        <w:rPr>
          <w:rtl w:val="true"/>
        </w:rPr>
        <w:t xml:space="preserve">, </w:t>
      </w:r>
      <w:r>
        <w:rPr>
          <w:rtl w:val="true"/>
        </w:rPr>
        <w:t>אך מקצתן בגין עבירות מין בקטינים</w:t>
      </w:r>
      <w:r>
        <w:rPr>
          <w:rtl w:val="true"/>
        </w:rPr>
        <w:t xml:space="preserve">.  </w:t>
      </w:r>
      <w:r>
        <w:rPr>
          <w:rtl w:val="true"/>
        </w:rPr>
        <w:t xml:space="preserve">האירועים מושא כתב האישום הנוכחי התרחשו בשנים </w:t>
      </w:r>
      <w:r>
        <w:rPr/>
        <w:t>2015-2014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 היה בן </w:t>
      </w:r>
      <w:r>
        <w:rPr/>
        <w:t>63</w:t>
      </w:r>
      <w:r>
        <w:rPr>
          <w:rtl w:val="true"/>
        </w:rPr>
        <w:t xml:space="preserve">. </w:t>
      </w:r>
      <w:r>
        <w:rPr>
          <w:rtl w:val="true"/>
        </w:rPr>
        <w:t>ברקע האישומים עומדים קשרים שיצר המערער עם שתי חבורות של נערות</w:t>
      </w:r>
      <w:r>
        <w:rPr>
          <w:rtl w:val="true"/>
        </w:rPr>
        <w:t xml:space="preserve">, </w:t>
      </w:r>
      <w:r>
        <w:rPr>
          <w:rtl w:val="true"/>
        </w:rPr>
        <w:t xml:space="preserve">כולן קטינות בגילאים </w:t>
      </w:r>
      <w:r>
        <w:rPr/>
        <w:t>17-14</w:t>
      </w:r>
      <w:r>
        <w:rPr>
          <w:rtl w:val="true"/>
        </w:rPr>
        <w:t xml:space="preserve">. </w:t>
      </w:r>
      <w:r>
        <w:rPr>
          <w:rtl w:val="true"/>
        </w:rPr>
        <w:t>בין שתי קבוצות הנערות לא התקיימו קשרים והן אינן מכירות זו את זו</w:t>
      </w:r>
      <w:r>
        <w:rPr>
          <w:rtl w:val="true"/>
        </w:rPr>
        <w:t xml:space="preserve">, </w:t>
      </w:r>
      <w:r>
        <w:rPr>
          <w:rtl w:val="true"/>
        </w:rPr>
        <w:t>ואולם דפוסי הפעולה שיוחסו למערער ביחס לכל אחת מהנערות והקבוצות דומים</w:t>
      </w:r>
      <w:r>
        <w:rPr>
          <w:rtl w:val="true"/>
        </w:rPr>
        <w:t xml:space="preserve">: </w:t>
      </w:r>
      <w:r>
        <w:rPr>
          <w:rtl w:val="true"/>
        </w:rPr>
        <w:t>המערער קשר קשרי ידידות עם הנערות</w:t>
      </w:r>
      <w:r>
        <w:rPr>
          <w:rtl w:val="true"/>
        </w:rPr>
        <w:t xml:space="preserve">, </w:t>
      </w:r>
      <w:r>
        <w:rPr>
          <w:rtl w:val="true"/>
        </w:rPr>
        <w:t>במסגרתן בילו יחדיו</w:t>
      </w:r>
      <w:r>
        <w:rPr>
          <w:rtl w:val="true"/>
        </w:rPr>
        <w:t xml:space="preserve">, </w:t>
      </w:r>
      <w:r>
        <w:rPr>
          <w:rtl w:val="true"/>
        </w:rPr>
        <w:t>והמערער היה מסיען לבית הספר ולחברים</w:t>
      </w:r>
      <w:r>
        <w:rPr>
          <w:rtl w:val="true"/>
        </w:rPr>
        <w:t xml:space="preserve">, </w:t>
      </w:r>
      <w:r>
        <w:rPr>
          <w:rtl w:val="true"/>
        </w:rPr>
        <w:t>מזמין עבורן אוכל במסעדות ומארח אותן בביתו</w:t>
      </w:r>
      <w:r>
        <w:rPr>
          <w:rtl w:val="true"/>
        </w:rPr>
        <w:t xml:space="preserve">. </w:t>
      </w:r>
      <w:r>
        <w:rPr>
          <w:rtl w:val="true"/>
        </w:rPr>
        <w:t>על פי המיוחס למערער</w:t>
      </w:r>
      <w:r>
        <w:rPr>
          <w:rtl w:val="true"/>
        </w:rPr>
        <w:t xml:space="preserve">, </w:t>
      </w:r>
      <w:r>
        <w:rPr>
          <w:rtl w:val="true"/>
        </w:rPr>
        <w:t>מערכות יחסים אלה נוצלו על ידי המערער לביצוע עבירות מין בנערות הקטינות</w:t>
      </w:r>
      <w:r>
        <w:rPr>
          <w:rtl w:val="true"/>
        </w:rPr>
        <w:t xml:space="preserve">, </w:t>
      </w:r>
      <w:r>
        <w:rPr>
          <w:rtl w:val="true"/>
        </w:rPr>
        <w:t>תוך שהוא מציג את הנדרש והנלקח על ידו מהנערות כתמורה לטובות ההנאה שהוא נותן להן</w:t>
      </w:r>
      <w:r>
        <w:rPr>
          <w:rtl w:val="true"/>
        </w:rPr>
        <w:t xml:space="preserve">, </w:t>
      </w:r>
      <w:r>
        <w:rPr>
          <w:rtl w:val="true"/>
        </w:rPr>
        <w:t xml:space="preserve">בגדר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תפנקי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זהו תורף הדברים</w:t>
      </w:r>
      <w:r>
        <w:rPr>
          <w:rtl w:val="true"/>
        </w:rPr>
        <w:t xml:space="preserve">, </w:t>
      </w:r>
      <w:r>
        <w:rPr>
          <w:rtl w:val="true"/>
        </w:rPr>
        <w:t>ולהלן פרטיהם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קבוצת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ניהל מערכת יחסים רומנטית במשך מספר חודשים עם אישה פלונית</w:t>
      </w:r>
      <w:r>
        <w:rPr>
          <w:rtl w:val="true"/>
        </w:rPr>
        <w:t xml:space="preserve">. </w:t>
      </w:r>
      <w:r>
        <w:rPr>
          <w:rtl w:val="true"/>
        </w:rPr>
        <w:t>במהלך מערכת יחסים זו</w:t>
      </w:r>
      <w:r>
        <w:rPr>
          <w:rtl w:val="true"/>
        </w:rPr>
        <w:t xml:space="preserve">, </w:t>
      </w:r>
      <w:r>
        <w:rPr>
          <w:rtl w:val="true"/>
        </w:rPr>
        <w:t>יצר המערער קשרי ידידות אמיצים עם בני משפחתה של אותה אישה</w:t>
      </w:r>
      <w:r>
        <w:rPr>
          <w:rtl w:val="true"/>
        </w:rPr>
        <w:t xml:space="preserve">, </w:t>
      </w:r>
      <w:r>
        <w:rPr>
          <w:rtl w:val="true"/>
        </w:rPr>
        <w:t>כולל אחותה שר</w:t>
      </w:r>
      <w:r>
        <w:rPr>
          <w:rtl w:val="true"/>
        </w:rPr>
        <w:t xml:space="preserve">', </w:t>
      </w:r>
      <w:r>
        <w:rPr>
          <w:rtl w:val="true"/>
        </w:rPr>
        <w:t>ובנותיה הקטינות של שר</w:t>
      </w:r>
      <w:r>
        <w:rPr>
          <w:rtl w:val="true"/>
        </w:rPr>
        <w:t xml:space="preserve">',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'. </w:t>
      </w:r>
      <w:r>
        <w:rPr>
          <w:rtl w:val="true"/>
        </w:rPr>
        <w:t>גם לאחר סיומה של מערכת היחסים עם בת זוגו</w:t>
      </w:r>
      <w:r>
        <w:rPr>
          <w:rtl w:val="true"/>
        </w:rPr>
        <w:t xml:space="preserve">, </w:t>
      </w:r>
      <w:r>
        <w:rPr>
          <w:rtl w:val="true"/>
        </w:rPr>
        <w:t>נשמר הקשר הקרוב בין המערער ובין שר</w:t>
      </w:r>
      <w:r>
        <w:rPr>
          <w:rtl w:val="true"/>
        </w:rPr>
        <w:t xml:space="preserve">' </w:t>
      </w:r>
      <w:r>
        <w:rPr>
          <w:rtl w:val="true"/>
        </w:rPr>
        <w:t xml:space="preserve">ובנותיה </w:t>
      </w:r>
      <w:r>
        <w:rPr>
          <w:rtl w:val="true"/>
        </w:rPr>
        <w:t>–</w:t>
      </w:r>
      <w:r>
        <w:rPr>
          <w:rtl w:val="true"/>
        </w:rPr>
        <w:t xml:space="preserve"> המערער נהג לסייע לשר</w:t>
      </w:r>
      <w:r>
        <w:rPr>
          <w:rtl w:val="true"/>
        </w:rPr>
        <w:t xml:space="preserve">' </w:t>
      </w:r>
      <w:r>
        <w:rPr>
          <w:rtl w:val="true"/>
        </w:rPr>
        <w:t>בקניות</w:t>
      </w:r>
      <w:r>
        <w:rPr>
          <w:rtl w:val="true"/>
        </w:rPr>
        <w:t xml:space="preserve">, </w:t>
      </w:r>
      <w:r>
        <w:rPr>
          <w:rtl w:val="true"/>
        </w:rPr>
        <w:t>בהסעת בנותיה לבית הספר ולחברים</w:t>
      </w:r>
      <w:r>
        <w:rPr>
          <w:rtl w:val="true"/>
        </w:rPr>
        <w:t xml:space="preserve">, </w:t>
      </w:r>
      <w:r>
        <w:rPr>
          <w:rtl w:val="true"/>
        </w:rPr>
        <w:t>קנה עבורן ספרי לימוד וכלי כתיבה</w:t>
      </w:r>
      <w:r>
        <w:rPr>
          <w:rtl w:val="true"/>
        </w:rPr>
        <w:t xml:space="preserve">, </w:t>
      </w:r>
      <w:r>
        <w:rPr>
          <w:rtl w:val="true"/>
        </w:rPr>
        <w:t>וכן התארח בביתה וסעד עם בני משפחתה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נהג המערער להיפגש עם בנותיה של שר</w:t>
      </w:r>
      <w:r>
        <w:rPr>
          <w:rtl w:val="true"/>
        </w:rPr>
        <w:t xml:space="preserve">', </w:t>
      </w:r>
      <w:r>
        <w:rPr>
          <w:rtl w:val="true"/>
        </w:rPr>
        <w:t>גם ללא נוכחותה</w:t>
      </w:r>
      <w:r>
        <w:rPr>
          <w:rtl w:val="true"/>
        </w:rPr>
        <w:t xml:space="preserve">. </w:t>
      </w:r>
      <w:r>
        <w:rPr>
          <w:rtl w:val="true"/>
        </w:rPr>
        <w:t xml:space="preserve">הבנות אף הכירו למערער חברה בת גילן </w:t>
      </w:r>
      <w:r>
        <w:rPr>
          <w:rtl w:val="true"/>
        </w:rPr>
        <w:t>–</w:t>
      </w:r>
      <w:r>
        <w:rPr>
          <w:rtl w:val="true"/>
        </w:rPr>
        <w:t xml:space="preserve"> הנערה אל</w:t>
      </w:r>
      <w:r>
        <w:rPr>
          <w:rtl w:val="true"/>
        </w:rPr>
        <w:t xml:space="preserve">'. </w:t>
      </w:r>
      <w:r>
        <w:rPr>
          <w:rtl w:val="true"/>
        </w:rPr>
        <w:t xml:space="preserve">קבוצת הנערות הראשונה מונה לפיכך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נערות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שהן אחיות</w:t>
      </w:r>
      <w:r>
        <w:rPr>
          <w:rtl w:val="true"/>
        </w:rPr>
        <w:t xml:space="preserve">, </w:t>
      </w:r>
      <w:r>
        <w:rPr>
          <w:rtl w:val="true"/>
        </w:rPr>
        <w:t>בנותיה של שר</w:t>
      </w:r>
      <w:r>
        <w:rPr>
          <w:rtl w:val="true"/>
        </w:rPr>
        <w:t xml:space="preserve">',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', </w:t>
      </w:r>
      <w:r>
        <w:rPr>
          <w:rtl w:val="true"/>
        </w:rPr>
        <w:t>חברתן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קבוצת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באותה תקופה</w:t>
      </w:r>
      <w:r>
        <w:rPr>
          <w:rtl w:val="true"/>
        </w:rPr>
        <w:t xml:space="preserve">, </w:t>
      </w:r>
      <w:r>
        <w:rPr>
          <w:rtl w:val="true"/>
        </w:rPr>
        <w:t>נהג המערער לבלות בטיילת הנמצאת למרגלות חוף הים בצפון הארץ</w:t>
      </w:r>
      <w:r>
        <w:rPr>
          <w:rtl w:val="true"/>
        </w:rPr>
        <w:t xml:space="preserve">, </w:t>
      </w:r>
      <w:r>
        <w:rPr>
          <w:rtl w:val="true"/>
        </w:rPr>
        <w:t>שם הכיר את קבוצת הנערות השנייה</w:t>
      </w:r>
      <w:r>
        <w:rPr>
          <w:rtl w:val="true"/>
        </w:rPr>
        <w:t xml:space="preserve">, </w:t>
      </w:r>
      <w:r>
        <w:rPr>
          <w:rtl w:val="true"/>
        </w:rPr>
        <w:t>בהן נ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'. </w:t>
      </w:r>
      <w:r>
        <w:rPr>
          <w:rtl w:val="true"/>
        </w:rPr>
        <w:t>גם עם קבוצה זו פיתח המערער קשרי ידידות</w:t>
      </w:r>
      <w:r>
        <w:rPr>
          <w:rtl w:val="true"/>
        </w:rPr>
        <w:t xml:space="preserve">, </w:t>
      </w:r>
      <w:r>
        <w:rPr>
          <w:rtl w:val="true"/>
        </w:rPr>
        <w:t>במסגרתן נהג להיפגש עם הנערות</w:t>
      </w:r>
      <w:r>
        <w:rPr>
          <w:rtl w:val="true"/>
        </w:rPr>
        <w:t xml:space="preserve">, </w:t>
      </w:r>
      <w:r>
        <w:rPr>
          <w:rtl w:val="true"/>
        </w:rPr>
        <w:t>להסיען ברכבו לבית הספר ולחברים</w:t>
      </w:r>
      <w:r>
        <w:rPr>
          <w:rtl w:val="true"/>
        </w:rPr>
        <w:t xml:space="preserve">, </w:t>
      </w:r>
      <w:r>
        <w:rPr>
          <w:rtl w:val="true"/>
        </w:rPr>
        <w:t>לקנות להן מזון</w:t>
      </w:r>
      <w:r>
        <w:rPr>
          <w:rtl w:val="true"/>
        </w:rPr>
        <w:t xml:space="preserve">, </w:t>
      </w:r>
      <w:r>
        <w:rPr>
          <w:rtl w:val="true"/>
        </w:rPr>
        <w:t>ולארחן בביתו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כנגד המערער הוגש במרץ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 xml:space="preserve">כתב אישום המונה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לפיו ניצל את קשריו עם הנערות הקטינות המשתייכות לשתי הקבוצות שתוארו לעיל</w:t>
      </w:r>
      <w:r>
        <w:rPr>
          <w:rtl w:val="true"/>
        </w:rPr>
        <w:t xml:space="preserve">, </w:t>
      </w:r>
      <w:r>
        <w:rPr>
          <w:rtl w:val="true"/>
        </w:rPr>
        <w:t>וביצע ברובן עבירות מין הכוללות אינוס</w:t>
      </w:r>
      <w:r>
        <w:rPr>
          <w:rtl w:val="true"/>
        </w:rPr>
        <w:t xml:space="preserve">, </w:t>
      </w:r>
      <w:r>
        <w:rPr>
          <w:rtl w:val="true"/>
        </w:rPr>
        <w:t>מעשים מגונים</w:t>
      </w:r>
      <w:r>
        <w:rPr>
          <w:rtl w:val="true"/>
        </w:rPr>
        <w:t xml:space="preserve">, </w:t>
      </w:r>
      <w:r>
        <w:rPr>
          <w:rtl w:val="true"/>
        </w:rPr>
        <w:t>הטרדה מינית ותקיפה</w:t>
      </w:r>
      <w:r>
        <w:rPr>
          <w:rtl w:val="true"/>
        </w:rPr>
        <w:t xml:space="preserve">. </w:t>
      </w:r>
      <w:r>
        <w:rPr>
          <w:rtl w:val="true"/>
        </w:rPr>
        <w:t>האישומים הראשון עד הרביעי עסקו במעשיו של המערער כלפי נערות המשתייכות לקבוצת הנערות השנייה</w:t>
      </w:r>
      <w:r>
        <w:rPr>
          <w:rtl w:val="true"/>
        </w:rPr>
        <w:t xml:space="preserve">, </w:t>
      </w:r>
      <w:r>
        <w:rPr>
          <w:rtl w:val="true"/>
        </w:rPr>
        <w:t>והאישומים החמישי והשישי עסקו במעשיו של המערער כלפי נערות המשתייכות לקבוצת הנערות הראשונה</w:t>
      </w:r>
      <w:r>
        <w:rPr>
          <w:rtl w:val="true"/>
        </w:rPr>
        <w:t xml:space="preserve">. </w:t>
      </w:r>
      <w:r>
        <w:rPr>
          <w:rtl w:val="true"/>
        </w:rPr>
        <w:t>אביא להלן את עיקרי המעשים בהם הואשם המערער</w:t>
      </w:r>
      <w:r>
        <w:rPr>
          <w:rtl w:val="true"/>
        </w:rPr>
        <w:t xml:space="preserve">, </w:t>
      </w:r>
      <w:r>
        <w:rPr>
          <w:rtl w:val="true"/>
        </w:rPr>
        <w:t>כפי שהופיעו בכתב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קבוצת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והשני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אישומים אלה עסקו במעשי המערער כלפי המתלוננת ח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 xml:space="preserve">אשר הייתה בת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 המעשים המתוארים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בשלוש הזדמנויות שונות</w:t>
      </w:r>
      <w:r>
        <w:rPr>
          <w:rtl w:val="true"/>
        </w:rPr>
        <w:t xml:space="preserve">, </w:t>
      </w:r>
      <w:r>
        <w:rPr>
          <w:rtl w:val="true"/>
        </w:rPr>
        <w:t>במהלכן ביקרה ח</w:t>
      </w:r>
      <w:r>
        <w:rPr>
          <w:rtl w:val="true"/>
        </w:rPr>
        <w:t xml:space="preserve">' </w:t>
      </w:r>
      <w:r>
        <w:rPr>
          <w:rtl w:val="true"/>
        </w:rPr>
        <w:t>בביתו של המערער</w:t>
      </w:r>
      <w:r>
        <w:rPr>
          <w:rtl w:val="true"/>
        </w:rPr>
        <w:t xml:space="preserve">, </w:t>
      </w:r>
      <w:r>
        <w:rPr>
          <w:rtl w:val="true"/>
        </w:rPr>
        <w:t>השכיבה המערער על מיטתו כשפניה כלפי מטה</w:t>
      </w:r>
      <w:r>
        <w:rPr>
          <w:rtl w:val="true"/>
        </w:rPr>
        <w:t xml:space="preserve">, </w:t>
      </w:r>
      <w:r>
        <w:rPr>
          <w:rtl w:val="true"/>
        </w:rPr>
        <w:t>פשט את מכנסיה ותחתוניה ונשכב עליה כשהוא לא מאפשר לה לזוז</w:t>
      </w:r>
      <w:r>
        <w:rPr>
          <w:rtl w:val="true"/>
        </w:rPr>
        <w:t xml:space="preserve">. </w:t>
      </w:r>
      <w:r>
        <w:rPr>
          <w:rtl w:val="true"/>
        </w:rPr>
        <w:t>לאחר מכן שפשף את איבר מינו באחוריה עד שהגיע לפורקן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במספר הזדמנויות הציע המערער לנערה ח</w:t>
      </w:r>
      <w:r>
        <w:rPr>
          <w:rtl w:val="true"/>
        </w:rPr>
        <w:t xml:space="preserve">' </w:t>
      </w:r>
      <w:r>
        <w:rPr>
          <w:rtl w:val="true"/>
        </w:rPr>
        <w:t>לשכב עמו</w:t>
      </w:r>
      <w:r>
        <w:rPr>
          <w:rtl w:val="true"/>
        </w:rPr>
        <w:t xml:space="preserve">, </w:t>
      </w:r>
      <w:r>
        <w:rPr>
          <w:rtl w:val="true"/>
        </w:rPr>
        <w:t>לקיים עמו מין אוראלי ולשפשף את איבר מינו</w:t>
      </w:r>
      <w:r>
        <w:rPr>
          <w:rtl w:val="true"/>
        </w:rPr>
        <w:t xml:space="preserve">, </w:t>
      </w:r>
      <w:r>
        <w:rPr>
          <w:rtl w:val="true"/>
        </w:rPr>
        <w:t>ובחלק מן הפעמים</w:t>
      </w:r>
      <w:r>
        <w:rPr>
          <w:rtl w:val="true"/>
        </w:rPr>
        <w:t xml:space="preserve">, </w:t>
      </w:r>
      <w:r>
        <w:rPr>
          <w:rtl w:val="true"/>
        </w:rPr>
        <w:t>אף הציע לה תשלום עבור כך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בכתב האישום נטען כי במקרה אחד</w:t>
      </w:r>
      <w:r>
        <w:rPr>
          <w:rtl w:val="true"/>
        </w:rPr>
        <w:t xml:space="preserve">, </w:t>
      </w:r>
      <w:r>
        <w:rPr>
          <w:rtl w:val="true"/>
        </w:rPr>
        <w:t>בעת שנסעו ברכב</w:t>
      </w:r>
      <w:r>
        <w:rPr>
          <w:rtl w:val="true"/>
        </w:rPr>
        <w:t xml:space="preserve">, </w:t>
      </w:r>
      <w:r>
        <w:rPr>
          <w:rtl w:val="true"/>
        </w:rPr>
        <w:t>היכה המערער את ח</w:t>
      </w:r>
      <w:r>
        <w:rPr>
          <w:rtl w:val="true"/>
        </w:rPr>
        <w:t xml:space="preserve">' </w:t>
      </w:r>
      <w:r>
        <w:rPr>
          <w:rtl w:val="true"/>
        </w:rPr>
        <w:t>עם אגרופו בראשה</w:t>
      </w:r>
      <w:r>
        <w:rPr>
          <w:rtl w:val="true"/>
        </w:rPr>
        <w:t xml:space="preserve">, </w:t>
      </w:r>
      <w:r>
        <w:rPr>
          <w:rtl w:val="true"/>
        </w:rPr>
        <w:t>לקח את מכשיר הטלפון שלה והשליכו בכוח עד שנשבר</w:t>
      </w:r>
      <w:r>
        <w:rPr>
          <w:rtl w:val="true"/>
        </w:rPr>
        <w:t xml:space="preserve">. </w:t>
      </w:r>
      <w:r>
        <w:rPr>
          <w:rtl w:val="true"/>
        </w:rPr>
        <w:t>לאחר שהנערה ח</w:t>
      </w:r>
      <w:r>
        <w:rPr>
          <w:rtl w:val="true"/>
        </w:rPr>
        <w:t xml:space="preserve">' </w:t>
      </w:r>
      <w:r>
        <w:rPr>
          <w:rtl w:val="true"/>
        </w:rPr>
        <w:t>אספה את המכשיר בידה</w:t>
      </w:r>
      <w:r>
        <w:rPr>
          <w:rtl w:val="true"/>
        </w:rPr>
        <w:t xml:space="preserve">, </w:t>
      </w:r>
      <w:r>
        <w:rPr>
          <w:rtl w:val="true"/>
        </w:rPr>
        <w:t>חטף אותו ממנה והביא לכך שנחתכה ונפצעה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האישום השלישי עסק במעשי המערער כלפי הנערה ש</w:t>
      </w:r>
      <w:r>
        <w:rPr>
          <w:rtl w:val="true"/>
        </w:rPr>
        <w:t xml:space="preserve">', </w:t>
      </w:r>
      <w:r>
        <w:rPr>
          <w:rtl w:val="true"/>
        </w:rPr>
        <w:t xml:space="preserve">גם היא ילידת 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 xml:space="preserve">והייתה בת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עת התרחשו המעשים המתוארים</w:t>
      </w:r>
      <w:r>
        <w:rPr>
          <w:rtl w:val="true"/>
        </w:rPr>
        <w:t xml:space="preserve">. </w:t>
      </w:r>
      <w:r>
        <w:rPr>
          <w:rtl w:val="true"/>
        </w:rPr>
        <w:t>נטען כי במספר הזדמנויות</w:t>
      </w:r>
      <w:r>
        <w:rPr>
          <w:rtl w:val="true"/>
        </w:rPr>
        <w:t xml:space="preserve">, </w:t>
      </w:r>
      <w:r>
        <w:rPr>
          <w:rtl w:val="true"/>
        </w:rPr>
        <w:t>כאשר ש</w:t>
      </w:r>
      <w:r>
        <w:rPr>
          <w:rtl w:val="true"/>
        </w:rPr>
        <w:t xml:space="preserve">' </w:t>
      </w:r>
      <w:r>
        <w:rPr>
          <w:rtl w:val="true"/>
        </w:rPr>
        <w:t>נסעה עם המערער ברכבו</w:t>
      </w:r>
      <w:r>
        <w:rPr>
          <w:rtl w:val="true"/>
        </w:rPr>
        <w:t xml:space="preserve">, </w:t>
      </w:r>
      <w:r>
        <w:rPr>
          <w:rtl w:val="true"/>
        </w:rPr>
        <w:t>הניח המערער את כף ידו על ירכיה</w:t>
      </w:r>
      <w:r>
        <w:rPr>
          <w:rtl w:val="true"/>
        </w:rPr>
        <w:t xml:space="preserve">, </w:t>
      </w:r>
      <w:r>
        <w:rPr>
          <w:rtl w:val="true"/>
        </w:rPr>
        <w:t>וליטף אותה קרוב לאיבר מינה</w:t>
      </w:r>
      <w:r>
        <w:rPr>
          <w:rtl w:val="true"/>
        </w:rPr>
        <w:t xml:space="preserve">. </w:t>
      </w:r>
      <w:r>
        <w:rPr>
          <w:rtl w:val="true"/>
        </w:rPr>
        <w:t>בהזדמנות אחת אף הכניס את ידו למכנסיה</w:t>
      </w:r>
      <w:r>
        <w:rPr>
          <w:rtl w:val="true"/>
        </w:rPr>
        <w:t xml:space="preserve">. </w:t>
      </w:r>
      <w:r>
        <w:rPr>
          <w:rtl w:val="true"/>
        </w:rPr>
        <w:t>במקרה אחד</w:t>
      </w:r>
      <w:r>
        <w:rPr>
          <w:rtl w:val="true"/>
        </w:rPr>
        <w:t xml:space="preserve">, </w:t>
      </w:r>
      <w:r>
        <w:rPr>
          <w:rtl w:val="true"/>
        </w:rPr>
        <w:t>עצר המערער את רכבו</w:t>
      </w:r>
      <w:r>
        <w:rPr>
          <w:rtl w:val="true"/>
        </w:rPr>
        <w:t xml:space="preserve">, </w:t>
      </w:r>
      <w:r>
        <w:rPr>
          <w:rtl w:val="true"/>
        </w:rPr>
        <w:t>וכאשר נמצאה ש</w:t>
      </w:r>
      <w:r>
        <w:rPr>
          <w:rtl w:val="true"/>
        </w:rPr>
        <w:t xml:space="preserve">' </w:t>
      </w:r>
      <w:r>
        <w:rPr>
          <w:rtl w:val="true"/>
        </w:rPr>
        <w:t>מחוץ לרכב</w:t>
      </w:r>
      <w:r>
        <w:rPr>
          <w:rtl w:val="true"/>
        </w:rPr>
        <w:t xml:space="preserve">, </w:t>
      </w:r>
      <w:r>
        <w:rPr>
          <w:rtl w:val="true"/>
        </w:rPr>
        <w:t>ניסה לפשוט את מכנסיה</w:t>
      </w:r>
      <w:r>
        <w:rPr>
          <w:rtl w:val="true"/>
        </w:rPr>
        <w:t xml:space="preserve">.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>בזמן שישבה ש</w:t>
      </w:r>
      <w:r>
        <w:rPr>
          <w:rtl w:val="true"/>
        </w:rPr>
        <w:t xml:space="preserve">' </w:t>
      </w:r>
      <w:r>
        <w:rPr>
          <w:rtl w:val="true"/>
        </w:rPr>
        <w:t>על ספסל</w:t>
      </w:r>
      <w:r>
        <w:rPr>
          <w:rtl w:val="true"/>
        </w:rPr>
        <w:t xml:space="preserve">, </w:t>
      </w:r>
      <w:r>
        <w:rPr>
          <w:rtl w:val="true"/>
        </w:rPr>
        <w:t>חיבק אותה חיבוק מגונה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האישום הרביעי עסק במעשי המערער כלפי הנערה ד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 xml:space="preserve">אשר הייתה 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בעת הרלוונטית</w:t>
      </w:r>
      <w:r>
        <w:rPr>
          <w:rtl w:val="true"/>
        </w:rPr>
        <w:t xml:space="preserve">. </w:t>
      </w:r>
      <w:r>
        <w:rPr>
          <w:rtl w:val="true"/>
        </w:rPr>
        <w:t>נטען כי במהלך נסיעה ברכב</w:t>
      </w:r>
      <w:r>
        <w:rPr>
          <w:rtl w:val="true"/>
        </w:rPr>
        <w:t xml:space="preserve">, </w:t>
      </w:r>
      <w:r>
        <w:rPr>
          <w:rtl w:val="true"/>
        </w:rPr>
        <w:t>בזמן שישבה ד</w:t>
      </w:r>
      <w:r>
        <w:rPr>
          <w:rtl w:val="true"/>
        </w:rPr>
        <w:t xml:space="preserve">' </w:t>
      </w:r>
      <w:r>
        <w:rPr>
          <w:rtl w:val="true"/>
        </w:rPr>
        <w:t>לצד המערער</w:t>
      </w:r>
      <w:r>
        <w:rPr>
          <w:rtl w:val="true"/>
        </w:rPr>
        <w:t xml:space="preserve">, </w:t>
      </w:r>
      <w:r>
        <w:rPr>
          <w:rtl w:val="true"/>
        </w:rPr>
        <w:t>הניח את כף ידו על ירכיה</w:t>
      </w:r>
      <w:r>
        <w:rPr>
          <w:rtl w:val="true"/>
        </w:rPr>
        <w:t xml:space="preserve">, </w:t>
      </w:r>
      <w:r>
        <w:rPr>
          <w:rtl w:val="true"/>
        </w:rPr>
        <w:t>וליטף את הירך בחלק הפנימי</w:t>
      </w:r>
      <w:r>
        <w:rPr>
          <w:rtl w:val="true"/>
        </w:rPr>
        <w:t xml:space="preserve">, </w:t>
      </w:r>
      <w:r>
        <w:rPr>
          <w:rtl w:val="true"/>
        </w:rPr>
        <w:t>קרוב לאיבר מינה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באחד מביקוריה של ד</w:t>
      </w:r>
      <w:r>
        <w:rPr>
          <w:rtl w:val="true"/>
        </w:rPr>
        <w:t xml:space="preserve">' </w:t>
      </w:r>
      <w:r>
        <w:rPr>
          <w:rtl w:val="true"/>
        </w:rPr>
        <w:t>בבית המערער</w:t>
      </w:r>
      <w:r>
        <w:rPr>
          <w:rtl w:val="true"/>
        </w:rPr>
        <w:t xml:space="preserve">, </w:t>
      </w:r>
      <w:r>
        <w:rPr>
          <w:rtl w:val="true"/>
        </w:rPr>
        <w:t>אחז בכוח בפניה ונישק אותה בניגוד לרצונה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קבוצת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האישום החמישי</w:t>
      </w:r>
      <w:r>
        <w:rPr>
          <w:rtl w:val="true"/>
        </w:rPr>
        <w:t xml:space="preserve">, </w:t>
      </w:r>
      <w:r>
        <w:rPr>
          <w:rtl w:val="true"/>
        </w:rPr>
        <w:t>עוסק במעשיו של המערער כלפי הנערה ה</w:t>
      </w:r>
      <w:r>
        <w:rPr>
          <w:rtl w:val="true"/>
        </w:rPr>
        <w:t xml:space="preserve">', </w:t>
      </w:r>
      <w:r>
        <w:rPr>
          <w:rtl w:val="true"/>
        </w:rPr>
        <w:t>בתה של שר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 xml:space="preserve">אשר הייתה בת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בעת הרלוונטית</w:t>
      </w:r>
      <w:r>
        <w:rPr>
          <w:rtl w:val="true"/>
        </w:rPr>
        <w:t xml:space="preserve">. </w:t>
      </w:r>
      <w:r>
        <w:rPr>
          <w:rtl w:val="true"/>
        </w:rPr>
        <w:t>נטען כי באחד מביקוריה של ה</w:t>
      </w:r>
      <w:r>
        <w:rPr>
          <w:rtl w:val="true"/>
        </w:rPr>
        <w:t xml:space="preserve">' </w:t>
      </w:r>
      <w:r>
        <w:rPr>
          <w:rtl w:val="true"/>
        </w:rPr>
        <w:t>בבית המערער</w:t>
      </w:r>
      <w:r>
        <w:rPr>
          <w:rtl w:val="true"/>
        </w:rPr>
        <w:t xml:space="preserve">, </w:t>
      </w:r>
      <w:r>
        <w:rPr>
          <w:rtl w:val="true"/>
        </w:rPr>
        <w:t>ביקש ממנה המערער לעסותו בסלון ביתו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היססה והסתייגה ולבסוף הסכימה</w:t>
      </w:r>
      <w:r>
        <w:rPr>
          <w:rtl w:val="true"/>
        </w:rPr>
        <w:t xml:space="preserve">. </w:t>
      </w:r>
      <w:r>
        <w:rPr>
          <w:rtl w:val="true"/>
        </w:rPr>
        <w:t>לאחר זמן קצר פסקה מעיסוי המערער</w:t>
      </w:r>
      <w:r>
        <w:rPr>
          <w:rtl w:val="true"/>
        </w:rPr>
        <w:t xml:space="preserve">, </w:t>
      </w:r>
      <w:r>
        <w:rPr>
          <w:rtl w:val="true"/>
        </w:rPr>
        <w:t>וזה ביקש ממנה לסור לחדר השינה על מנת לקפל עבורו חולצות</w:t>
      </w:r>
      <w:r>
        <w:rPr>
          <w:rtl w:val="true"/>
        </w:rPr>
        <w:t xml:space="preserve">. </w:t>
      </w:r>
      <w:r>
        <w:rPr>
          <w:rtl w:val="true"/>
        </w:rPr>
        <w:t>בחדר השינה</w:t>
      </w:r>
      <w:r>
        <w:rPr>
          <w:rtl w:val="true"/>
        </w:rPr>
        <w:t xml:space="preserve">, </w:t>
      </w:r>
      <w:r>
        <w:rPr>
          <w:rtl w:val="true"/>
        </w:rPr>
        <w:t>הוריד המערער את חולצתו</w:t>
      </w:r>
      <w:r>
        <w:rPr>
          <w:rtl w:val="true"/>
        </w:rPr>
        <w:t xml:space="preserve">, </w:t>
      </w:r>
      <w:r>
        <w:rPr>
          <w:rtl w:val="true"/>
        </w:rPr>
        <w:t>וביקש שנית שתעסה אותו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סירבה והמערער משך אותה</w:t>
      </w:r>
      <w:r>
        <w:rPr>
          <w:rtl w:val="true"/>
        </w:rPr>
        <w:t xml:space="preserve">, </w:t>
      </w:r>
      <w:r>
        <w:rPr>
          <w:rtl w:val="true"/>
        </w:rPr>
        <w:t>הושיבה על המיטה ועיסה את כתפיה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ביקשה שיפסיק</w:t>
      </w:r>
      <w:r>
        <w:rPr>
          <w:rtl w:val="true"/>
        </w:rPr>
        <w:t xml:space="preserve">, </w:t>
      </w:r>
      <w:r>
        <w:rPr>
          <w:rtl w:val="true"/>
        </w:rPr>
        <w:t>והמערער ניסה להשכיבה על המיטה כשהוא אוחז בידו בין צווארה לבית החזה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התנגדה ויצאה מהחדר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נטען כי בחודש דצמבר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בשתי הזדמנויות שונות</w:t>
      </w:r>
      <w:r>
        <w:rPr>
          <w:rtl w:val="true"/>
        </w:rPr>
        <w:t xml:space="preserve">, </w:t>
      </w:r>
      <w:r>
        <w:rPr>
          <w:rtl w:val="true"/>
        </w:rPr>
        <w:t>הסיע המערער את ה</w:t>
      </w:r>
      <w:r>
        <w:rPr>
          <w:rtl w:val="true"/>
        </w:rPr>
        <w:t xml:space="preserve">' </w:t>
      </w:r>
      <w:r>
        <w:rPr>
          <w:rtl w:val="true"/>
        </w:rPr>
        <w:t>מביתה לבית ספרה</w:t>
      </w:r>
      <w:r>
        <w:rPr>
          <w:rtl w:val="true"/>
        </w:rPr>
        <w:t xml:space="preserve">. </w:t>
      </w:r>
      <w:r>
        <w:rPr>
          <w:rtl w:val="true"/>
        </w:rPr>
        <w:t>במהלך הנסיעות ליטף המערער את רגלה מעל בגדיה וניסה להגיע לאזור 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23.12.2014</w:t>
      </w:r>
      <w:r>
        <w:rPr>
          <w:rtl w:val="true"/>
        </w:rPr>
        <w:t xml:space="preserve"> </w:t>
      </w:r>
      <w:r>
        <w:rPr>
          <w:rtl w:val="true"/>
        </w:rPr>
        <w:t>נסעה ה</w:t>
      </w:r>
      <w:r>
        <w:rPr>
          <w:rtl w:val="true"/>
        </w:rPr>
        <w:t xml:space="preserve">' </w:t>
      </w:r>
      <w:r>
        <w:rPr>
          <w:rtl w:val="true"/>
        </w:rPr>
        <w:t>עם המערער לקנות ממתקים לחג החנוכה</w:t>
      </w:r>
      <w:r>
        <w:rPr>
          <w:rtl w:val="true"/>
        </w:rPr>
        <w:t xml:space="preserve">. </w:t>
      </w:r>
      <w:r>
        <w:rPr>
          <w:rtl w:val="true"/>
        </w:rPr>
        <w:t>המערער לקח את ה</w:t>
      </w:r>
      <w:r>
        <w:rPr>
          <w:rtl w:val="true"/>
        </w:rPr>
        <w:t xml:space="preserve">' </w:t>
      </w:r>
      <w:r>
        <w:rPr>
          <w:rtl w:val="true"/>
        </w:rPr>
        <w:t>לדירתו</w:t>
      </w:r>
      <w:r>
        <w:rPr>
          <w:rtl w:val="true"/>
        </w:rPr>
        <w:t xml:space="preserve">, </w:t>
      </w:r>
      <w:r>
        <w:rPr>
          <w:rtl w:val="true"/>
        </w:rPr>
        <w:t>והשניים ישבו על הספה</w:t>
      </w:r>
      <w:r>
        <w:rPr>
          <w:rtl w:val="true"/>
        </w:rPr>
        <w:t xml:space="preserve">. </w:t>
      </w:r>
      <w:r>
        <w:rPr>
          <w:rtl w:val="true"/>
        </w:rPr>
        <w:t>המערער הושיט ידו אל עבר הז</w:t>
      </w:r>
      <w:r>
        <w:rPr>
          <w:rtl w:val="true"/>
        </w:rPr>
        <w:t>'</w:t>
      </w:r>
      <w:r>
        <w:rPr>
          <w:rtl w:val="true"/>
        </w:rPr>
        <w:t>קט שלבשה ה</w:t>
      </w:r>
      <w:r>
        <w:rPr>
          <w:rtl w:val="true"/>
        </w:rPr>
        <w:t xml:space="preserve">', </w:t>
      </w:r>
      <w:r>
        <w:rPr>
          <w:rtl w:val="true"/>
        </w:rPr>
        <w:t>ניסה לפתוח את הרוכסן</w:t>
      </w:r>
      <w:r>
        <w:rPr>
          <w:rtl w:val="true"/>
        </w:rPr>
        <w:t xml:space="preserve">, </w:t>
      </w:r>
      <w:r>
        <w:rPr>
          <w:rtl w:val="true"/>
        </w:rPr>
        <w:t>אך ה</w:t>
      </w:r>
      <w:r>
        <w:rPr>
          <w:rtl w:val="true"/>
        </w:rPr>
        <w:t xml:space="preserve">' </w:t>
      </w:r>
      <w:r>
        <w:rPr>
          <w:rtl w:val="true"/>
        </w:rPr>
        <w:t>הדפה אותו</w:t>
      </w:r>
      <w:r>
        <w:rPr>
          <w:rtl w:val="true"/>
        </w:rPr>
        <w:t xml:space="preserve">. </w:t>
      </w:r>
      <w:r>
        <w:rPr>
          <w:rtl w:val="true"/>
        </w:rPr>
        <w:t>כאשר שאל המערער מדוע היא מתנגדת</w:t>
      </w:r>
      <w:r>
        <w:rPr>
          <w:rtl w:val="true"/>
        </w:rPr>
        <w:t xml:space="preserve">, </w:t>
      </w:r>
      <w:r>
        <w:rPr>
          <w:rtl w:val="true"/>
        </w:rPr>
        <w:t>השיבה כי קר לה</w:t>
      </w:r>
      <w:r>
        <w:rPr>
          <w:rtl w:val="true"/>
        </w:rPr>
        <w:t xml:space="preserve">. </w:t>
      </w:r>
      <w:r>
        <w:rPr>
          <w:rtl w:val="true"/>
        </w:rPr>
        <w:t>המערער הבטיח כי יחמם אותה</w:t>
      </w:r>
      <w:r>
        <w:rPr>
          <w:rtl w:val="true"/>
        </w:rPr>
        <w:t xml:space="preserve">, </w:t>
      </w:r>
      <w:r>
        <w:rPr>
          <w:rtl w:val="true"/>
        </w:rPr>
        <w:t>משך אותה אליו</w:t>
      </w:r>
      <w:r>
        <w:rPr>
          <w:rtl w:val="true"/>
        </w:rPr>
        <w:t xml:space="preserve">, </w:t>
      </w:r>
      <w:r>
        <w:rPr>
          <w:rtl w:val="true"/>
        </w:rPr>
        <w:t>חיבק אותה והניח את ידו על חזה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 xml:space="preserve">הזיזה את המערער ממנה ואמרה לו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השיב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תפנקי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tl w:val="true"/>
        </w:rPr>
        <w:t xml:space="preserve"> </w:t>
      </w:r>
      <w:r>
        <w:rPr>
          <w:rtl w:val="true"/>
        </w:rPr>
        <w:t>בתגובה ביקשה ה</w:t>
      </w:r>
      <w:r>
        <w:rPr>
          <w:rtl w:val="true"/>
        </w:rPr>
        <w:t xml:space="preserve">' </w:t>
      </w:r>
      <w:r>
        <w:rPr>
          <w:rtl w:val="true"/>
        </w:rPr>
        <w:t>לחזור לביתה</w:t>
      </w:r>
      <w:r>
        <w:rPr>
          <w:rtl w:val="true"/>
        </w:rPr>
        <w:t xml:space="preserve">. </w:t>
      </w:r>
      <w:r>
        <w:rPr>
          <w:rtl w:val="true"/>
        </w:rPr>
        <w:t>המערער תפס אותה במותניה</w:t>
      </w:r>
      <w:r>
        <w:rPr>
          <w:rtl w:val="true"/>
        </w:rPr>
        <w:t xml:space="preserve">, </w:t>
      </w:r>
      <w:r>
        <w:rPr>
          <w:rtl w:val="true"/>
        </w:rPr>
        <w:t>הצמידה בכוח לגופו וניסה לנשקה</w:t>
      </w:r>
      <w:r>
        <w:rPr>
          <w:rtl w:val="true"/>
        </w:rPr>
        <w:t xml:space="preserve">, </w:t>
      </w:r>
      <w:r>
        <w:rPr>
          <w:rtl w:val="true"/>
        </w:rPr>
        <w:t>אך ה</w:t>
      </w:r>
      <w:r>
        <w:rPr>
          <w:rtl w:val="true"/>
        </w:rPr>
        <w:t xml:space="preserve">' </w:t>
      </w:r>
      <w:r>
        <w:rPr>
          <w:rtl w:val="true"/>
        </w:rPr>
        <w:t>הדפה אותו</w:t>
      </w:r>
      <w:r>
        <w:rPr>
          <w:rtl w:val="true"/>
        </w:rPr>
        <w:t xml:space="preserve">. </w:t>
      </w:r>
      <w:r>
        <w:rPr>
          <w:rtl w:val="true"/>
        </w:rPr>
        <w:t>עוד נטען כי אמר לנערה ה</w:t>
      </w:r>
      <w:r>
        <w:rPr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הסיע את ה</w:t>
      </w:r>
      <w:r>
        <w:rPr>
          <w:rtl w:val="true"/>
        </w:rPr>
        <w:t xml:space="preserve">' </w:t>
      </w:r>
      <w:r>
        <w:rPr>
          <w:rtl w:val="true"/>
        </w:rPr>
        <w:t xml:space="preserve">לביתה והציע לה תשלום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תמורת קיום יחסי מין עמו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סירבה והמערער ניסה לנשקה בכוח</w:t>
      </w:r>
      <w:r>
        <w:rPr>
          <w:rtl w:val="true"/>
        </w:rPr>
        <w:t xml:space="preserve">, </w:t>
      </w:r>
      <w:r>
        <w:rPr>
          <w:rtl w:val="true"/>
        </w:rPr>
        <w:t>תוך שהיא מתנגדת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האישום השישי עוסק במעשיו של המערער כלפי שתי מתלוננות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בתה של שר</w:t>
      </w:r>
      <w:r>
        <w:rPr>
          <w:rtl w:val="true"/>
        </w:rPr>
        <w:t xml:space="preserve">', </w:t>
      </w:r>
      <w:r>
        <w:rPr>
          <w:rtl w:val="true"/>
        </w:rPr>
        <w:t>אחותה הקטנה של ה</w:t>
      </w:r>
      <w:r>
        <w:rPr>
          <w:rtl w:val="true"/>
        </w:rPr>
        <w:t xml:space="preserve">', </w:t>
      </w:r>
      <w:r>
        <w:rPr>
          <w:rtl w:val="true"/>
        </w:rPr>
        <w:t>והנערה אל</w:t>
      </w:r>
      <w:r>
        <w:rPr>
          <w:rtl w:val="true"/>
        </w:rPr>
        <w:t xml:space="preserve">', </w:t>
      </w:r>
      <w:r>
        <w:rPr>
          <w:rtl w:val="true"/>
        </w:rPr>
        <w:t>חברתן</w:t>
      </w:r>
      <w:r>
        <w:rPr>
          <w:rtl w:val="true"/>
        </w:rPr>
        <w:t xml:space="preserve">. </w:t>
      </w:r>
      <w:r>
        <w:rPr>
          <w:rtl w:val="true"/>
        </w:rPr>
        <w:t>העבירות כלפי א</w:t>
      </w:r>
      <w:r>
        <w:rPr>
          <w:rtl w:val="true"/>
        </w:rPr>
        <w:t xml:space="preserve">' </w:t>
      </w:r>
      <w:r>
        <w:rPr>
          <w:rtl w:val="true"/>
        </w:rPr>
        <w:t>היו החמורות ביותר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אל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חברתה הקטינה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ובאותה תקופה התגוררה בבית משפחתה של שר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לאחר שברחה מביתה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התלוותה לחברתה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לביקור בבית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יוער כי בעת המעשים שיתוארו להלן שתי המתלוננות היו בנות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חודש ינואר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במספר הזדמנויות</w:t>
      </w:r>
      <w:r>
        <w:rPr>
          <w:rtl w:val="true"/>
        </w:rPr>
        <w:t xml:space="preserve">, </w:t>
      </w:r>
      <w:r>
        <w:rPr>
          <w:rtl w:val="true"/>
        </w:rPr>
        <w:t>הסיע המערער את א</w:t>
      </w:r>
      <w:r>
        <w:rPr>
          <w:rtl w:val="true"/>
        </w:rPr>
        <w:t xml:space="preserve">' </w:t>
      </w:r>
      <w:r>
        <w:rPr>
          <w:rtl w:val="true"/>
        </w:rPr>
        <w:t>וחברתה אל</w:t>
      </w:r>
      <w:r>
        <w:rPr>
          <w:rtl w:val="true"/>
        </w:rPr>
        <w:t xml:space="preserve">'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כשהנערה א</w:t>
      </w:r>
      <w:r>
        <w:rPr>
          <w:rtl w:val="true"/>
        </w:rPr>
        <w:t xml:space="preserve">' </w:t>
      </w:r>
      <w:r>
        <w:rPr>
          <w:rtl w:val="true"/>
        </w:rPr>
        <w:t>ישבה במושב שלידו</w:t>
      </w:r>
      <w:r>
        <w:rPr>
          <w:rtl w:val="true"/>
        </w:rPr>
        <w:t xml:space="preserve">. </w:t>
      </w:r>
      <w:r>
        <w:rPr>
          <w:rtl w:val="true"/>
        </w:rPr>
        <w:t>המערער שלח ידו וליטף את רגלה של א</w:t>
      </w:r>
      <w:r>
        <w:rPr>
          <w:rtl w:val="true"/>
        </w:rPr>
        <w:t xml:space="preserve">' </w:t>
      </w:r>
      <w:r>
        <w:rPr>
          <w:rtl w:val="true"/>
        </w:rPr>
        <w:t>מעל מכנסיה באזור פנים הירכיים והישבן</w:t>
      </w:r>
      <w:r>
        <w:rPr>
          <w:rtl w:val="true"/>
        </w:rPr>
        <w:t xml:space="preserve">, </w:t>
      </w:r>
      <w:r>
        <w:rPr>
          <w:rtl w:val="true"/>
        </w:rPr>
        <w:t>ואף הכניס ידו למכנסיה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עוד נטען כי באותו חודש במספר הזדמנויות</w:t>
      </w:r>
      <w:r>
        <w:rPr>
          <w:rtl w:val="true"/>
        </w:rPr>
        <w:t xml:space="preserve">, </w:t>
      </w:r>
      <w:r>
        <w:rPr>
          <w:rtl w:val="true"/>
        </w:rPr>
        <w:t>ביקש מהנערה אל</w:t>
      </w:r>
      <w:r>
        <w:rPr>
          <w:rtl w:val="true"/>
        </w:rPr>
        <w:t xml:space="preserve">' </w:t>
      </w:r>
      <w:r>
        <w:rPr>
          <w:rtl w:val="true"/>
        </w:rPr>
        <w:t>לנשקו</w:t>
      </w:r>
      <w:r>
        <w:rPr>
          <w:rtl w:val="true"/>
        </w:rPr>
        <w:t xml:space="preserve">. </w:t>
      </w:r>
      <w:r>
        <w:rPr>
          <w:rtl w:val="true"/>
        </w:rPr>
        <w:t xml:space="preserve">כשזו סירבה </w:t>
      </w:r>
      <w:r>
        <w:rPr>
          <w:rtl w:val="true"/>
        </w:rPr>
        <w:t>–</w:t>
      </w:r>
      <w:r>
        <w:rPr>
          <w:rtl w:val="true"/>
        </w:rPr>
        <w:t xml:space="preserve"> נישקה בכוח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4.2.2015</w:t>
      </w:r>
      <w:r>
        <w:rPr>
          <w:rtl w:val="true"/>
        </w:rPr>
        <w:t xml:space="preserve"> </w:t>
      </w:r>
      <w:r>
        <w:rPr>
          <w:rtl w:val="true"/>
        </w:rPr>
        <w:t>בשעות הצהריים הגיעו הנערות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' </w:t>
      </w:r>
      <w:r>
        <w:rPr>
          <w:rtl w:val="true"/>
        </w:rPr>
        <w:t>לבית המערער וישבו בסלון דירתו במשך מספר שעות</w:t>
      </w:r>
      <w:r>
        <w:rPr>
          <w:rtl w:val="true"/>
        </w:rPr>
        <w:t xml:space="preserve">. </w:t>
      </w:r>
      <w:r>
        <w:rPr>
          <w:rtl w:val="true"/>
        </w:rPr>
        <w:t>בשלב כלשהו יצאה א</w:t>
      </w:r>
      <w:r>
        <w:rPr>
          <w:rtl w:val="true"/>
        </w:rPr>
        <w:t xml:space="preserve">' </w:t>
      </w:r>
      <w:r>
        <w:rPr>
          <w:rtl w:val="true"/>
        </w:rPr>
        <w:t>מהדירה לשוחח בטלפון והנערה אל</w:t>
      </w:r>
      <w:r>
        <w:rPr>
          <w:rtl w:val="true"/>
        </w:rPr>
        <w:t xml:space="preserve">' </w:t>
      </w:r>
      <w:r>
        <w:rPr>
          <w:rtl w:val="true"/>
        </w:rPr>
        <w:t>נותרה לבדה עם המערער</w:t>
      </w:r>
      <w:r>
        <w:rPr>
          <w:rtl w:val="true"/>
        </w:rPr>
        <w:t xml:space="preserve">, </w:t>
      </w:r>
      <w:r>
        <w:rPr>
          <w:rtl w:val="true"/>
        </w:rPr>
        <w:t>שקרא לה להצטרף אליו לחדר השינה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המערער ניגש אליה</w:t>
      </w:r>
      <w:r>
        <w:rPr>
          <w:rtl w:val="true"/>
        </w:rPr>
        <w:t xml:space="preserve">, </w:t>
      </w:r>
      <w:r>
        <w:rPr>
          <w:rtl w:val="true"/>
        </w:rPr>
        <w:t>אחז בידיה ומשך אותה לחדר השינה</w:t>
      </w:r>
      <w:r>
        <w:rPr>
          <w:rtl w:val="true"/>
        </w:rPr>
        <w:t xml:space="preserve">, </w:t>
      </w:r>
      <w:r>
        <w:rPr>
          <w:rtl w:val="true"/>
        </w:rPr>
        <w:t>שם התיישבה על המיטה והמערער נשכב מעליה</w:t>
      </w:r>
      <w:r>
        <w:rPr>
          <w:rtl w:val="true"/>
        </w:rPr>
        <w:t xml:space="preserve">. </w:t>
      </w:r>
      <w:r>
        <w:rPr>
          <w:rtl w:val="true"/>
        </w:rPr>
        <w:t>אז החל המערער לנשקה מספר פעמים</w:t>
      </w:r>
      <w:r>
        <w:rPr>
          <w:rtl w:val="true"/>
        </w:rPr>
        <w:t xml:space="preserve">, </w:t>
      </w:r>
      <w:r>
        <w:rPr>
          <w:rtl w:val="true"/>
        </w:rPr>
        <w:t>אך אל</w:t>
      </w:r>
      <w:r>
        <w:rPr>
          <w:rtl w:val="true"/>
        </w:rPr>
        <w:t xml:space="preserve">'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הצליחה להשתחרר מאחיזתו ויצאה מהחדר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בהמשך אותו היום</w:t>
      </w:r>
      <w:r>
        <w:rPr>
          <w:rtl w:val="true"/>
        </w:rPr>
        <w:t xml:space="preserve">, </w:t>
      </w:r>
      <w:r>
        <w:rPr>
          <w:rtl w:val="true"/>
        </w:rPr>
        <w:t>לאחר שא</w:t>
      </w:r>
      <w:r>
        <w:rPr>
          <w:rtl w:val="true"/>
        </w:rPr>
        <w:t xml:space="preserve">' </w:t>
      </w:r>
      <w:r>
        <w:rPr>
          <w:rtl w:val="true"/>
        </w:rPr>
        <w:t xml:space="preserve">שבה לדירה בסביבות השעה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קרא לה המערער לסור לחדר השינה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נכנסה לחדר והתיישבה על המיטה</w:t>
      </w:r>
      <w:r>
        <w:rPr>
          <w:rtl w:val="true"/>
        </w:rPr>
        <w:t xml:space="preserve">, </w:t>
      </w:r>
      <w:r>
        <w:rPr>
          <w:rtl w:val="true"/>
        </w:rPr>
        <w:t>כשהמערער התיישב לצדה</w:t>
      </w:r>
      <w:r>
        <w:rPr>
          <w:rtl w:val="true"/>
        </w:rPr>
        <w:t xml:space="preserve">. </w:t>
      </w:r>
      <w:r>
        <w:rPr>
          <w:rtl w:val="true"/>
        </w:rPr>
        <w:t>המערער אמר לנערה א</w:t>
      </w:r>
      <w:r>
        <w:rPr>
          <w:rtl w:val="true"/>
        </w:rPr>
        <w:t xml:space="preserve">'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יפה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שפתיים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 זו ביקשה שיחדל מכיוון שהיא רואה בו דמות אב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המערער השכיבה על המיטה ונשכב מעליה ומנע ממנה לזוז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נישק אותה בפיה תוך שהיא מתנגדת ומבקשת שיחדל ממעשיו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 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הפשיט מכנסיה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הכניס ידו לתחתוניה והחדיר אצבעותיו לאיבר מינה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חרף התנגדותה ועל אף שנגרמו לה כאבים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החדיר את איבר מינו לאיבר מינה עד שהגיע לפורקן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 זאת תוך שהנערה א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מתנגדת ומבקשת שיחדל ממעשיו</w:t>
      </w:r>
      <w:r>
        <w:rPr>
          <w:sz w:val="22"/>
          <w:rtl w:val="true"/>
        </w:rPr>
        <w:t>.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8.2.2015</w:t>
      </w:r>
      <w:r>
        <w:rPr>
          <w:rtl w:val="true"/>
        </w:rPr>
        <w:t xml:space="preserve">, </w:t>
      </w:r>
      <w:r>
        <w:rPr>
          <w:rtl w:val="true"/>
        </w:rPr>
        <w:t>נטען כי המערער אסף ברכבו את הנערות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'. </w:t>
      </w:r>
      <w:r>
        <w:rPr>
          <w:rtl w:val="true"/>
        </w:rPr>
        <w:t>כאשר הגיעו למחוז חפצם</w:t>
      </w:r>
      <w:r>
        <w:rPr>
          <w:rtl w:val="true"/>
        </w:rPr>
        <w:t xml:space="preserve">, </w:t>
      </w:r>
      <w:r>
        <w:rPr>
          <w:rtl w:val="true"/>
        </w:rPr>
        <w:t>טען המערער כי שכח את המפתחות ברכבו וביקש מהנערה א</w:t>
      </w:r>
      <w:r>
        <w:rPr>
          <w:rtl w:val="true"/>
        </w:rPr>
        <w:t xml:space="preserve">' </w:t>
      </w:r>
      <w:r>
        <w:rPr>
          <w:rtl w:val="true"/>
        </w:rPr>
        <w:t>להביאם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הכה אותה באגרופו בכתפה</w:t>
      </w:r>
      <w:r>
        <w:rPr>
          <w:rtl w:val="true"/>
        </w:rPr>
        <w:t xml:space="preserve">, </w:t>
      </w:r>
      <w:r>
        <w:rPr>
          <w:rtl w:val="true"/>
        </w:rPr>
        <w:t>ודחף אותה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ניהל הוכחות בבית המשפט קמא</w:t>
      </w:r>
      <w:r>
        <w:rPr>
          <w:rtl w:val="true"/>
        </w:rPr>
        <w:t xml:space="preserve">, </w:t>
      </w:r>
      <w:r>
        <w:rPr>
          <w:rtl w:val="true"/>
        </w:rPr>
        <w:t>אשר כלל את העדת המתלוננות</w:t>
      </w:r>
      <w:r>
        <w:rPr>
          <w:rtl w:val="true"/>
        </w:rPr>
        <w:t xml:space="preserve">, </w:t>
      </w:r>
      <w:r>
        <w:rPr>
          <w:rtl w:val="true"/>
        </w:rPr>
        <w:t>בני משפחותיהן</w:t>
      </w:r>
      <w:r>
        <w:rPr>
          <w:rtl w:val="true"/>
        </w:rPr>
        <w:t xml:space="preserve">, </w:t>
      </w:r>
      <w:r>
        <w:rPr>
          <w:rtl w:val="true"/>
        </w:rPr>
        <w:t>מכרים וחברים</w:t>
      </w:r>
      <w:r>
        <w:rPr>
          <w:rtl w:val="true"/>
        </w:rPr>
        <w:t xml:space="preserve">, </w:t>
      </w:r>
      <w:r>
        <w:rPr>
          <w:rtl w:val="true"/>
        </w:rPr>
        <w:t>וכן את עדות 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ניתנו עדויות רפואיות בנוגע למצבה של א</w:t>
      </w:r>
      <w:r>
        <w:rPr>
          <w:rtl w:val="true"/>
        </w:rPr>
        <w:t xml:space="preserve">', </w:t>
      </w:r>
      <w:r>
        <w:rPr>
          <w:rtl w:val="true"/>
        </w:rPr>
        <w:t>אשר נטען כי נאנסה על ידי המערער</w:t>
      </w:r>
      <w:r>
        <w:rPr>
          <w:rtl w:val="true"/>
        </w:rPr>
        <w:t xml:space="preserve">. </w:t>
      </w:r>
      <w:r>
        <w:rPr>
          <w:rtl w:val="true"/>
        </w:rPr>
        <w:t>בית המשפט קמא מצא כי עדויותיהן של המתלוננות מהימנות</w:t>
      </w:r>
      <w:r>
        <w:rPr>
          <w:rtl w:val="true"/>
        </w:rPr>
        <w:t xml:space="preserve">, </w:t>
      </w:r>
      <w:r>
        <w:rPr>
          <w:rtl w:val="true"/>
        </w:rPr>
        <w:t>ודחה את גרסתו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בעת מתן עדותו</w:t>
      </w:r>
      <w:r>
        <w:rPr>
          <w:rtl w:val="true"/>
        </w:rPr>
        <w:t xml:space="preserve">, </w:t>
      </w:r>
      <w:r>
        <w:rPr>
          <w:rtl w:val="true"/>
        </w:rPr>
        <w:t>הודה המערער במפגשים עם הנערות ובחלק מהעובדות</w:t>
      </w:r>
      <w:r>
        <w:rPr>
          <w:rtl w:val="true"/>
        </w:rPr>
        <w:t xml:space="preserve">, </w:t>
      </w:r>
      <w:r>
        <w:rPr>
          <w:rtl w:val="true"/>
        </w:rPr>
        <w:t>אך הכחיש את ביצוע עבירות המין הנטענות</w:t>
      </w:r>
      <w:r>
        <w:rPr>
          <w:rtl w:val="true"/>
        </w:rPr>
        <w:t xml:space="preserve">. </w:t>
      </w:r>
      <w:r>
        <w:rPr>
          <w:rtl w:val="true"/>
        </w:rPr>
        <w:t>המערער טען כי היו מגעים בעלי אופי מיני בינו ובין ח</w:t>
      </w:r>
      <w:r>
        <w:rPr>
          <w:rtl w:val="true"/>
        </w:rPr>
        <w:t xml:space="preserve">' </w:t>
      </w:r>
      <w:r>
        <w:rPr>
          <w:rtl w:val="true"/>
        </w:rPr>
        <w:t>שכללו חיבוקים</w:t>
      </w:r>
      <w:r>
        <w:rPr>
          <w:rtl w:val="true"/>
        </w:rPr>
        <w:t xml:space="preserve">, </w:t>
      </w:r>
      <w:r>
        <w:rPr>
          <w:rtl w:val="true"/>
        </w:rPr>
        <w:t>נשיקות ונגיעות אך לא מעבר לכך</w:t>
      </w:r>
      <w:r>
        <w:rPr>
          <w:rtl w:val="true"/>
        </w:rPr>
        <w:t xml:space="preserve">, </w:t>
      </w:r>
      <w:r>
        <w:rPr>
          <w:rtl w:val="true"/>
        </w:rPr>
        <w:t>והדגיש כי המעשים נעשו בהסכמה</w:t>
      </w:r>
      <w:r>
        <w:rPr>
          <w:rtl w:val="true"/>
        </w:rPr>
        <w:t xml:space="preserve">, </w:t>
      </w:r>
      <w:r>
        <w:rPr>
          <w:rtl w:val="true"/>
        </w:rPr>
        <w:t>בעת שהנערה ח</w:t>
      </w:r>
      <w:r>
        <w:rPr>
          <w:rtl w:val="true"/>
        </w:rPr>
        <w:t xml:space="preserve">' </w:t>
      </w:r>
      <w:r>
        <w:rPr>
          <w:rtl w:val="true"/>
        </w:rPr>
        <w:t xml:space="preserve">הייתה מעל גיל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אישר המערער כי היו מגעים אשר כללו חיבוקים</w:t>
      </w:r>
      <w:r>
        <w:rPr>
          <w:rtl w:val="true"/>
        </w:rPr>
        <w:t xml:space="preserve">, </w:t>
      </w:r>
      <w:r>
        <w:rPr>
          <w:rtl w:val="true"/>
        </w:rPr>
        <w:t>נשיקות ונגיעות גם עם ש</w:t>
      </w:r>
      <w:r>
        <w:rPr>
          <w:rtl w:val="true"/>
        </w:rPr>
        <w:t xml:space="preserve">', </w:t>
      </w:r>
      <w:r>
        <w:rPr>
          <w:rtl w:val="true"/>
        </w:rPr>
        <w:t>אך הדגיש כי כל אלה נעשו בהסכמה מלאה</w:t>
      </w:r>
      <w:r>
        <w:rPr>
          <w:rtl w:val="true"/>
        </w:rPr>
        <w:t xml:space="preserve">. </w:t>
      </w:r>
      <w:r>
        <w:rPr>
          <w:rtl w:val="true"/>
        </w:rPr>
        <w:t>המערער הכחיש כל מגע מיני עם הנערות א</w:t>
      </w:r>
      <w:r>
        <w:rPr>
          <w:rtl w:val="true"/>
        </w:rPr>
        <w:t xml:space="preserve">', </w:t>
      </w:r>
      <w:r>
        <w:rPr>
          <w:rtl w:val="true"/>
        </w:rPr>
        <w:t>אל</w:t>
      </w:r>
      <w:r>
        <w:rPr>
          <w:rtl w:val="true"/>
        </w:rPr>
        <w:t xml:space="preserve">',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ציין כי ייתכן וטעה כשיצר קשרים עם נערות כה צעירות</w:t>
      </w:r>
      <w:r>
        <w:rPr>
          <w:rtl w:val="true"/>
        </w:rPr>
        <w:t xml:space="preserve">, </w:t>
      </w:r>
      <w:r>
        <w:rPr>
          <w:rtl w:val="true"/>
        </w:rPr>
        <w:t>אולם חזר על טענתו כי פרט לאותן נשיקות ונגיעות שנעשו בהסכמה עם הנערות ח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לא ביצע את המעשים שיוחסו לו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הכרעת דינו של המערער ניתנה ביום </w:t>
      </w:r>
      <w:r>
        <w:rPr/>
        <w:t>14.11.2016</w:t>
      </w:r>
      <w:r>
        <w:rPr>
          <w:rtl w:val="true"/>
        </w:rPr>
        <w:t xml:space="preserve">, </w:t>
      </w:r>
      <w:r>
        <w:rPr>
          <w:rtl w:val="true"/>
        </w:rPr>
        <w:t>ובמסגרתה הרשיע בית המשפט קמא את המערער פה אחד ברובן המוחלט של העבירות שיוחסו לו</w:t>
      </w:r>
      <w:r>
        <w:rPr>
          <w:rtl w:val="true"/>
        </w:rPr>
        <w:t xml:space="preserve">, </w:t>
      </w:r>
      <w:r>
        <w:rPr>
          <w:rtl w:val="true"/>
        </w:rPr>
        <w:t xml:space="preserve">וזיכה אותו ממקצתן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 בעבירה של מעשה מגונה תוך שימוש בכוח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הורשע במעשה מגונה תוך שימוש בכוח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); </w:t>
      </w:r>
      <w:r>
        <w:rPr>
          <w:rtl w:val="true"/>
        </w:rPr>
        <w:t xml:space="preserve">בהטרדה מינית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למניעת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הטרדה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בתקיפה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בתקיפת קטין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ובהיזק בזדון 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tl w:val="true"/>
        </w:rPr>
        <w:t xml:space="preserve">הורשע במעשה מגונה תוך שימוש בכוח 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ובמעשה מגונה לפי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מספר עבירות</w:t>
      </w:r>
      <w:r>
        <w:rPr>
          <w:rtl w:val="true"/>
        </w:rPr>
        <w:t xml:space="preserve">);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 xml:space="preserve">הורשע במעשה מגונה תוך שימוש בכוח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ובמעשה מגונה לפי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הורשע במעשה מגונה תוך שימוש בכוח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), </w:t>
      </w:r>
      <w:r>
        <w:rPr>
          <w:rtl w:val="true"/>
        </w:rPr>
        <w:t xml:space="preserve">ובמעשה מגונה לפי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שלוש עבירות</w:t>
      </w:r>
      <w:r>
        <w:rPr>
          <w:rtl w:val="true"/>
        </w:rPr>
        <w:t xml:space="preserve">);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הורשע באינוס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ביחד עם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במעשה מגונה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של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); </w:t>
      </w:r>
      <w:r>
        <w:rPr>
          <w:rtl w:val="true"/>
        </w:rPr>
        <w:t>בתקיפה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ובהטרדה מינית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למניעת הטרדה מינית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זיכה את המערער מעבירה של תקיפה סתם לפי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שהופיעה באישום השלישי</w:t>
      </w:r>
      <w:r>
        <w:rPr>
          <w:rtl w:val="true"/>
        </w:rPr>
        <w:t xml:space="preserve">; </w:t>
      </w:r>
      <w:r>
        <w:rPr>
          <w:rtl w:val="true"/>
        </w:rPr>
        <w:t xml:space="preserve">מעבירה של מעשה מגונה לפי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שהופיעה באישום הרביעי ומעבירה אחת של הטרדה מינית שהופיעה באישום השישי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מצא בית המשפט קמא כי שתי קבוצות הנערות עמן יצר המערער קשר</w:t>
      </w:r>
      <w:r>
        <w:rPr>
          <w:rtl w:val="true"/>
        </w:rPr>
        <w:t xml:space="preserve">, </w:t>
      </w:r>
      <w:r>
        <w:rPr>
          <w:rtl w:val="true"/>
        </w:rPr>
        <w:t>הן נפרדות ואינן קשורות זו לזו</w:t>
      </w:r>
      <w:r>
        <w:rPr>
          <w:rtl w:val="true"/>
        </w:rPr>
        <w:t xml:space="preserve">, </w:t>
      </w:r>
      <w:r>
        <w:rPr>
          <w:rtl w:val="true"/>
        </w:rPr>
        <w:t>וקבע כי אין שום ראיה לפיה נפגשו ותיאמו את עדויותיהן</w:t>
      </w:r>
      <w:r>
        <w:rPr>
          <w:rtl w:val="true"/>
        </w:rPr>
        <w:t xml:space="preserve">. </w:t>
      </w:r>
      <w:r>
        <w:rPr>
          <w:rtl w:val="true"/>
        </w:rPr>
        <w:t>בית המשפט קמא ציין כי המתלוננות ראו במערער כדוד</w:t>
      </w:r>
      <w:r>
        <w:rPr>
          <w:rtl w:val="true"/>
        </w:rPr>
        <w:t xml:space="preserve">, </w:t>
      </w:r>
      <w:r>
        <w:rPr>
          <w:rtl w:val="true"/>
        </w:rPr>
        <w:t xml:space="preserve">אולי אפילו כדמות אב </w:t>
      </w:r>
      <w:r>
        <w:rPr>
          <w:rtl w:val="true"/>
        </w:rPr>
        <w:t>–</w:t>
      </w:r>
      <w:r>
        <w:rPr>
          <w:rtl w:val="true"/>
        </w:rPr>
        <w:t xml:space="preserve"> הוא עזר להן</w:t>
      </w:r>
      <w:r>
        <w:rPr>
          <w:rtl w:val="true"/>
        </w:rPr>
        <w:t xml:space="preserve">, </w:t>
      </w:r>
      <w:r>
        <w:rPr>
          <w:rtl w:val="true"/>
        </w:rPr>
        <w:t>הסיע אותן</w:t>
      </w:r>
      <w:r>
        <w:rPr>
          <w:rtl w:val="true"/>
        </w:rPr>
        <w:t xml:space="preserve">, </w:t>
      </w:r>
      <w:r>
        <w:rPr>
          <w:rtl w:val="true"/>
        </w:rPr>
        <w:t>שימח אותן</w:t>
      </w:r>
      <w:r>
        <w:rPr>
          <w:rtl w:val="true"/>
        </w:rPr>
        <w:t xml:space="preserve">, </w:t>
      </w:r>
      <w:r>
        <w:rPr>
          <w:rtl w:val="true"/>
        </w:rPr>
        <w:t>בילה איתן ודאג להן</w:t>
      </w:r>
      <w:r>
        <w:rPr>
          <w:rtl w:val="true"/>
        </w:rPr>
        <w:t xml:space="preserve">. </w:t>
      </w:r>
      <w:r>
        <w:rPr>
          <w:rtl w:val="true"/>
        </w:rPr>
        <w:t xml:space="preserve">דפוס ההתנהגות המתואר חזר על עצמו עם כל המתלוננות </w:t>
      </w:r>
      <w:r>
        <w:rPr>
          <w:rtl w:val="true"/>
        </w:rPr>
        <w:t>–</w:t>
      </w:r>
      <w:r>
        <w:rPr>
          <w:rtl w:val="true"/>
        </w:rPr>
        <w:t xml:space="preserve"> המערער לא הסתפק בקשרי הידידות ובחיבתן של הנערות כלפיו</w:t>
      </w:r>
      <w:r>
        <w:rPr>
          <w:rtl w:val="true"/>
        </w:rPr>
        <w:t xml:space="preserve">, </w:t>
      </w:r>
      <w:r>
        <w:rPr>
          <w:rtl w:val="true"/>
        </w:rPr>
        <w:t>וביקש לנצל את מערכות היחסים שנוצרו עמן בכדי לספק את יצריו</w:t>
      </w:r>
      <w:r>
        <w:rPr>
          <w:rtl w:val="true"/>
        </w:rPr>
        <w:t xml:space="preserve">. </w:t>
      </w:r>
      <w:r>
        <w:rPr>
          <w:rtl w:val="true"/>
        </w:rPr>
        <w:t>המערער חזר שוב ושוב על מנהגו ללטף את רגליהן של הנערות במהלך הנסיעות ברכבו</w:t>
      </w:r>
      <w:r>
        <w:rPr>
          <w:rtl w:val="true"/>
        </w:rPr>
        <w:t xml:space="preserve">, </w:t>
      </w:r>
      <w:r>
        <w:rPr>
          <w:rtl w:val="true"/>
        </w:rPr>
        <w:t>על הבקשות כי ינשקו אותו</w:t>
      </w:r>
      <w:r>
        <w:rPr>
          <w:rtl w:val="true"/>
        </w:rPr>
        <w:t xml:space="preserve">, </w:t>
      </w:r>
      <w:r>
        <w:rPr>
          <w:rtl w:val="true"/>
        </w:rPr>
        <w:t>ואף ניצל הזדמנויות לנשקן בכוח</w:t>
      </w:r>
      <w:r>
        <w:rPr>
          <w:rtl w:val="true"/>
        </w:rPr>
        <w:t xml:space="preserve">. </w:t>
      </w:r>
      <w:r>
        <w:rPr>
          <w:rtl w:val="true"/>
        </w:rPr>
        <w:t>עוד זיהה בית המשפט קמא דפוס התנהגות דומה במעשי המערער בדירתו</w:t>
      </w:r>
      <w:r>
        <w:rPr>
          <w:rtl w:val="true"/>
        </w:rPr>
        <w:t xml:space="preserve">. </w:t>
      </w:r>
      <w:r>
        <w:rPr>
          <w:rtl w:val="true"/>
        </w:rPr>
        <w:t>בית המשפט קבע כי המערער היה מודע לגילן של הנערות</w:t>
      </w:r>
      <w:r>
        <w:rPr>
          <w:rtl w:val="true"/>
        </w:rPr>
        <w:t xml:space="preserve">, </w:t>
      </w:r>
      <w:r>
        <w:rPr>
          <w:rtl w:val="true"/>
        </w:rPr>
        <w:t>והודה בקשרים עמן</w:t>
      </w:r>
      <w:r>
        <w:rPr>
          <w:rtl w:val="true"/>
        </w:rPr>
        <w:t xml:space="preserve">. </w:t>
      </w:r>
      <w:r>
        <w:rPr>
          <w:rtl w:val="true"/>
        </w:rPr>
        <w:t>עוד ציין בית המשפט קמא</w:t>
      </w:r>
      <w:r>
        <w:rPr>
          <w:rtl w:val="true"/>
        </w:rPr>
        <w:t xml:space="preserve">, </w:t>
      </w:r>
      <w:r>
        <w:rPr>
          <w:rtl w:val="true"/>
        </w:rPr>
        <w:t>כי מרבית המתלוננות לא ששו להתלונן</w:t>
      </w:r>
      <w:r>
        <w:rPr>
          <w:rtl w:val="true"/>
        </w:rPr>
        <w:t xml:space="preserve">, </w:t>
      </w:r>
      <w:r>
        <w:rPr>
          <w:rtl w:val="true"/>
        </w:rPr>
        <w:t>בין מחמת בושה</w:t>
      </w:r>
      <w:r>
        <w:rPr>
          <w:rtl w:val="true"/>
        </w:rPr>
        <w:t xml:space="preserve">, </w:t>
      </w:r>
      <w:r>
        <w:rPr>
          <w:rtl w:val="true"/>
        </w:rPr>
        <w:t>בין מחמת אי הבנה</w:t>
      </w:r>
      <w:r>
        <w:rPr>
          <w:rtl w:val="true"/>
        </w:rPr>
        <w:t xml:space="preserve">, </w:t>
      </w:r>
      <w:r>
        <w:rPr>
          <w:rtl w:val="true"/>
        </w:rPr>
        <w:t>ובין מחמת רצון שלא לזעזע את סביבתן הקרובה</w:t>
      </w:r>
      <w:r>
        <w:rPr>
          <w:rtl w:val="true"/>
        </w:rPr>
        <w:t xml:space="preserve">. </w:t>
      </w:r>
      <w:r>
        <w:rPr>
          <w:rtl w:val="true"/>
        </w:rPr>
        <w:t xml:space="preserve">חלק גדול מהמתלוננות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') </w:t>
      </w:r>
      <w:r>
        <w:rPr>
          <w:rtl w:val="true"/>
        </w:rPr>
        <w:t>מסרו את גרסתן למשטרה רק לאחר שזומנו</w:t>
      </w:r>
      <w:r>
        <w:rPr>
          <w:rtl w:val="true"/>
        </w:rPr>
        <w:t xml:space="preserve">, </w:t>
      </w:r>
      <w:r>
        <w:rPr>
          <w:rtl w:val="true"/>
        </w:rPr>
        <w:t>ולא הגיעו להתלונן מיוזמתן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ניתן לשלול את החשש שמדובר בעלילה שטפלו המתלוננות יחדיו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בית המשפט קמא ציין כי בנסיבות המקרה קשה להניח שמספר כה רב של מתלוננות חברו יחדיו כדי לטפול עלילה על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14.3.2017</w:t>
      </w:r>
      <w:r>
        <w:rPr>
          <w:rtl w:val="true"/>
        </w:rPr>
        <w:t xml:space="preserve">, </w:t>
      </w:r>
      <w:r>
        <w:rPr>
          <w:rtl w:val="true"/>
        </w:rPr>
        <w:t>גזר בית המשפט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דינו התייחס בית המשפט קמא לתסקיר נפגעות העבירה</w:t>
      </w:r>
      <w:r>
        <w:rPr>
          <w:rtl w:val="true"/>
        </w:rPr>
        <w:t xml:space="preserve">, </w:t>
      </w:r>
      <w:r>
        <w:rPr>
          <w:rtl w:val="true"/>
        </w:rPr>
        <w:t>האחיות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'. </w:t>
      </w:r>
      <w:r>
        <w:rPr>
          <w:rtl w:val="true"/>
        </w:rPr>
        <w:t xml:space="preserve">תסקיר שירות המבחן מיום </w:t>
      </w:r>
      <w:r>
        <w:rPr/>
        <w:t>23.1.2017</w:t>
      </w:r>
      <w:r>
        <w:rPr>
          <w:rtl w:val="true"/>
        </w:rPr>
        <w:t xml:space="preserve"> </w:t>
      </w:r>
      <w:r>
        <w:rPr>
          <w:rtl w:val="true"/>
        </w:rPr>
        <w:t>סקר את מצבן המשפחתי של המתלוננות</w:t>
      </w:r>
      <w:r>
        <w:rPr>
          <w:rtl w:val="true"/>
        </w:rPr>
        <w:t xml:space="preserve">, </w:t>
      </w:r>
      <w:r>
        <w:rPr>
          <w:rtl w:val="true"/>
        </w:rPr>
        <w:t>וציין כי בעקבות חשיפת מעשי המערער וההליכים המשפטיים</w:t>
      </w:r>
      <w:r>
        <w:rPr>
          <w:rtl w:val="true"/>
        </w:rPr>
        <w:t xml:space="preserve">, </w:t>
      </w:r>
      <w:r>
        <w:rPr>
          <w:rtl w:val="true"/>
        </w:rPr>
        <w:t>התדרדר מצבה הרפואי של אמן</w:t>
      </w:r>
      <w:r>
        <w:rPr>
          <w:rtl w:val="true"/>
        </w:rPr>
        <w:t xml:space="preserve">, </w:t>
      </w:r>
      <w:r>
        <w:rPr>
          <w:rtl w:val="true"/>
        </w:rPr>
        <w:t>שר</w:t>
      </w:r>
      <w:r>
        <w:rPr>
          <w:rtl w:val="true"/>
        </w:rPr>
        <w:t xml:space="preserve">'. </w:t>
      </w:r>
      <w:r>
        <w:rPr>
          <w:rtl w:val="true"/>
        </w:rPr>
        <w:t>בנוגע למצבן של האחיות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שירות המבחן הגיע למסקנה כי הן נותרו פגועות נפשית בעקבות מעשי המערער</w:t>
      </w:r>
      <w:r>
        <w:rPr>
          <w:rtl w:val="true"/>
        </w:rPr>
        <w:t xml:space="preserve">. </w:t>
      </w:r>
      <w:r>
        <w:rPr>
          <w:rtl w:val="true"/>
        </w:rPr>
        <w:t>האחיות גדלו במשפחה מורכבת</w:t>
      </w:r>
      <w:r>
        <w:rPr>
          <w:rtl w:val="true"/>
        </w:rPr>
        <w:t xml:space="preserve">, </w:t>
      </w:r>
      <w:r>
        <w:rPr>
          <w:rtl w:val="true"/>
        </w:rPr>
        <w:t>הוריהן התגרשו וחסרה להן דמות אב שתשמש עבורן עוגן ותשרה עליהן תחושת ביטחון</w:t>
      </w:r>
      <w:r>
        <w:rPr>
          <w:rtl w:val="true"/>
        </w:rPr>
        <w:t xml:space="preserve">. </w:t>
      </w:r>
      <w:r>
        <w:rPr>
          <w:rtl w:val="true"/>
        </w:rPr>
        <w:t>המערער מילא חלל זה</w:t>
      </w:r>
      <w:r>
        <w:rPr>
          <w:rtl w:val="true"/>
        </w:rPr>
        <w:t xml:space="preserve">, </w:t>
      </w:r>
      <w:r>
        <w:rPr>
          <w:rtl w:val="true"/>
        </w:rPr>
        <w:t>סייע ועזר להן עד שלבסוף ניצל יחסים אלה ופגע בהן</w:t>
      </w:r>
      <w:r>
        <w:rPr>
          <w:rtl w:val="true"/>
        </w:rPr>
        <w:t xml:space="preserve">. </w:t>
      </w:r>
      <w:r>
        <w:rPr>
          <w:rtl w:val="true"/>
        </w:rPr>
        <w:t>עוד תואר כי המתלוננות חוות חשדנות כלפי עולם המבוגרים</w:t>
      </w:r>
      <w:r>
        <w:rPr>
          <w:rtl w:val="true"/>
        </w:rPr>
        <w:t xml:space="preserve">, </w:t>
      </w:r>
      <w:r>
        <w:rPr>
          <w:rtl w:val="true"/>
        </w:rPr>
        <w:t>וכי נוצרה פגיעה ביכולתן של השתיים ליצור קשרים ומערכות יחסים נורמטיביות עם בני המין השני</w:t>
      </w:r>
      <w:r>
        <w:rPr>
          <w:rtl w:val="true"/>
        </w:rPr>
        <w:t xml:space="preserve">. </w:t>
      </w:r>
      <w:r>
        <w:rPr>
          <w:rtl w:val="true"/>
        </w:rPr>
        <w:t>עוד מתוארת הסתגרות</w:t>
      </w:r>
      <w:r>
        <w:rPr>
          <w:rtl w:val="true"/>
        </w:rPr>
        <w:t xml:space="preserve">, </w:t>
      </w:r>
      <w:r>
        <w:rPr>
          <w:rtl w:val="true"/>
        </w:rPr>
        <w:t>פגיעה בלימודים</w:t>
      </w:r>
      <w:r>
        <w:rPr>
          <w:rtl w:val="true"/>
        </w:rPr>
        <w:t xml:space="preserve">, </w:t>
      </w:r>
      <w:r>
        <w:rPr>
          <w:rtl w:val="true"/>
        </w:rPr>
        <w:t>ביכולת הריכוז ושינויים בהתנהגות</w:t>
      </w:r>
      <w:r>
        <w:rPr>
          <w:rtl w:val="true"/>
        </w:rPr>
        <w:t xml:space="preserve">. </w:t>
      </w:r>
      <w:r>
        <w:rPr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ביקשה המשיבה לקבוע מתחמי ענישה מחמירים בעקבות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גילן הצעיר של המתלוננות וריבוי המעשים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 כי יש לפסוק פיצוי הולם למתלוננות</w:t>
      </w:r>
      <w:r>
        <w:rPr>
          <w:rtl w:val="true"/>
        </w:rPr>
        <w:t xml:space="preserve">. </w:t>
      </w:r>
      <w:r>
        <w:rPr>
          <w:rtl w:val="true"/>
        </w:rPr>
        <w:t>המערער טען כי אין מקום להחמיר עמו</w:t>
      </w:r>
      <w:r>
        <w:rPr>
          <w:rtl w:val="true"/>
        </w:rPr>
        <w:t xml:space="preserve">, </w:t>
      </w:r>
      <w:r>
        <w:rPr>
          <w:rtl w:val="true"/>
        </w:rPr>
        <w:t>וביקש להתחשב בכך שהמתלוננות שבו וחזרו לביתו</w:t>
      </w:r>
      <w:r>
        <w:rPr>
          <w:rtl w:val="true"/>
        </w:rPr>
        <w:t xml:space="preserve">, </w:t>
      </w:r>
      <w:r>
        <w:rPr>
          <w:rtl w:val="true"/>
        </w:rPr>
        <w:t>שמרו עמו על קשר</w:t>
      </w:r>
      <w:r>
        <w:rPr>
          <w:rtl w:val="true"/>
        </w:rPr>
        <w:t xml:space="preserve">, </w:t>
      </w:r>
      <w:r>
        <w:rPr>
          <w:rtl w:val="true"/>
        </w:rPr>
        <w:t>וכי לא כולן ייחסו למעשים חשיבות רבה</w:t>
      </w:r>
      <w:r>
        <w:rPr>
          <w:rtl w:val="true"/>
        </w:rPr>
        <w:t xml:space="preserve">, </w:t>
      </w:r>
      <w:r>
        <w:rPr>
          <w:rtl w:val="true"/>
        </w:rPr>
        <w:t xml:space="preserve">ולראיה </w:t>
      </w:r>
      <w:r>
        <w:rPr>
          <w:rtl w:val="true"/>
        </w:rPr>
        <w:t>–</w:t>
      </w:r>
      <w:r>
        <w:rPr>
          <w:rtl w:val="true"/>
        </w:rPr>
        <w:t xml:space="preserve"> לא כל המתלוננות פנו מיוזמתן למשטרה והתלוננו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 את טוב לבו ונכונותו לעזור לזולתו</w:t>
      </w:r>
      <w:r>
        <w:rPr>
          <w:rtl w:val="true"/>
        </w:rPr>
        <w:t xml:space="preserve">, </w:t>
      </w:r>
      <w:r>
        <w:rPr>
          <w:rtl w:val="true"/>
        </w:rPr>
        <w:t>לרבות למתלוננות ולמשפחותיהן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טען המערער כי הוא מתקיים מקצבת המל</w:t>
      </w:r>
      <w:r>
        <w:rPr>
          <w:rtl w:val="true"/>
        </w:rPr>
        <w:t>"</w:t>
      </w:r>
      <w:r>
        <w:rPr>
          <w:rtl w:val="true"/>
        </w:rPr>
        <w:t>ל ואין ביכולתו לשאת בתשלום פיצויים למתלוננות</w:t>
      </w:r>
      <w:r>
        <w:rPr>
          <w:rtl w:val="true"/>
        </w:rPr>
        <w:t xml:space="preserve">. </w:t>
      </w:r>
      <w:r>
        <w:rPr>
          <w:rtl w:val="true"/>
        </w:rPr>
        <w:t>המערער ביקש לפנות אל בית המשפט קמא וציין כי ייתכן ועשה טעויות בהתנהגותו וביחסיו עם המתלוננות</w:t>
      </w:r>
      <w:r>
        <w:rPr>
          <w:rtl w:val="true"/>
        </w:rPr>
        <w:t xml:space="preserve">, </w:t>
      </w:r>
      <w:r>
        <w:rPr>
          <w:rtl w:val="true"/>
        </w:rPr>
        <w:t>אולם הדגיש כי לא ביצע את מעשה האינוס המיוחס לו באישום השישי</w:t>
      </w:r>
      <w:r>
        <w:rPr>
          <w:rtl w:val="true"/>
        </w:rPr>
        <w:t xml:space="preserve">. </w:t>
      </w:r>
      <w:r>
        <w:rPr>
          <w:rtl w:val="true"/>
        </w:rPr>
        <w:t>עוד אמר כי הוא לא התכוון לפגוע באף אחת מהמתלוננות וכי הוא מתחרט על 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התייחס בגזר דינו לנסיבות הכלליות האופפות את האירועים כגון מערכות היחסים שנוצרו בין המערער</w:t>
      </w:r>
      <w:r>
        <w:rPr>
          <w:rtl w:val="true"/>
        </w:rPr>
        <w:t xml:space="preserve">, </w:t>
      </w:r>
      <w:r>
        <w:rPr>
          <w:rtl w:val="true"/>
        </w:rPr>
        <w:t>אדם מבוגר בשנות ה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והמתלוננות</w:t>
      </w:r>
      <w:r>
        <w:rPr>
          <w:rtl w:val="true"/>
        </w:rPr>
        <w:t xml:space="preserve">, </w:t>
      </w:r>
      <w:r>
        <w:rPr>
          <w:rtl w:val="true"/>
        </w:rPr>
        <w:t xml:space="preserve">כולן קטינות מתחת לגיל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ריבוי הקורבנות וריבוי המעשים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קבע את מתחמי הענישה כמפורט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 xml:space="preserve">מתחם הנע בין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מתחם הנע בין </w:t>
      </w:r>
      <w:r>
        <w:rPr/>
        <w:t>48-18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מתחם הנע בין </w:t>
      </w:r>
      <w:r>
        <w:rPr/>
        <w:t>24-6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 מתחם הנע בין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יש להפריד בין האירועים שבוצעו במתלוננות השונות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'. </w:t>
      </w:r>
      <w:r>
        <w:rPr>
          <w:rtl w:val="true"/>
        </w:rPr>
        <w:t>לגבי המתלוננת א</w:t>
      </w:r>
      <w:r>
        <w:rPr>
          <w:rtl w:val="true"/>
        </w:rPr>
        <w:t xml:space="preserve">', </w:t>
      </w:r>
      <w:r>
        <w:rPr>
          <w:rtl w:val="true"/>
        </w:rPr>
        <w:t>הורשע המערער בביצוע מעשה אינוס בנסיבות מחמירות</w:t>
      </w:r>
      <w:r>
        <w:rPr>
          <w:rtl w:val="true"/>
        </w:rPr>
        <w:t xml:space="preserve">, </w:t>
      </w:r>
      <w:r>
        <w:rPr>
          <w:rtl w:val="true"/>
        </w:rPr>
        <w:t>מעשה מגונה ותקיפה סתם</w:t>
      </w:r>
      <w:r>
        <w:rPr>
          <w:rtl w:val="true"/>
        </w:rPr>
        <w:t xml:space="preserve">. </w:t>
      </w:r>
      <w:r>
        <w:rPr>
          <w:rtl w:val="true"/>
        </w:rPr>
        <w:t>ביחס לעבירות אלה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הנע בין </w:t>
      </w:r>
      <w:r>
        <w:rPr/>
        <w:t>14-8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לגבי המתלוננת אל</w:t>
      </w:r>
      <w:r>
        <w:rPr>
          <w:rtl w:val="true"/>
        </w:rPr>
        <w:t xml:space="preserve">', </w:t>
      </w:r>
      <w:r>
        <w:rPr>
          <w:rtl w:val="true"/>
        </w:rPr>
        <w:t>הורשע המערער בביצוע מעשים מגונים והטרדה מינית</w:t>
      </w:r>
      <w:r>
        <w:rPr>
          <w:rtl w:val="true"/>
        </w:rPr>
        <w:t xml:space="preserve">. </w:t>
      </w:r>
      <w:r>
        <w:rPr>
          <w:rtl w:val="true"/>
        </w:rPr>
        <w:t xml:space="preserve">ביחס לעבירות אלה נקבע מתחם ענישה הנע בין </w:t>
      </w:r>
      <w:r>
        <w:rPr/>
        <w:t>18-6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התייחס בית המשפט קמא לנסיבות שאינן קשורות בביצוע העבירות וקבע כי אין מקום לסטות ממתחמי הענישה שפורטו</w:t>
      </w:r>
      <w:r>
        <w:rPr>
          <w:rtl w:val="true"/>
        </w:rPr>
        <w:t xml:space="preserve">, </w:t>
      </w:r>
      <w:r>
        <w:rPr>
          <w:rtl w:val="true"/>
        </w:rPr>
        <w:t>בהתחשב בכך שהמערער לא הביע רצון להליך שיקומי</w:t>
      </w:r>
      <w:r>
        <w:rPr>
          <w:rtl w:val="true"/>
        </w:rPr>
        <w:t xml:space="preserve">, </w:t>
      </w:r>
      <w:r>
        <w:rPr>
          <w:rtl w:val="true"/>
        </w:rPr>
        <w:t>וכן בשים לב לעברו הפלילי המכביד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קמא את דין המערער והשית עליו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ופיצויים למתלוננות</w:t>
      </w:r>
      <w:r>
        <w:rPr>
          <w:rtl w:val="true"/>
        </w:rPr>
        <w:t xml:space="preserve">; </w:t>
      </w:r>
      <w:r>
        <w:rPr>
          <w:rtl w:val="true"/>
        </w:rPr>
        <w:t>למתלוננת א</w:t>
      </w:r>
      <w:r>
        <w:rPr>
          <w:rtl w:val="true"/>
        </w:rPr>
        <w:t xml:space="preserve">' </w:t>
      </w:r>
      <w:r>
        <w:rPr>
          <w:rtl w:val="true"/>
        </w:rPr>
        <w:t xml:space="preserve">פיצוי בסך של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למתלוננת ח</w:t>
      </w:r>
      <w:r>
        <w:rPr>
          <w:rtl w:val="true"/>
        </w:rPr>
        <w:t xml:space="preserve">' </w:t>
      </w:r>
      <w:r>
        <w:rPr>
          <w:rtl w:val="true"/>
        </w:rPr>
        <w:t xml:space="preserve">פיצוי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לכל אחת מהמתלוננות הנוספות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' </w:t>
      </w:r>
      <w:r>
        <w:rPr>
          <w:rtl w:val="true"/>
        </w:rPr>
        <w:t xml:space="preserve">פיצוי 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המערער הגיש ערעור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ששמע את הערות המותב לעניין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הודיע המערער כי הוא חוזר בו מחלק זה של הערעור</w:t>
      </w:r>
      <w:r>
        <w:rPr>
          <w:rtl w:val="true"/>
        </w:rPr>
        <w:t xml:space="preserve">, </w:t>
      </w:r>
      <w:r>
        <w:rPr>
          <w:rtl w:val="true"/>
        </w:rPr>
        <w:t>ומתמקד בטענותיו לעניין עונש המאסר בפועל שנקבע בגזר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בית המשפט קמא לא נתן משקל לכך שמדובר באירועים אשר רובם ככולם התרחשו במהלך תקופה של חודשים ספורים</w:t>
      </w:r>
      <w:r>
        <w:rPr>
          <w:rtl w:val="true"/>
        </w:rPr>
        <w:t xml:space="preserve">, </w:t>
      </w:r>
      <w:r>
        <w:rPr>
          <w:rtl w:val="true"/>
        </w:rPr>
        <w:t xml:space="preserve">כאשר רוב האירועים התרחשו מחודש דצמבר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ועד חודש פברואר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 xml:space="preserve">עוד טען המערער כי בית המשפט קמא לא נתן את המשקל הראוי לכך שבין המערער והמתלוננות נרקמה מערכת יחסים במסגרתה הוא היה </w:t>
      </w:r>
      <w:r>
        <w:rPr>
          <w:rtl w:val="true"/>
        </w:rPr>
        <w:t>"</w:t>
      </w:r>
      <w:r>
        <w:rPr>
          <w:rtl w:val="true"/>
        </w:rPr>
        <w:t>אחד מהחבורה</w:t>
      </w:r>
      <w:r>
        <w:rPr>
          <w:rtl w:val="true"/>
        </w:rPr>
        <w:t xml:space="preserve">", </w:t>
      </w:r>
      <w:r>
        <w:rPr>
          <w:rtl w:val="true"/>
        </w:rPr>
        <w:t xml:space="preserve">וכן כי לא נתן משקל ראוי לכך שהמתלוננות הן אלה שיצרו מלכתחילה קשר עם המערער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קבוצת הנערות השנייה</w:t>
      </w:r>
      <w:r>
        <w:rPr>
          <w:rtl w:val="true"/>
        </w:rPr>
        <w:t xml:space="preserve">), </w:t>
      </w:r>
      <w:r>
        <w:rPr>
          <w:rtl w:val="true"/>
        </w:rPr>
        <w:t>במטרה לנצלו לטובות הנאה שונות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המערער הלין על כך שבית המשפט קמא לא ייחס חשיבות לכך שמרבית המתלוננות שבו להיפגש עם המערער לאחר המעשים</w:t>
      </w:r>
      <w:r>
        <w:rPr>
          <w:rtl w:val="true"/>
        </w:rPr>
        <w:t xml:space="preserve">, </w:t>
      </w:r>
      <w:r>
        <w:rPr>
          <w:rtl w:val="true"/>
        </w:rPr>
        <w:t>על אף שיכלו לנתק את הקשר עמו בכל עת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לא הביא בחשבון את העובדה כי גילן של מרבית המתלוננות היה מעל 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 בעת האירועים</w:t>
      </w:r>
      <w:r>
        <w:rPr>
          <w:rtl w:val="true"/>
        </w:rPr>
        <w:t xml:space="preserve">, </w:t>
      </w:r>
      <w:r>
        <w:rPr>
          <w:rtl w:val="true"/>
        </w:rPr>
        <w:t>וכי מרביתן התנסו בעבר במערכות יחסים זוגיות</w:t>
      </w:r>
      <w:r>
        <w:rPr>
          <w:rtl w:val="true"/>
        </w:rPr>
        <w:t xml:space="preserve">, </w:t>
      </w:r>
      <w:r>
        <w:rPr>
          <w:rtl w:val="true"/>
        </w:rPr>
        <w:t>ועל כן אין לייחס לכולן את אותה רמה של תמימות וחוסר הבנה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סבור כי בית המשפט קמא לא נתן את המשקל הראוי להתנהגותן הפרטנית של כל אחת ואחת מן המתלוננות</w:t>
      </w:r>
      <w:r>
        <w:rPr>
          <w:rtl w:val="true"/>
        </w:rPr>
        <w:t xml:space="preserve">, </w:t>
      </w:r>
      <w:r>
        <w:rPr>
          <w:rtl w:val="true"/>
        </w:rPr>
        <w:t>ולחומרתן הקלה של חלק מן העבירות בהן הורשע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התייחס המערער לנסיבות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וטען כי בית המשפט קמא נתן משקל לא מבוטל לתסקיר קורבנות העבירה</w:t>
      </w:r>
      <w:r>
        <w:rPr>
          <w:rtl w:val="true"/>
        </w:rPr>
        <w:t xml:space="preserve">, </w:t>
      </w:r>
      <w:r>
        <w:rPr>
          <w:rtl w:val="true"/>
        </w:rPr>
        <w:t>אשר התבסס ברובו על עדות האם שר</w:t>
      </w:r>
      <w:r>
        <w:rPr>
          <w:rtl w:val="true"/>
        </w:rPr>
        <w:t xml:space="preserve">', </w:t>
      </w:r>
      <w:r>
        <w:rPr>
          <w:rtl w:val="true"/>
        </w:rPr>
        <w:t>ולא על עדות המתלוננות</w:t>
      </w:r>
      <w:r>
        <w:rPr>
          <w:rtl w:val="true"/>
        </w:rPr>
        <w:t xml:space="preserve">, </w:t>
      </w:r>
      <w:r>
        <w:rPr>
          <w:rtl w:val="true"/>
        </w:rPr>
        <w:t>והכיל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פגמים רבים נוספים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הפנה המערער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וטען כי בית המשפט לא התייחס לגילו המבוגר יחסית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בעת הגשת הערעור</w:t>
      </w:r>
      <w:r>
        <w:rPr>
          <w:rtl w:val="true"/>
        </w:rPr>
        <w:t xml:space="preserve">. </w:t>
      </w:r>
      <w:r>
        <w:rPr>
          <w:rtl w:val="true"/>
        </w:rPr>
        <w:t>המערער ציין כי בית המשפט קמא לא נתן משקל מספק לכך שבמהלך המשפט נשמעו עדויות אשר הדגישו את טוב לבו של המערער</w:t>
      </w:r>
      <w:r>
        <w:rPr>
          <w:rtl w:val="true"/>
        </w:rPr>
        <w:t xml:space="preserve">, </w:t>
      </w:r>
      <w:r>
        <w:rPr>
          <w:rtl w:val="true"/>
        </w:rPr>
        <w:t>נכונותו לסייע ולעזור לאנשים במצוקה</w:t>
      </w:r>
      <w:r>
        <w:rPr>
          <w:rtl w:val="true"/>
        </w:rPr>
        <w:t xml:space="preserve">, </w:t>
      </w:r>
      <w:r>
        <w:rPr>
          <w:rtl w:val="true"/>
        </w:rPr>
        <w:t>ודברים ברוח זו אף נשמעו מפיה של שר</w:t>
      </w:r>
      <w:r>
        <w:rPr>
          <w:rtl w:val="true"/>
        </w:rPr>
        <w:t xml:space="preserve">', </w:t>
      </w:r>
      <w:r>
        <w:rPr>
          <w:rtl w:val="true"/>
        </w:rPr>
        <w:t>אם המתלוננות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'. </w:t>
      </w:r>
      <w:r>
        <w:rPr>
          <w:rtl w:val="true"/>
        </w:rPr>
        <w:t>עוד ציין המערער כי הוא אכן בעל עבר פלילי מכביד</w:t>
      </w:r>
      <w:r>
        <w:rPr>
          <w:rtl w:val="true"/>
        </w:rPr>
        <w:t xml:space="preserve">, </w:t>
      </w:r>
      <w:r>
        <w:rPr>
          <w:rtl w:val="true"/>
        </w:rPr>
        <w:t xml:space="preserve">אולם יש לזקוף לזכותו את העובדה שמשנת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 xml:space="preserve">ועד 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לא ריצה עונשי מאסר 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 המערער כי הוא נטל אחריות חלקית למעשיו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טוענת כי העונש שהושת על המערער אינו סוטה ממדיניות הענישה המקובלת בעבירות מסוג זה</w:t>
      </w:r>
      <w:r>
        <w:rPr>
          <w:rtl w:val="true"/>
        </w:rPr>
        <w:t xml:space="preserve">, </w:t>
      </w:r>
      <w:r>
        <w:rPr>
          <w:rtl w:val="true"/>
        </w:rPr>
        <w:t>ודאי לא כשמדובר במעשים מיניים אלימים שהמערער ביצע בשש מתלוננות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כולן קטינות בגילאים </w:t>
      </w:r>
      <w:r>
        <w:rPr/>
        <w:t>17-14</w:t>
      </w:r>
      <w:r>
        <w:rPr>
          <w:rtl w:val="true"/>
        </w:rPr>
        <w:t xml:space="preserve">, </w:t>
      </w:r>
      <w:r>
        <w:rPr>
          <w:rtl w:val="true"/>
        </w:rPr>
        <w:t>כולן ממשפחות מעוטות יכולת</w:t>
      </w:r>
      <w:r>
        <w:rPr>
          <w:rtl w:val="true"/>
        </w:rPr>
        <w:t xml:space="preserve">, </w:t>
      </w:r>
      <w:r>
        <w:rPr>
          <w:rtl w:val="true"/>
        </w:rPr>
        <w:t>תוך שהוא מנצל את תמימותן</w:t>
      </w:r>
      <w:r>
        <w:rPr>
          <w:rtl w:val="true"/>
        </w:rPr>
        <w:t xml:space="preserve">, </w:t>
      </w:r>
      <w:r>
        <w:rPr>
          <w:rtl w:val="true"/>
        </w:rPr>
        <w:t>חולשתן והיותן קטינות הנזקקות לכסף ולתשומת לב</w:t>
      </w:r>
      <w:r>
        <w:rPr>
          <w:rtl w:val="true"/>
        </w:rPr>
        <w:t xml:space="preserve">. </w:t>
      </w:r>
      <w:r>
        <w:rPr>
          <w:rtl w:val="true"/>
        </w:rPr>
        <w:t>המערער ביצע לאחר תכנון מעשים חמורים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אונס של נערה בת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ומעשים מגונים בכוח בדרגות חומרה שונות כלפי מתלוננות שונות</w:t>
      </w:r>
      <w:r>
        <w:rPr>
          <w:rtl w:val="true"/>
        </w:rPr>
        <w:t xml:space="preserve">. </w:t>
      </w:r>
      <w:r>
        <w:rPr>
          <w:rtl w:val="true"/>
        </w:rPr>
        <w:t>המשיבה סוברת כי מדובר בעונש מידתי וראוי המאזן כהלכה בין כלל השיקולים הצריכים לעניין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שהצדדים טענו לפנינו</w:t>
      </w:r>
      <w:r>
        <w:rPr>
          <w:rtl w:val="true"/>
        </w:rPr>
        <w:t xml:space="preserve">, </w:t>
      </w:r>
      <w:r>
        <w:rPr>
          <w:rtl w:val="true"/>
        </w:rPr>
        <w:t>בכתב ובעל פה</w:t>
      </w:r>
      <w:r>
        <w:rPr>
          <w:rtl w:val="true"/>
        </w:rPr>
        <w:t xml:space="preserve">, </w:t>
      </w:r>
      <w:r>
        <w:rPr>
          <w:rtl w:val="true"/>
        </w:rPr>
        <w:t>ולאחר שעיינתי בחומרים המצויים בתיק ובטענות הצדדים</w:t>
      </w:r>
      <w:r>
        <w:rPr>
          <w:rtl w:val="true"/>
        </w:rPr>
        <w:t xml:space="preserve">, </w:t>
      </w:r>
      <w:r>
        <w:rPr>
          <w:rtl w:val="true"/>
        </w:rPr>
        <w:t>הגעתי למסקנה כי יש לדחות גם את הערעור על גזר הדין</w:t>
      </w:r>
      <w:r>
        <w:rPr>
          <w:rtl w:val="true"/>
        </w:rPr>
        <w:t xml:space="preserve">, </w:t>
      </w:r>
      <w:r>
        <w:rPr>
          <w:rtl w:val="true"/>
        </w:rPr>
        <w:t>וכך אמליץ לחברַי</w:t>
      </w:r>
      <w:r>
        <w:rPr>
          <w:rtl w:val="true"/>
        </w:rPr>
        <w:t xml:space="preserve">. </w:t>
      </w:r>
      <w:r>
        <w:rPr>
          <w:rtl w:val="true"/>
        </w:rPr>
        <w:t>כלל ידוע הוא כי ערכאת הערעור אינה נוטה להתערב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>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כשמדובר בסטייה קיצונית ממדיניות הענישה המקובלת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2470/15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2331/13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 xml:space="preserve">)). </w:t>
      </w:r>
      <w:r>
        <w:rPr>
          <w:rtl w:val="true"/>
        </w:rPr>
        <w:t>המקרה שלפנינו לא נופל בגדר חריגים אלה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 מצאתי כי נפלה טעות בגזר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אכן חמור מאד</w:t>
      </w:r>
      <w:r>
        <w:rPr>
          <w:rtl w:val="true"/>
        </w:rPr>
        <w:t xml:space="preserve">, </w:t>
      </w:r>
      <w:r>
        <w:rPr>
          <w:rtl w:val="true"/>
        </w:rPr>
        <w:t>אולם הוא נמצא בהלימה לחומרה הרבה שיש לייחס למעשיו</w:t>
      </w:r>
      <w:r>
        <w:rPr>
          <w:rtl w:val="true"/>
        </w:rPr>
        <w:t xml:space="preserve">, </w:t>
      </w:r>
      <w:r>
        <w:rPr>
          <w:rtl w:val="true"/>
        </w:rPr>
        <w:t>ולעברו הפלילי המכביד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פירט</w:t>
      </w:r>
      <w:r>
        <w:rPr>
          <w:rtl w:val="true"/>
        </w:rPr>
        <w:t xml:space="preserve">, </w:t>
      </w:r>
      <w:r>
        <w:rPr>
          <w:rtl w:val="true"/>
        </w:rPr>
        <w:t>הן בהכרעת דינו והן בגזר דינו</w:t>
      </w:r>
      <w:r>
        <w:rPr>
          <w:rtl w:val="true"/>
        </w:rPr>
        <w:t xml:space="preserve">, </w:t>
      </w:r>
      <w:r>
        <w:rPr>
          <w:rtl w:val="true"/>
        </w:rPr>
        <w:t>כיצד פעל המערער בדפוס קבוע</w:t>
      </w:r>
      <w:r>
        <w:rPr>
          <w:rtl w:val="true"/>
        </w:rPr>
        <w:t xml:space="preserve">, </w:t>
      </w:r>
      <w:r>
        <w:rPr>
          <w:rtl w:val="true"/>
        </w:rPr>
        <w:t>ופגע פגיעות מיניות קשות בלא פחות משש מתלוננות קטינות</w:t>
      </w:r>
      <w:r>
        <w:rPr>
          <w:rtl w:val="true"/>
        </w:rPr>
        <w:t xml:space="preserve">. </w:t>
      </w:r>
      <w:r>
        <w:rPr>
          <w:rtl w:val="true"/>
        </w:rPr>
        <w:t>קורבנות המערער</w:t>
      </w:r>
      <w:r>
        <w:rPr>
          <w:rtl w:val="true"/>
        </w:rPr>
        <w:t xml:space="preserve">, </w:t>
      </w:r>
      <w:r>
        <w:rPr>
          <w:rtl w:val="true"/>
        </w:rPr>
        <w:t>כולן בנות למשפחות מעוטות יכולת</w:t>
      </w:r>
      <w:r>
        <w:rPr>
          <w:rtl w:val="true"/>
        </w:rPr>
        <w:t xml:space="preserve">, </w:t>
      </w:r>
      <w:r>
        <w:rPr>
          <w:rtl w:val="true"/>
        </w:rPr>
        <w:t>נקשרו אל המערער</w:t>
      </w:r>
      <w:r>
        <w:rPr>
          <w:rtl w:val="true"/>
        </w:rPr>
        <w:t xml:space="preserve">, </w:t>
      </w:r>
      <w:r>
        <w:rPr>
          <w:rtl w:val="true"/>
        </w:rPr>
        <w:t>וראו בו כבן משפחה וידיד</w:t>
      </w:r>
      <w:r>
        <w:rPr>
          <w:rtl w:val="true"/>
        </w:rPr>
        <w:t xml:space="preserve">. </w:t>
      </w:r>
      <w:r>
        <w:rPr>
          <w:rtl w:val="true"/>
        </w:rPr>
        <w:t>המערער הרעיף על קורבנותיו תשומת לב וחיבה</w:t>
      </w:r>
      <w:r>
        <w:rPr>
          <w:rtl w:val="true"/>
        </w:rPr>
        <w:t xml:space="preserve">, </w:t>
      </w:r>
      <w:r>
        <w:rPr>
          <w:rtl w:val="true"/>
        </w:rPr>
        <w:t>וקנה את ליבן באמצעות מתן הטבות חומריות שונות</w:t>
      </w:r>
      <w:r>
        <w:rPr>
          <w:rtl w:val="true"/>
        </w:rPr>
        <w:t xml:space="preserve">. </w:t>
      </w:r>
      <w:r>
        <w:rPr>
          <w:rtl w:val="true"/>
        </w:rPr>
        <w:t>לאחר שרכש את אמונן</w:t>
      </w:r>
      <w:r>
        <w:rPr>
          <w:rtl w:val="true"/>
        </w:rPr>
        <w:t xml:space="preserve">, </w:t>
      </w:r>
      <w:r>
        <w:rPr>
          <w:rtl w:val="true"/>
        </w:rPr>
        <w:t>ניצל את הקרבה שנוצרה על מנת לממש את תאוותיו</w:t>
      </w:r>
      <w:r>
        <w:rPr>
          <w:rtl w:val="true"/>
        </w:rPr>
        <w:t xml:space="preserve">, </w:t>
      </w:r>
      <w:r>
        <w:rPr>
          <w:rtl w:val="true"/>
        </w:rPr>
        <w:t>תוך ניצולן של הקטינות</w:t>
      </w:r>
      <w:r>
        <w:rPr>
          <w:rtl w:val="true"/>
        </w:rPr>
        <w:t xml:space="preserve">, </w:t>
      </w:r>
      <w:r>
        <w:rPr>
          <w:rtl w:val="true"/>
        </w:rPr>
        <w:t>בניגוד לרצונן</w:t>
      </w:r>
      <w:r>
        <w:rPr>
          <w:rtl w:val="true"/>
        </w:rPr>
        <w:t xml:space="preserve">, </w:t>
      </w:r>
      <w:r>
        <w:rPr>
          <w:rtl w:val="true"/>
        </w:rPr>
        <w:t>למימוש צרכיו המיניים</w:t>
      </w:r>
      <w:r>
        <w:rPr>
          <w:rtl w:val="true"/>
        </w:rPr>
        <w:t xml:space="preserve">. </w:t>
      </w:r>
      <w:r>
        <w:rPr>
          <w:rtl w:val="true"/>
        </w:rPr>
        <w:t>חומרה מיוחדת יש לייחס הן לריבוי הקורבנות</w:t>
      </w:r>
      <w:r>
        <w:rPr>
          <w:rtl w:val="true"/>
        </w:rPr>
        <w:t xml:space="preserve">, </w:t>
      </w:r>
      <w:r>
        <w:rPr>
          <w:rtl w:val="true"/>
        </w:rPr>
        <w:t>הן לגילן הצעיר</w:t>
      </w:r>
      <w:r>
        <w:rPr>
          <w:rtl w:val="true"/>
        </w:rPr>
        <w:t xml:space="preserve">, </w:t>
      </w:r>
      <w:r>
        <w:rPr>
          <w:rtl w:val="true"/>
        </w:rPr>
        <w:t>הן לפער הגילאים העצום בין המערער</w:t>
      </w:r>
      <w:r>
        <w:rPr>
          <w:rtl w:val="true"/>
        </w:rPr>
        <w:t xml:space="preserve">, </w:t>
      </w:r>
      <w:r>
        <w:rPr>
          <w:rtl w:val="true"/>
        </w:rPr>
        <w:t>גבר בשנות ה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לקורבנות</w:t>
      </w:r>
      <w:r>
        <w:rPr>
          <w:rtl w:val="true"/>
        </w:rPr>
        <w:t xml:space="preserve">, </w:t>
      </w:r>
      <w:r>
        <w:rPr>
          <w:rtl w:val="true"/>
        </w:rPr>
        <w:t>כולן נערות צעירות</w:t>
      </w:r>
      <w:r>
        <w:rPr>
          <w:rtl w:val="true"/>
        </w:rPr>
        <w:t xml:space="preserve">, </w:t>
      </w:r>
      <w:r>
        <w:rPr>
          <w:rtl w:val="true"/>
        </w:rPr>
        <w:t xml:space="preserve">חלקן אף היו בנות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בעת האירועים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פגע בכל אחת ואחת מהמתלוננות</w:t>
      </w:r>
      <w:r>
        <w:rPr>
          <w:rtl w:val="true"/>
        </w:rPr>
        <w:t xml:space="preserve">, </w:t>
      </w:r>
      <w:r>
        <w:rPr>
          <w:rtl w:val="true"/>
        </w:rPr>
        <w:t>ואולם הפגיעות הן בדרגות חומרה שונות</w:t>
      </w:r>
      <w:r>
        <w:rPr>
          <w:rtl w:val="true"/>
        </w:rPr>
        <w:t xml:space="preserve">. </w:t>
      </w:r>
      <w:r>
        <w:rPr>
          <w:rtl w:val="true"/>
        </w:rPr>
        <w:t>מזעזעת במיוחד היא הפגיעה הקשה והאלימה באחיות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אשר המערער היה כבן בית עבורן</w:t>
      </w:r>
      <w:r>
        <w:rPr>
          <w:rtl w:val="true"/>
        </w:rPr>
        <w:t xml:space="preserve">. </w:t>
      </w:r>
      <w:r>
        <w:rPr>
          <w:rtl w:val="true"/>
        </w:rPr>
        <w:t>תסקירי הקורבן שהוגשו בעניינן מעידים על עוצמת הפגיעה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אבהית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נערות</w:t>
      </w:r>
      <w:r>
        <w:rPr>
          <w:rtl w:val="true"/>
        </w:rPr>
        <w:t xml:space="preserve">, </w:t>
      </w:r>
      <w:r>
        <w:rPr>
          <w:rtl w:val="true"/>
        </w:rPr>
        <w:t>צעירות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ותמימות</w:t>
      </w:r>
      <w:r>
        <w:rPr>
          <w:rtl w:val="true"/>
        </w:rPr>
        <w:t xml:space="preserve">, </w:t>
      </w:r>
      <w:r>
        <w:rPr>
          <w:rtl w:val="true"/>
        </w:rPr>
        <w:t>וברגע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שר</w:t>
      </w:r>
      <w:r>
        <w:rPr>
          <w:rtl w:val="true"/>
        </w:rPr>
        <w:t xml:space="preserve">', </w:t>
      </w:r>
      <w:r>
        <w:rPr>
          <w:rtl w:val="true"/>
        </w:rPr>
        <w:t>שהאמינה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התבדתה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" </w:t>
      </w:r>
      <w:r>
        <w:rPr>
          <w:rtl w:val="true"/>
        </w:rPr>
        <w:t>ובבנותיה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ואמן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',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,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>...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לחומרת המעשים בהם הורשע המערער יש לצרף את עברו הפלילי המכביד</w:t>
      </w:r>
      <w:r>
        <w:rPr>
          <w:rtl w:val="true"/>
        </w:rPr>
        <w:t xml:space="preserve">, </w:t>
      </w:r>
      <w:r>
        <w:rPr>
          <w:rtl w:val="true"/>
        </w:rPr>
        <w:t xml:space="preserve">הכולל עשרות רבות של הרשעות בגינן ריצה בין היתר עונשי מאסר המצטברים יחדיו לכדי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מרבית העבירות בהן הורשע המערער הן עבירות רכוש</w:t>
      </w:r>
      <w:r>
        <w:rPr>
          <w:rtl w:val="true"/>
        </w:rPr>
        <w:t xml:space="preserve">, </w:t>
      </w:r>
      <w:r>
        <w:rPr>
          <w:rtl w:val="true"/>
        </w:rPr>
        <w:t>אולם הוא הורשע בעבר הרחוק יחסית</w:t>
      </w:r>
      <w:r>
        <w:rPr>
          <w:rtl w:val="true"/>
        </w:rPr>
        <w:t xml:space="preserve">, </w:t>
      </w:r>
      <w:r>
        <w:rPr>
          <w:rtl w:val="true"/>
        </w:rPr>
        <w:t>בשני מקרים שונים</w:t>
      </w:r>
      <w:r>
        <w:rPr>
          <w:rtl w:val="true"/>
        </w:rPr>
        <w:t xml:space="preserve">, </w:t>
      </w:r>
      <w:r>
        <w:rPr>
          <w:rtl w:val="true"/>
        </w:rPr>
        <w:t>גם בעבירות מין כנגד קטינים</w:t>
      </w:r>
      <w:r>
        <w:rPr>
          <w:rtl w:val="true"/>
        </w:rPr>
        <w:t xml:space="preserve">. </w:t>
      </w:r>
      <w:r>
        <w:rPr>
          <w:rtl w:val="true"/>
        </w:rPr>
        <w:t>אמנם עבירות המין בוצעו לפני שנים רבות</w:t>
      </w:r>
      <w:r>
        <w:rPr>
          <w:rtl w:val="true"/>
        </w:rPr>
        <w:t xml:space="preserve">, </w:t>
      </w:r>
      <w:r>
        <w:rPr>
          <w:rtl w:val="true"/>
        </w:rPr>
        <w:t>אולם יש בהן</w:t>
      </w:r>
      <w:r>
        <w:rPr>
          <w:rtl w:val="true"/>
        </w:rPr>
        <w:t xml:space="preserve">, </w:t>
      </w:r>
      <w:r>
        <w:rPr>
          <w:rtl w:val="true"/>
        </w:rPr>
        <w:t>כמו גם בעבירות האחרות שביצע המערער במהלך השנים</w:t>
      </w:r>
      <w:r>
        <w:rPr>
          <w:rtl w:val="true"/>
        </w:rPr>
        <w:t xml:space="preserve">, </w:t>
      </w:r>
      <w:r>
        <w:rPr>
          <w:rtl w:val="true"/>
        </w:rPr>
        <w:t>כדי להצביע על מסוכנותו</w:t>
      </w:r>
      <w:r>
        <w:rPr>
          <w:rtl w:val="true"/>
        </w:rPr>
        <w:t xml:space="preserve">, </w:t>
      </w:r>
      <w:r>
        <w:rPr>
          <w:rtl w:val="true"/>
        </w:rPr>
        <w:t>ועל כך שאינו נרתע ממערכת החוק והמשפט</w:t>
      </w:r>
      <w:r>
        <w:rPr>
          <w:rtl w:val="true"/>
        </w:rPr>
        <w:t xml:space="preserve">, </w:t>
      </w:r>
      <w:r>
        <w:rPr>
          <w:rtl w:val="true"/>
        </w:rPr>
        <w:t>ועל אף שריצה עונשי מאסר ממושכים</w:t>
      </w:r>
      <w:r>
        <w:rPr>
          <w:rtl w:val="true"/>
        </w:rPr>
        <w:t xml:space="preserve">, </w:t>
      </w:r>
      <w:r>
        <w:rPr>
          <w:rtl w:val="true"/>
        </w:rPr>
        <w:t>איננו משנה את דרכיו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בטענותיו השונות מלין בעיקר על המשקל שנתן בית המשפט קמא לשיקולים כאלה ואחרים</w:t>
      </w:r>
      <w:r>
        <w:rPr>
          <w:rtl w:val="true"/>
        </w:rPr>
        <w:t xml:space="preserve">, </w:t>
      </w:r>
      <w:r>
        <w:rPr>
          <w:rtl w:val="true"/>
        </w:rPr>
        <w:t>אולם אין בטענות אלה די כדי להצדיק את התערבותו של בית משפט זה</w:t>
      </w:r>
      <w:r>
        <w:rPr>
          <w:rtl w:val="true"/>
        </w:rPr>
        <w:t xml:space="preserve">, </w:t>
      </w:r>
      <w:r>
        <w:rPr>
          <w:rtl w:val="true"/>
        </w:rPr>
        <w:t>ויוער כי מצאתי שבית המשפט קמא ביצע עבודה יסודית ומפורטת במיוחד בפסק דינו</w:t>
      </w:r>
      <w:r>
        <w:rPr>
          <w:rtl w:val="true"/>
        </w:rPr>
        <w:t xml:space="preserve">, </w:t>
      </w:r>
      <w:r>
        <w:rPr>
          <w:rtl w:val="true"/>
        </w:rPr>
        <w:t>ולטעמי לא נפל בגזר דינו לכלל טעות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בנוגע לרף הענישה הנהוג</w:t>
      </w:r>
      <w:r>
        <w:rPr>
          <w:rtl w:val="true"/>
        </w:rPr>
        <w:t xml:space="preserve">, </w:t>
      </w:r>
      <w:r>
        <w:rPr>
          <w:rtl w:val="true"/>
        </w:rPr>
        <w:t>מעיון בפסיקה לא מצאתי כי ענישתו של המערער חורגת לחומרא מהענישה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אשר מטילה על נאשמים המורשעים באינוס קטינות עונש מאסר בפועל הנע בין </w:t>
      </w:r>
      <w:r>
        <w:rPr/>
        <w:t>20-8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הקביעה בתוך המתחם משתנה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בהתאם לנסיבות המיוחדות הנלוות לכל מקרה ומקרה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7593/16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3217/14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31.7.2016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1555/13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9.6.2014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9613/11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טפגאי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31.10.2013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2847/11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11.7.2013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5263/10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 </w:t>
      </w:r>
      <w:r>
        <w:rPr>
          <w:rFonts w:eastAsia="Miriam" w:cs="Miriam" w:ascii="Miriam" w:hAnsi="Miriam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/>
        <w:t>31.7.2012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51">
        <w:bookmarkStart w:id="18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11100/08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8"/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למעשה האונס החמור בו הורשע המערער ביחס למתלוננת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נלוות עבירות מין ואלימות רבות בדרגות חומרה שונות נגדה ונגד יתר המתלוננות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צבר זה של עבירות אלימות ומין כלפי קטינות מצדיק רמת ענישה מחמירה הולמת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על יסוד האמור לעיל אציע לחברַי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גרוסקופף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8.4.2019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17034730</w:t>
      </w:r>
      <w:r>
        <w:rPr>
          <w:sz w:val="16"/>
          <w:rtl w:val="true"/>
        </w:rPr>
        <w:t>_</w:t>
      </w:r>
      <w:r>
        <w:rPr>
          <w:sz w:val="16"/>
        </w:rPr>
        <w:t>Y07.docx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54678313-3473/17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3473/17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7980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48.c" TargetMode="External"/><Relationship Id="rId8" Type="http://schemas.openxmlformats.org/officeDocument/2006/relationships/hyperlink" Target="http://www.nevo.co.il/law/70301/348.c1" TargetMode="External"/><Relationship Id="rId9" Type="http://schemas.openxmlformats.org/officeDocument/2006/relationships/hyperlink" Target="http://www.nevo.co.il/law/70301/368b.a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2507" TargetMode="External"/><Relationship Id="rId13" Type="http://schemas.openxmlformats.org/officeDocument/2006/relationships/hyperlink" Target="http://www.nevo.co.il/law/72507/3.a.3" TargetMode="External"/><Relationship Id="rId14" Type="http://schemas.openxmlformats.org/officeDocument/2006/relationships/hyperlink" Target="http://www.nevo.co.il/law/72507/3.a.5" TargetMode="External"/><Relationship Id="rId15" Type="http://schemas.openxmlformats.org/officeDocument/2006/relationships/hyperlink" Target="http://www.nevo.co.il/law/72507/5.a" TargetMode="External"/><Relationship Id="rId16" Type="http://schemas.openxmlformats.org/officeDocument/2006/relationships/hyperlink" Target="http://www.nevo.co.il/case/20079800" TargetMode="External"/><Relationship Id="rId17" Type="http://schemas.openxmlformats.org/officeDocument/2006/relationships/hyperlink" Target="http://www.nevo.co.il/law/70301/348.c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8.c1" TargetMode="External"/><Relationship Id="rId20" Type="http://schemas.openxmlformats.org/officeDocument/2006/relationships/hyperlink" Target="http://www.nevo.co.il/law/72507/3.a.3" TargetMode="External"/><Relationship Id="rId21" Type="http://schemas.openxmlformats.org/officeDocument/2006/relationships/hyperlink" Target="http://www.nevo.co.il/law/72507/5.a" TargetMode="External"/><Relationship Id="rId22" Type="http://schemas.openxmlformats.org/officeDocument/2006/relationships/hyperlink" Target="http://www.nevo.co.il/law/72507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368b.a" TargetMode="External"/><Relationship Id="rId25" Type="http://schemas.openxmlformats.org/officeDocument/2006/relationships/hyperlink" Target="http://www.nevo.co.il/law/70301/452" TargetMode="External"/><Relationship Id="rId26" Type="http://schemas.openxmlformats.org/officeDocument/2006/relationships/hyperlink" Target="http://www.nevo.co.il/law/70301/348.c1" TargetMode="External"/><Relationship Id="rId27" Type="http://schemas.openxmlformats.org/officeDocument/2006/relationships/hyperlink" Target="http://www.nevo.co.il/law/70301/348.c" TargetMode="External"/><Relationship Id="rId28" Type="http://schemas.openxmlformats.org/officeDocument/2006/relationships/hyperlink" Target="http://www.nevo.co.il/law/70301/348.c1" TargetMode="External"/><Relationship Id="rId29" Type="http://schemas.openxmlformats.org/officeDocument/2006/relationships/hyperlink" Target="http://www.nevo.co.il/law/70301/348.c" TargetMode="External"/><Relationship Id="rId30" Type="http://schemas.openxmlformats.org/officeDocument/2006/relationships/hyperlink" Target="http://www.nevo.co.il/law/70301/348.c1" TargetMode="External"/><Relationship Id="rId31" Type="http://schemas.openxmlformats.org/officeDocument/2006/relationships/hyperlink" Target="http://www.nevo.co.il/law/70301/348.c" TargetMode="External"/><Relationship Id="rId32" Type="http://schemas.openxmlformats.org/officeDocument/2006/relationships/hyperlink" Target="http://www.nevo.co.il/law/70301/345.b.1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348.b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01/379" TargetMode="External"/><Relationship Id="rId38" Type="http://schemas.openxmlformats.org/officeDocument/2006/relationships/hyperlink" Target="http://www.nevo.co.il/law/72507/3.a.5" TargetMode="External"/><Relationship Id="rId39" Type="http://schemas.openxmlformats.org/officeDocument/2006/relationships/hyperlink" Target="http://www.nevo.co.il/law/72507/5.a" TargetMode="External"/><Relationship Id="rId40" Type="http://schemas.openxmlformats.org/officeDocument/2006/relationships/hyperlink" Target="http://www.nevo.co.il/law/70301/379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48.c" TargetMode="External"/><Relationship Id="rId43" Type="http://schemas.openxmlformats.org/officeDocument/2006/relationships/hyperlink" Target="http://www.nevo.co.il/case/20180959" TargetMode="External"/><Relationship Id="rId44" Type="http://schemas.openxmlformats.org/officeDocument/2006/relationships/hyperlink" Target="http://www.nevo.co.il/case/20028603" TargetMode="External"/><Relationship Id="rId45" Type="http://schemas.openxmlformats.org/officeDocument/2006/relationships/hyperlink" Target="http://www.nevo.co.il/case/22302872" TargetMode="External"/><Relationship Id="rId46" Type="http://schemas.openxmlformats.org/officeDocument/2006/relationships/hyperlink" Target="http://www.nevo.co.il/case/16910772" TargetMode="External"/><Relationship Id="rId47" Type="http://schemas.openxmlformats.org/officeDocument/2006/relationships/hyperlink" Target="http://www.nevo.co.il/case/13055020" TargetMode="External"/><Relationship Id="rId48" Type="http://schemas.openxmlformats.org/officeDocument/2006/relationships/hyperlink" Target="http://www.nevo.co.il/case/6249242" TargetMode="External"/><Relationship Id="rId49" Type="http://schemas.openxmlformats.org/officeDocument/2006/relationships/hyperlink" Target="http://www.nevo.co.il/case/5576617" TargetMode="External"/><Relationship Id="rId50" Type="http://schemas.openxmlformats.org/officeDocument/2006/relationships/hyperlink" Target="http://www.nevo.co.il/case/6246216" TargetMode="External"/><Relationship Id="rId51" Type="http://schemas.openxmlformats.org/officeDocument/2006/relationships/hyperlink" Target="http://www.nevo.co.il/case/6178368" TargetMode="External"/><Relationship Id="rId52" Type="http://schemas.openxmlformats.org/officeDocument/2006/relationships/hyperlink" Target="http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2019-04-10T11:57:00Z</dcterms:created>
  <dc:creator>h4</dc:creator>
  <dc:description/>
  <cp:keywords/>
  <dc:language>en-IL</dc:language>
  <cp:lastModifiedBy>orly</cp:lastModifiedBy>
  <cp:lastPrinted>2019-04-08T17:02:00Z</cp:lastPrinted>
  <dcterms:modified xsi:type="dcterms:W3CDTF">2019-04-10T11:57:00Z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20079800:2;20180959;20028603;22302872;16910772;13055020;6249242;5576617;6246216;6178368</vt:lpwstr>
  </property>
  <property fmtid="{D5CDD505-2E9C-101B-9397-08002B2CF9AE}" pid="9" name="CITY">
    <vt:lpwstr/>
  </property>
  <property fmtid="{D5CDD505-2E9C-101B-9397-08002B2CF9AE}" pid="10" name="DATE">
    <vt:lpwstr>20190408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מינץ;ע' גרוסקופף</vt:lpwstr>
  </property>
  <property fmtid="{D5CDD505-2E9C-101B-9397-08002B2CF9AE}" pid="14" name="LAWLISTTMP1">
    <vt:lpwstr>70301/348.c1:5;379:3;368b.a;452;348.c:4;345.b.1:2;345.a.1:2;348.b</vt:lpwstr>
  </property>
  <property fmtid="{D5CDD505-2E9C-101B-9397-08002B2CF9AE}" pid="15" name="LAWLISTTMP2">
    <vt:lpwstr>72507/003.a.3;005.a:2;003.a.5</vt:lpwstr>
  </property>
  <property fmtid="{D5CDD505-2E9C-101B-9397-08002B2CF9AE}" pid="16" name="LAWYER">
    <vt:lpwstr>אופיר טישלר;לימור יצחק;טברו משה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17039;16970</vt:lpwstr>
  </property>
  <property fmtid="{D5CDD505-2E9C-101B-9397-08002B2CF9AE}" pid="60" name="PADIDATE">
    <vt:lpwstr>20190410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3473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410120190408</vt:lpwstr>
  </property>
  <property fmtid="{D5CDD505-2E9C-101B-9397-08002B2CF9AE}" pid="70" name="TYPE_N_DATE">
    <vt:lpwstr>41020190408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