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/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3475/23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end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uppressLineNumbers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37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78"/>
        <w:gridCol w:w="6"/>
        <w:gridCol w:w="5389"/>
      </w:tblGrid>
      <w:tr>
        <w:trPr>
          <w:trHeight w:val="295" w:hRule="atLeast"/>
        </w:trPr>
        <w:tc>
          <w:tcPr>
            <w:tcW w:w="8373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984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הרשמת מורן יהב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984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ערן אזולאי 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)</w:t>
            </w:r>
          </w:p>
        </w:tc>
      </w:tr>
      <w:tr>
        <w:trPr/>
        <w:tc>
          <w:tcPr>
            <w:tcW w:w="8373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/>
            </w:pPr>
            <w:r>
              <w:rPr>
                <w:rFonts w:eastAsia="David" w:cs="David" w:ascii="David" w:hAnsi="David"/>
                <w:spacing w:val="80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pacing w:val="8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80"/>
                <w:sz w:val="28"/>
                <w:szCs w:val="28"/>
              </w:rPr>
            </w:pPr>
            <w:r>
              <w:rPr>
                <w:rFonts w:cs="David" w:ascii="David" w:hAnsi="David"/>
                <w:spacing w:val="8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984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משיבים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</w:rPr>
              <w:t>1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</w:rPr>
              <w:t>2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</w:rPr>
              <w:t>3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  <w:tr>
        <w:trPr/>
        <w:tc>
          <w:tcPr>
            <w:tcW w:w="2984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cs="Miriam" w:ascii="Miriam" w:hAnsi="Miriam"/>
                <w:sz w:val="28"/>
                <w:szCs w:val="28"/>
                <w:rtl w:val="true"/>
              </w:rPr>
            </w:r>
          </w:p>
        </w:tc>
        <w:tc>
          <w:tcPr>
            <w:tcW w:w="538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984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cs="Miriam" w:ascii="Miriam" w:hAnsi="Miriam"/>
                <w:sz w:val="28"/>
                <w:szCs w:val="28"/>
                <w:rtl w:val="true"/>
              </w:rPr>
            </w:r>
          </w:p>
        </w:tc>
        <w:tc>
          <w:tcPr>
            <w:tcW w:w="538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978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395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בקשת המבקש למינוי הרכב וקיום דיון בבקשה להוספת ראיה חדשה מיום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10.11.2024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בקשת המשך לבקשת המבקש למינוי הרכב וקיום דיון בבקשה להוספת ראיה חדשה מיום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13.11.2024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תשובת המשיבה מיום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19.11.2024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בקשת המבקש למתן תשובה לתשובת המשיבה מיום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21.11.2024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בקשת המבקש לפיצול דיונים והקדמת הדיון בבקשה להוספת ראיה חדשה מיום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1.12.2024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בקשה לתיקון תקלה בתיק מיום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1.12.2024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בקשה שניה לתיקון תקלה בתיק מיום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2.12.2024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תשובת המשיבה לבקשה לפיצול דיונים והקדמת מועד הדיון בבקשה להוספת ראיה חדשה מיום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5.12.2024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בקשת המבקש לקביעת דיון בבקשה להוספת ראיה חדשה מיום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6.12.2024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בקשת המבקש למתן החלטה וקביעת דיון דחוף מיום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12.12.2024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  <w:lang w:val="en-IL" w:eastAsia="en-IL"/>
              </w:rPr>
            </w:r>
          </w:p>
        </w:tc>
      </w:tr>
      <w:tr>
        <w:trPr/>
        <w:tc>
          <w:tcPr>
            <w:tcW w:w="2978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395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40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09"/>
      </w:tblGrid>
      <w:tr>
        <w:trPr/>
        <w:tc>
          <w:tcPr>
            <w:tcW w:w="8409" w:type="dxa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</w:rPr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2" w:name="PsakDin"/>
            <w:bookmarkEnd w:id="2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  <w:bookmarkStart w:id="3" w:name="PsakDin"/>
            <w:bookmarkStart w:id="4" w:name="PsakDin"/>
            <w:bookmarkEnd w:id="4"/>
          </w:p>
        </w:tc>
      </w:tr>
    </w:tbl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  <w:bookmarkStart w:id="5" w:name="NGCSBookmark"/>
      <w:bookmarkStart w:id="6" w:name="NGCSBookmark"/>
      <w:bookmarkEnd w:id="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לפניי</w:t>
      </w:r>
      <w:r>
        <w:rPr>
          <w:rFonts w:eastAsia="Arial TUR" w:cs="Arial TUR"/>
          <w:rtl w:val="true"/>
        </w:rPr>
        <w:t xml:space="preserve"> </w:t>
      </w:r>
      <w:bookmarkStart w:id="7" w:name="ABSTRACT_START"/>
      <w:bookmarkEnd w:id="7"/>
      <w:r>
        <w:rPr>
          <w:rtl w:val="true"/>
        </w:rPr>
        <w:t>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  <w:bookmarkStart w:id="8" w:name="ABSTRACT_END"/>
      <w:bookmarkEnd w:id="8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והוכרעו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18.3.2024</w:t>
      </w:r>
      <w:r>
        <w:rPr>
          <w:rtl w:val="true"/>
        </w:rPr>
        <w:t xml:space="preserve">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י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אלרון</w:t>
      </w:r>
      <w:r>
        <w:rPr>
          <w:rtl w:val="true"/>
        </w:rPr>
        <w:t xml:space="preserve">),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15.8.2024</w:t>
      </w:r>
      <w:r>
        <w:rPr>
          <w:rtl w:val="true"/>
        </w:rPr>
        <w:t xml:space="preserve">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הרשמת</w:t>
      </w:r>
      <w:r>
        <w:rPr>
          <w:rFonts w:eastAsia="Arial TUR" w:cs="Arial TUR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ל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משאלי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שלומאי</w:t>
      </w:r>
      <w:r>
        <w:rPr>
          <w:rtl w:val="true"/>
        </w:rPr>
        <w:t xml:space="preserve">)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/>
        <w:t>25.8.2024</w:t>
      </w:r>
      <w:r>
        <w:rPr>
          <w:rtl w:val="true"/>
        </w:rPr>
        <w:t xml:space="preserve">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ר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רונן</w:t>
      </w:r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11.12.2024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26.5.2025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י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אלרון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הרשמת</w:t>
      </w:r>
      <w:r>
        <w:rPr>
          <w:rFonts w:eastAsia="Arial TUR" w:cs="Arial TUR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ל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משאלי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שלומאי </w:t>
      </w:r>
      <w:r>
        <w:rPr>
          <w:rFonts w:ascii="FrankRuehl" w:hAnsi="FrankRuehl"/>
          <w:sz w:val="28"/>
          <w:sz w:val="28"/>
          <w:rtl w:val="true"/>
        </w:rPr>
        <w:t>ש</w:t>
      </w:r>
      <w:r>
        <w:rPr>
          <w:rFonts w:ascii="FrankRuehl" w:hAnsi="FrankRuehl"/>
          <w:sz w:val="28"/>
          <w:sz w:val="28"/>
          <w:rtl w:val="true"/>
        </w:rPr>
        <w:t>הבקשה להוספת ראיה חדשה תידון טרם הדיון בערעור עצמו ויש ליישם החלטות אלה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>כי הוא ממתין לדיון בערעור דנן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אשר נדחה שוב ושוב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פרק זמן ממושך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>וכי הוא עומד במבחנים הנדרשים להוספת ראיה חדשה במסגרת ערעור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"/>
        <w:ind w:start="720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  <w:tab/>
      </w:r>
    </w:p>
    <w:p>
      <w:pPr>
        <w:pStyle w:val="Ruller4"/>
        <w:ind w:end="0"/>
        <w:jc w:val="both"/>
        <w:rPr/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מהבקשות עולה כי המבקש מבקש גם להקדים את מועד הדיון בערעור לגופו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בעוד שבמרבית בקשותיו מותנה רצון זה בפיצול הדיונים ובהקדמת הדיון בבקשה להוספת ראיה חדשה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בבקש</w:t>
      </w:r>
      <w:r>
        <w:rPr>
          <w:rFonts w:ascii="FrankRuehl" w:hAnsi="FrankRuehl"/>
          <w:sz w:val="28"/>
          <w:sz w:val="28"/>
          <w:rtl w:val="true"/>
        </w:rPr>
        <w:t>ותיו</w:t>
      </w:r>
      <w:r>
        <w:rPr>
          <w:rFonts w:ascii="FrankRuehl" w:hAnsi="FrankRuehl"/>
          <w:sz w:val="28"/>
          <w:sz w:val="28"/>
          <w:rtl w:val="true"/>
        </w:rPr>
        <w:t xml:space="preserve"> מיום </w:t>
      </w:r>
      <w:r>
        <w:rPr>
          <w:rFonts w:cs="FrankRuehl" w:ascii="FrankRuehl" w:hAnsi="FrankRuehl"/>
          <w:sz w:val="28"/>
        </w:rPr>
        <w:t>6.12.2024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ומיום </w:t>
      </w:r>
      <w:r>
        <w:rPr>
          <w:rFonts w:cs="FrankRuehl" w:ascii="FrankRuehl" w:hAnsi="FrankRuehl"/>
          <w:sz w:val="28"/>
        </w:rPr>
        <w:t>12.12.2024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מתבקשת</w:t>
      </w:r>
      <w:r>
        <w:rPr>
          <w:rFonts w:ascii="FrankRuehl" w:hAnsi="FrankRuehl"/>
          <w:sz w:val="28"/>
          <w:sz w:val="28"/>
          <w:rtl w:val="true"/>
        </w:rPr>
        <w:t xml:space="preserve"> הקדמת הדיון בערעור לגופו</w:t>
      </w:r>
      <w:r>
        <w:rPr>
          <w:rFonts w:cs="FrankRuehl" w:ascii="FrankRuehl" w:hAnsi="FrankRuehl"/>
          <w:sz w:val="28"/>
          <w:rtl w:val="true"/>
        </w:rPr>
        <w:t>,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ללא הסייג האמור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לנוהג</w:t>
      </w:r>
      <w:r>
        <w:rPr>
          <w:rtl w:val="true"/>
        </w:rPr>
        <w:t xml:space="preserve">, </w:t>
      </w:r>
      <w:r>
        <w:rPr>
          <w:rtl w:val="true"/>
        </w:rPr>
        <w:t>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שייקבע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בהחלטתה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הרשמת</w:t>
      </w:r>
      <w:r>
        <w:rPr>
          <w:rFonts w:eastAsia="Arial TUR" w:cs="Arial TUR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ל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משאלי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שלומאי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15.8.2024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לסיכויי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החלטתה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הרשמת</w:t>
      </w:r>
      <w:r>
        <w:rPr>
          <w:rFonts w:eastAsia="Arial TUR" w:cs="Arial TUR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ל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משאלי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שלומאי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י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אלרון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18.3.2024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shd w:fill="FFFFFF" w:val="clear"/>
        <w:bidi w:val="1"/>
        <w:spacing w:lineRule="auto" w:line="360" w:before="0" w:after="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 נעלמו מעיניי טענות המבקש באשר למספר הדחיות של מועד הדיון בערעור והימשכות ההליכים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יצוין בהקשר זה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דחיית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מועד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הדיון מיום </w:t>
      </w:r>
      <w:r>
        <w:rPr>
          <w:rFonts w:cs="FrankRuehl" w:ascii="FrankRuehl" w:hAnsi="FrankRuehl"/>
          <w:sz w:val="28"/>
          <w:szCs w:val="28"/>
        </w:rPr>
        <w:t>1.4.2024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נעשתה לבקשת המבקש וחרף התנגדות המשיבה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החשיבות שהוא מייחס לקיום דיון בבקשה להוספת ראיה במועד מוקדם ככל האפשר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 לנהוג בבקשות מסוג 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כפי שנקבע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בהחלטות הקודמות שעסקו בנושא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הבקשה להוספת ראיה חדשה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תובא להכרעת ההרכב שידון בתיק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וזאת כמקובל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בסמוך למועד הדיון בערעור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Miriam" w:hAnsi="Miriam" w:cs="Miriam"/>
          <w:color w:val="000000"/>
          <w:spacing w:val="10"/>
          <w:sz w:val="24"/>
          <w:szCs w:val="24"/>
        </w:rPr>
      </w:pPr>
      <w:r>
        <w:rPr>
          <w:rFonts w:cs="Miriam" w:ascii="Miriam" w:hAnsi="Miriam"/>
          <w:color w:val="000000"/>
          <w:spacing w:val="10"/>
          <w:sz w:val="24"/>
          <w:szCs w:val="24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Miriam" w:ascii="Miriam" w:hAnsi="Miriam"/>
          <w:sz w:val="24"/>
          <w:szCs w:val="24"/>
          <w:rtl w:val="true"/>
        </w:rPr>
        <w:tab/>
      </w:r>
      <w:r>
        <w:rPr>
          <w:rFonts w:ascii="Miriam" w:hAnsi="Miriam" w:cs="Miriam"/>
          <w:sz w:val="24"/>
          <w:sz w:val="24"/>
          <w:szCs w:val="24"/>
          <w:rtl w:val="true"/>
        </w:rPr>
        <w:t>אשר לבקשה להקדמת מועד הדיון בערעור לגופו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בשים לב לנימוקי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 ה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בקשה ול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העדר התנגדות מטעם המשיבה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בכפוף להודעה מראש של שלושה שבועות על מועד הדיון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)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התיק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יועבר ליומן בית המשפט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 אשר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יעשה מאמץ להקדים את מועד הדיון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בכפוף לאילוציו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היומן</w:t>
      </w:r>
      <w:r>
        <w:rPr>
          <w:rtl w:val="true"/>
        </w:rPr>
        <w:t>.</w:t>
      </w:r>
    </w:p>
    <w:p>
      <w:pPr>
        <w:pStyle w:val="Normal"/>
        <w:spacing w:lineRule="auto" w:line="360"/>
        <w:ind w:start="85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bookmarkStart w:id="9" w:name="Nitan"/>
      <w:r>
        <w:rPr>
          <w:rFonts w:cs="FrankRuehl" w:ascii="FrankRuehl" w:hAnsi="FrankRuehl"/>
          <w:color w:val="FFFFFF"/>
          <w:spacing w:val="10"/>
          <w:sz w:val="28"/>
          <w:szCs w:val="28"/>
        </w:rPr>
        <w:t>5129371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ניתנה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ד כסלו תשפ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15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דצמבר </w:t>
      </w:r>
      <w:r>
        <w:rPr>
          <w:rFonts w:cs="FrankRuehl" w:ascii="FrankRuehl" w:hAnsi="FrankRuehl"/>
          <w:spacing w:val="10"/>
          <w:sz w:val="28"/>
          <w:szCs w:val="28"/>
        </w:rPr>
        <w:t>2024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bookmarkEnd w:id="9"/>
      <w:r>
        <w:rPr>
          <w:rFonts w:cs="FrankRuehl" w:ascii="FrankRuehl" w:hAnsi="FrankRuehl"/>
          <w:sz w:val="28"/>
          <w:szCs w:val="28"/>
          <w:rtl w:val="true"/>
        </w:rPr>
        <w:tab/>
        <w:tab/>
        <w:tab/>
        <w:tab/>
        <w:t xml:space="preserve">        </w:t>
      </w:r>
    </w:p>
    <w:tbl>
      <w:tblPr>
        <w:bidiVisual w:val="true"/>
        <w:tblW w:w="829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tabs>
                <w:tab w:val="clear" w:pos="720"/>
                <w:tab w:val="left" w:pos="2553" w:leader="none"/>
              </w:tabs>
              <w:ind w:end="0"/>
              <w:jc w:val="center"/>
              <w:rPr>
                <w:rFonts w:ascii="FrankRuehl" w:hAnsi="FrankRuehl" w:cs="FrankRuehl"/>
                <w:color w:val="FFFFFF"/>
                <w:sz w:val="2"/>
                <w:szCs w:val="2"/>
              </w:rPr>
            </w:pPr>
            <w:r>
              <w:rPr>
                <w:rFonts w:cs="FrankRuehl" w:ascii="FrankRuehl" w:hAnsi="FrankRuehl"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66" w:type="dxa"/>
            <w:tcBorders/>
          </w:tcPr>
          <w:p>
            <w:pPr>
              <w:pStyle w:val="Normal"/>
              <w:tabs>
                <w:tab w:val="clear" w:pos="720"/>
                <w:tab w:val="left" w:pos="2553" w:leader="none"/>
              </w:tabs>
              <w:snapToGrid w:val="false"/>
              <w:ind w:end="0"/>
              <w:jc w:val="center"/>
              <w:rPr>
                <w:rFonts w:ascii="FrankRuehl" w:hAnsi="FrankRuehl" w:cs="FrankRuehl"/>
                <w:color w:val="FFFFFF"/>
                <w:sz w:val="28"/>
                <w:szCs w:val="28"/>
              </w:rPr>
            </w:pPr>
            <w:r>
              <w:rPr>
                <w:rFonts w:cs="FrankRuehl" w:ascii="FrankRuehl" w:hAnsi="FrankRuehl"/>
                <w:color w:val="FFFFFF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sz w:val="28"/>
                <w:szCs w:val="28"/>
                <w:lang w:val="en-IL" w:eastAsia="en-IL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  <w:lang w:val="en-IL" w:eastAsia="en-IL"/>
              </w:rPr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  <w:lang w:val="en-IL" w:eastAsia="en-IL"/>
              </w:rPr>
            </w:pPr>
            <w:r>
              <w:rPr>
                <w:rFonts w:cs="Courier New" w:ascii="Courier New" w:hAnsi="Courier New"/>
                <w:rtl w:val="true"/>
                <w:lang w:val="en-IL" w:eastAsia="en-IL"/>
              </w:rPr>
              <w:drawing>
                <wp:anchor behindDoc="0" distT="0" distB="0" distL="114935" distR="114935" simplePos="0" locked="0" layoutInCell="1" allowOverlap="1" relativeHeight="5">
                  <wp:simplePos x="0" y="0"/>
                  <wp:positionH relativeFrom="column">
                    <wp:posOffset>3778885</wp:posOffset>
                  </wp:positionH>
                  <wp:positionV relativeFrom="paragraph">
                    <wp:posOffset>56515</wp:posOffset>
                  </wp:positionV>
                  <wp:extent cx="1519555" cy="457200"/>
                  <wp:effectExtent l="0" t="0" r="0" b="0"/>
                  <wp:wrapNone/>
                  <wp:docPr id="1" name="תמונה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5" t="-51" r="-15" b="-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955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מורן יהב</w:t>
            </w:r>
            <w:r>
              <w:rPr>
                <w:rFonts w:cs="FrankRuehl" w:ascii="FrankRuehl" w:hAnsi="FrankRuehl"/>
                <w:spacing w:val="10"/>
                <w:sz w:val="28"/>
                <w:szCs w:val="28"/>
                <w:rtl w:val="true"/>
              </w:rPr>
              <w:t xml:space="preserve">, </w:t>
            </w: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רשמת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553" w:leader="none"/>
              </w:tabs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מורן יהב </w:t>
      </w:r>
      <w:r>
        <w:rPr>
          <w:rFonts w:cs="David" w:ascii="David" w:hAnsi="David"/>
          <w:color w:val="000000"/>
          <w:sz w:val="22"/>
          <w:szCs w:val="22"/>
        </w:rPr>
        <w:t>54678313-3475/23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8"/>
          <w:u w:val="single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8"/>
          <w:u w:val="single"/>
        </w:rPr>
      </w:pPr>
      <w:r>
        <w:rPr>
          <w:rFonts w:cs="FrankRuehl" w:ascii="FrankRuehl" w:hAnsi="FrankRuehl"/>
          <w:color w:val="0000FF"/>
          <w:sz w:val="28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FrankRuehl" w:ascii="FrankRuehl" w:hAnsi="FrankRuehl"/>
        <w:color w:val="000000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2" name="Picture 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3475/23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ערן אזולאי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אסיר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eastAsia="Times New Roman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eaderChar">
    <w:name w:val="Header Char"/>
    <w:qFormat/>
    <w:rPr>
      <w:rFonts w:cs="David"/>
      <w:sz w:val="24"/>
      <w:szCs w:val="24"/>
    </w:rPr>
  </w:style>
  <w:style w:type="character" w:styleId="FooterChar">
    <w:name w:val="Footer Char"/>
    <w:qFormat/>
    <w:rPr>
      <w:rFonts w:cs="David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HTMLPreformattedChar">
    <w:name w:val="HTML Preformatted Char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SalutationChar">
    <w:name w:val="Salutation Char"/>
    <w:qFormat/>
    <w:rPr>
      <w:rFonts w:cs="David"/>
      <w:sz w:val="24"/>
      <w:szCs w:val="24"/>
    </w:rPr>
  </w:style>
  <w:style w:type="character" w:styleId="BodyTextChar">
    <w:name w:val="Body Text Char"/>
    <w:qFormat/>
    <w:rPr>
      <w:rFonts w:cs="David"/>
      <w:sz w:val="24"/>
      <w:szCs w:val="24"/>
    </w:rPr>
  </w:style>
  <w:style w:type="character" w:styleId="BodyText2Char">
    <w:name w:val="Body Text 2 Char"/>
    <w:qFormat/>
    <w:rPr>
      <w:rFonts w:cs="David"/>
      <w:sz w:val="24"/>
      <w:szCs w:val="24"/>
    </w:rPr>
  </w:style>
  <w:style w:type="character" w:styleId="BodyText3Char">
    <w:name w:val="Body Text 3 Char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SignatureChar">
    <w:name w:val="Signature Char"/>
    <w:qFormat/>
    <w:rPr>
      <w:rFonts w:cs="David"/>
      <w:sz w:val="24"/>
      <w:szCs w:val="24"/>
    </w:rPr>
  </w:style>
  <w:style w:type="character" w:styleId="E-mailSignatureChar">
    <w:name w:val="E-mail Signature Char"/>
    <w:qFormat/>
    <w:rPr>
      <w:rFonts w:cs="David"/>
      <w:sz w:val="24"/>
      <w:szCs w:val="24"/>
    </w:rPr>
  </w:style>
  <w:style w:type="character" w:styleId="EndnoteTextChar">
    <w:name w:val="Endnote Text Char"/>
    <w:qFormat/>
    <w:rPr>
      <w:rFonts w:cs="David"/>
    </w:rPr>
  </w:style>
  <w:style w:type="character" w:styleId="FootnoteTextChar">
    <w:name w:val="Footnote Text Char"/>
    <w:qFormat/>
    <w:rPr>
      <w:rFonts w:cs="David"/>
    </w:rPr>
  </w:style>
  <w:style w:type="character" w:styleId="MacroTextChar">
    <w:name w:val="Macro Text Char"/>
    <w:qFormat/>
    <w:rPr>
      <w:rFonts w:ascii="Consolas" w:hAnsi="Consolas" w:cs="David"/>
    </w:rPr>
  </w:style>
  <w:style w:type="character" w:styleId="PlainTextChar">
    <w:name w:val="Plain Text Char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Heading1Char">
    <w:name w:val="Heading 1 Char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Heading2Char">
    <w:name w:val="Heading 2 Char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Heading3Char">
    <w:name w:val="Heading 3 Char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Heading5Char">
    <w:name w:val="Heading 5 Char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Heading6Char">
    <w:name w:val="Heading 6 Char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Heading7Char">
    <w:name w:val="Heading 7 Char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Heading8Char">
    <w:name w:val="Heading 8 Char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Heading9Char">
    <w:name w:val="Heading 9 Char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NoteHeadingChar">
    <w:name w:val="Note Heading Char"/>
    <w:qFormat/>
    <w:rPr>
      <w:rFonts w:cs="David"/>
      <w:sz w:val="24"/>
      <w:szCs w:val="24"/>
    </w:rPr>
  </w:style>
  <w:style w:type="character" w:styleId="TitleChar">
    <w:name w:val="Title Char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SubtitleChar">
    <w:name w:val="Subtitle Char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MessageHeaderChar">
    <w:name w:val="Message Header Char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BodyTextIndentChar">
    <w:name w:val="Body Text Indent Char"/>
    <w:qFormat/>
    <w:rPr>
      <w:rFonts w:cs="David"/>
      <w:sz w:val="24"/>
      <w:szCs w:val="24"/>
    </w:rPr>
  </w:style>
  <w:style w:type="character" w:styleId="BodyTextIndent2Char">
    <w:name w:val="Body Text Indent 2 Char"/>
    <w:qFormat/>
    <w:rPr>
      <w:rFonts w:cs="David"/>
      <w:sz w:val="24"/>
      <w:szCs w:val="24"/>
    </w:rPr>
  </w:style>
  <w:style w:type="character" w:styleId="BodyTextIndent3Char">
    <w:name w:val="Body Text Indent 3 Char"/>
    <w:qFormat/>
    <w:rPr>
      <w:rFonts w:cs="David"/>
      <w:sz w:val="16"/>
      <w:szCs w:val="16"/>
    </w:rPr>
  </w:style>
  <w:style w:type="character" w:styleId="BodyTextFirstIndentChar">
    <w:name w:val="Body Text First Indent Char"/>
    <w:qFormat/>
    <w:rPr>
      <w:rFonts w:cs="David"/>
      <w:sz w:val="24"/>
      <w:szCs w:val="24"/>
    </w:rPr>
  </w:style>
  <w:style w:type="character" w:styleId="BodyTextFirstIndent2Char">
    <w:name w:val="Body Text First Indent 2 Char"/>
    <w:qFormat/>
    <w:rPr>
      <w:rFonts w:cs="David"/>
      <w:sz w:val="24"/>
      <w:szCs w:val="24"/>
    </w:rPr>
  </w:style>
  <w:style w:type="character" w:styleId="HTMLAddressChar">
    <w:name w:val="HTML Address Char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ommentTextChar">
    <w:name w:val="Comment Text Char"/>
    <w:qFormat/>
    <w:rPr>
      <w:sz w:val="24"/>
      <w:szCs w:val="24"/>
    </w:rPr>
  </w:style>
  <w:style w:type="character" w:styleId="CommentSubjectChar">
    <w:name w:val="Comment Subject Char"/>
    <w:qFormat/>
    <w:rPr>
      <w:rFonts w:cs="David"/>
      <w:b/>
      <w:bCs/>
      <w:sz w:val="24"/>
      <w:szCs w:val="24"/>
    </w:rPr>
  </w:style>
  <w:style w:type="character" w:styleId="ClosingChar">
    <w:name w:val="Closing Char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DateChar">
    <w:name w:val="Date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41">
    <w:name w:val="ruller41"/>
    <w:basedOn w:val="Normal"/>
    <w:qFormat/>
    <w:pPr>
      <w:bidi w:val="0"/>
      <w:spacing w:before="280" w:after="280"/>
    </w:pPr>
    <w:rPr>
      <w:rFonts w:cs="Times New Roman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2024-12-16T08:56:00Z</dcterms:created>
  <dc:creator> </dc:creator>
  <dc:description/>
  <cp:keywords/>
  <dc:language>en-IL</dc:language>
  <cp:lastModifiedBy>h1</cp:lastModifiedBy>
  <dcterms:modified xsi:type="dcterms:W3CDTF">2024-12-16T08:56:00Z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ערן אזולאי (אסיר)</vt:lpwstr>
  </property>
  <property fmtid="{D5CDD505-2E9C-101B-9397-08002B2CF9AE}" pid="3" name="APPELLEE">
    <vt:lpwstr>מדינת ישראל;פלוני</vt:lpwstr>
  </property>
  <property fmtid="{D5CDD505-2E9C-101B-9397-08002B2CF9AE}" pid="4" name="DATE">
    <vt:lpwstr>20241215</vt:lpwstr>
  </property>
  <property fmtid="{D5CDD505-2E9C-101B-9397-08002B2CF9AE}" pid="5" name="ISABSTRACT">
    <vt:lpwstr>Y</vt:lpwstr>
  </property>
  <property fmtid="{D5CDD505-2E9C-101B-9397-08002B2CF9AE}" pid="6" name="JUDGE">
    <vt:lpwstr>מורן יהב</vt:lpwstr>
  </property>
  <property fmtid="{D5CDD505-2E9C-101B-9397-08002B2CF9AE}" pid="7" name="PROCESS">
    <vt:lpwstr>עפ</vt:lpwstr>
  </property>
  <property fmtid="{D5CDD505-2E9C-101B-9397-08002B2CF9AE}" pid="8" name="PROCNUM">
    <vt:lpwstr>3475</vt:lpwstr>
  </property>
  <property fmtid="{D5CDD505-2E9C-101B-9397-08002B2CF9AE}" pid="9" name="PROCYEAR">
    <vt:lpwstr>23</vt:lpwstr>
  </property>
  <property fmtid="{D5CDD505-2E9C-101B-9397-08002B2CF9AE}" pid="10" name="PSAKDIN">
    <vt:lpwstr>החלטה</vt:lpwstr>
  </property>
  <property fmtid="{D5CDD505-2E9C-101B-9397-08002B2CF9AE}" pid="11" name="TYPE">
    <vt:lpwstr>1</vt:lpwstr>
  </property>
  <property fmtid="{D5CDD505-2E9C-101B-9397-08002B2CF9AE}" pid="12" name="TYPE_ABS_DATE">
    <vt:lpwstr>410020241215</vt:lpwstr>
  </property>
  <property fmtid="{D5CDD505-2E9C-101B-9397-08002B2CF9AE}" pid="13" name="TYPE_N_DATE">
    <vt:lpwstr>41020241215</vt:lpwstr>
  </property>
  <property fmtid="{D5CDD505-2E9C-101B-9397-08002B2CF9AE}" pid="14" name="WORDNUMPAGES">
    <vt:lpwstr>3</vt:lpwstr>
  </property>
</Properties>
</file>