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3510/16</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עמאר</w:t>
            </w:r>
            <w:r>
              <w:rPr>
                <w:rFonts w:cs="Times New Roman"/>
                <w:rtl w:val="true"/>
              </w:rPr>
              <w:t xml:space="preserve"> </w:t>
            </w:r>
            <w:r>
              <w:rPr>
                <w:rtl w:val="true"/>
              </w:rPr>
              <w:t>אבו</w:t>
            </w:r>
            <w:r>
              <w:rPr>
                <w:rFonts w:cs="Times New Roman"/>
                <w:rtl w:val="true"/>
              </w:rPr>
              <w:t xml:space="preserve"> </w:t>
            </w:r>
            <w:r>
              <w:rPr>
                <w:rtl w:val="true"/>
              </w:rPr>
              <w:t>דקה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משפחת</w:t>
            </w:r>
            <w:r>
              <w:rPr>
                <w:rFonts w:cs="Times New Roman"/>
                <w:rtl w:val="true"/>
              </w:rPr>
              <w:t xml:space="preserve"> </w:t>
            </w:r>
            <w:r>
              <w:rPr>
                <w:rtl w:val="true"/>
              </w:rPr>
              <w:t>המנוח</w:t>
            </w:r>
            <w:r>
              <w:rPr>
                <w:rFonts w:cs="Times New Roman"/>
                <w:rtl w:val="true"/>
              </w:rPr>
              <w:t xml:space="preserve"> </w:t>
            </w:r>
            <w:r>
              <w:rPr>
                <w:rtl w:val="true"/>
              </w:rPr>
              <w:t>י</w:t>
            </w:r>
            <w:r>
              <w:rPr>
                <w:rtl w:val="true"/>
              </w:rPr>
              <w:t>"</w:t>
            </w:r>
            <w:r>
              <w:rPr>
                <w:rtl w:val="true"/>
              </w:rPr>
              <w:t>א</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Cs w:val="24"/>
                <w:rtl w:val="true"/>
              </w:rPr>
              <w:t>(</w:t>
            </w:r>
            <w:r>
              <w:rPr>
                <w:sz w:val="24"/>
                <w:sz w:val="24"/>
                <w:szCs w:val="24"/>
                <w:rtl w:val="true"/>
              </w:rPr>
              <w:t>מיום</w:t>
            </w:r>
            <w:r>
              <w:rPr>
                <w:rFonts w:cs="Times New Roman"/>
                <w:sz w:val="24"/>
                <w:sz w:val="24"/>
                <w:szCs w:val="24"/>
                <w:rtl w:val="true"/>
              </w:rPr>
              <w:t xml:space="preserve"> </w:t>
            </w:r>
            <w:r>
              <w:rPr>
                <w:sz w:val="24"/>
                <w:szCs w:val="24"/>
              </w:rPr>
              <w:t>3.3.2016</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Cs w:val="24"/>
                <w:rtl w:val="true"/>
              </w:rPr>
              <w:t>(</w:t>
            </w:r>
            <w:r>
              <w:rPr>
                <w:sz w:val="24"/>
                <w:sz w:val="24"/>
                <w:szCs w:val="24"/>
                <w:rtl w:val="true"/>
              </w:rPr>
              <w:t>מיום</w:t>
            </w:r>
            <w:r>
              <w:rPr>
                <w:rFonts w:cs="Times New Roman"/>
                <w:sz w:val="24"/>
                <w:sz w:val="24"/>
                <w:szCs w:val="24"/>
                <w:rtl w:val="true"/>
              </w:rPr>
              <w:t xml:space="preserve"> </w:t>
            </w:r>
            <w:r>
              <w:rPr>
                <w:sz w:val="24"/>
                <w:szCs w:val="24"/>
              </w:rPr>
              <w:t>15.3.2016</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6174-08-13</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
                <w:sz w:val="24"/>
                <w:sz w:val="24"/>
                <w:szCs w:val="24"/>
                <w:rtl w:val="true"/>
              </w:rPr>
              <w:t xml:space="preserve"> </w:t>
            </w:r>
            <w:r>
              <w:rPr>
                <w:sz w:val="24"/>
                <w:sz w:val="24"/>
                <w:szCs w:val="24"/>
                <w:rtl w:val="true"/>
              </w:rPr>
              <w:t>מנחם</w:t>
            </w:r>
            <w:r>
              <w:rPr>
                <w:rFonts w:cs="Times New Roman"/>
                <w:sz w:val="24"/>
                <w:sz w:val="24"/>
                <w:szCs w:val="24"/>
                <w:rtl w:val="true"/>
              </w:rPr>
              <w:t xml:space="preserve"> </w:t>
            </w:r>
            <w:r>
              <w:rPr>
                <w:sz w:val="24"/>
                <w:sz w:val="24"/>
                <w:szCs w:val="24"/>
                <w:rtl w:val="true"/>
              </w:rPr>
              <w:t>פינקלשטיין</w:t>
            </w:r>
            <w:r>
              <w:rPr>
                <w:rFonts w:cs="Times New Roman"/>
                <w:sz w:val="24"/>
                <w:sz w:val="24"/>
                <w:szCs w:val="24"/>
                <w:rtl w:val="true"/>
              </w:rPr>
              <w:t xml:space="preserve"> </w:t>
            </w:r>
            <w:r>
              <w:rPr>
                <w:sz w:val="24"/>
                <w:sz w:val="24"/>
                <w:szCs w:val="24"/>
                <w:rtl w:val="true"/>
              </w:rPr>
              <w:t>וכב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ליאורה</w:t>
            </w:r>
            <w:r>
              <w:rPr>
                <w:rFonts w:cs="Times New Roman"/>
                <w:sz w:val="24"/>
                <w:sz w:val="24"/>
                <w:szCs w:val="24"/>
                <w:rtl w:val="true"/>
              </w:rPr>
              <w:t xml:space="preserve"> </w:t>
            </w:r>
            <w:r>
              <w:rPr>
                <w:sz w:val="24"/>
                <w:sz w:val="24"/>
                <w:szCs w:val="24"/>
                <w:rtl w:val="true"/>
              </w:rPr>
              <w:t>ברודי</w:t>
            </w:r>
            <w:r>
              <w:rPr>
                <w:rFonts w:cs="Times New Roman"/>
                <w:sz w:val="24"/>
                <w:sz w:val="24"/>
                <w:szCs w:val="24"/>
                <w:rtl w:val="true"/>
              </w:rPr>
              <w:t xml:space="preserve"> </w:t>
            </w:r>
            <w:r>
              <w:rPr>
                <w:sz w:val="24"/>
                <w:sz w:val="24"/>
                <w:szCs w:val="24"/>
                <w:rtl w:val="true"/>
              </w:rPr>
              <w:t>ורמי</w:t>
            </w:r>
            <w:r>
              <w:rPr>
                <w:rFonts w:cs="Times New Roman"/>
                <w:sz w:val="24"/>
                <w:sz w:val="24"/>
                <w:szCs w:val="24"/>
                <w:rtl w:val="true"/>
              </w:rPr>
              <w:t xml:space="preserve"> </w:t>
            </w:r>
            <w:r>
              <w:rPr>
                <w:sz w:val="24"/>
                <w:sz w:val="24"/>
                <w:szCs w:val="24"/>
                <w:rtl w:val="true"/>
              </w:rPr>
              <w:t>אמיר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707"/>
        <w:gridCol w:w="426"/>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707" w:type="dxa"/>
            <w:tcBorders/>
          </w:tcPr>
          <w:p>
            <w:pPr>
              <w:pStyle w:val="BodyRuller1"/>
              <w:ind w:end="0"/>
              <w:jc w:val="start"/>
              <w:rPr/>
            </w:pPr>
            <w:r>
              <w:rPr>
                <w:sz w:val="24"/>
                <w:sz w:val="24"/>
                <w:szCs w:val="24"/>
                <w:rtl w:val="true"/>
              </w:rPr>
              <w:t>א</w:t>
            </w:r>
            <w:r>
              <w:rPr>
                <w:sz w:val="24"/>
                <w:szCs w:val="24"/>
                <w:rtl w:val="true"/>
              </w:rPr>
              <w:t xml:space="preserve">' </w:t>
            </w:r>
            <w:r>
              <w:rPr>
                <w:sz w:val="24"/>
                <w:sz w:val="24"/>
                <w:szCs w:val="24"/>
                <w:rtl w:val="true"/>
              </w:rPr>
              <w:t>בחשון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sz w:val="24"/>
                <w:sz w:val="24"/>
                <w:szCs w:val="24"/>
                <w:rtl w:val="true"/>
              </w:rPr>
              <w:t xml:space="preserve"> </w:t>
            </w:r>
            <w:r>
              <w:rPr>
                <w:sz w:val="24"/>
                <w:szCs w:val="24"/>
                <w:rtl w:val="true"/>
              </w:rPr>
              <w:t>(</w:t>
            </w:r>
            <w:r>
              <w:rPr>
                <w:sz w:val="24"/>
                <w:szCs w:val="24"/>
              </w:rPr>
              <w:t>10.10.</w:t>
            </w:r>
            <w:r>
              <w:rPr>
                <w:sz w:val="24"/>
                <w:szCs w:val="24"/>
              </w:rPr>
              <w:t>2018</w:t>
            </w:r>
            <w:r>
              <w:rPr>
                <w:sz w:val="24"/>
                <w:szCs w:val="24"/>
                <w:rtl w:val="true"/>
              </w:rPr>
              <w:t>)</w:t>
            </w:r>
          </w:p>
        </w:tc>
        <w:tc>
          <w:tcPr>
            <w:tcW w:w="426"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3"/>
        <w:gridCol w:w="2"/>
        <w:gridCol w:w="5148"/>
      </w:tblGrid>
      <w:tr>
        <w:trPr/>
        <w:tc>
          <w:tcPr>
            <w:tcW w:w="27" w:type="dxa"/>
            <w:tcBorders/>
          </w:tcPr>
          <w:p>
            <w:pPr>
              <w:pStyle w:val="TableHeading"/>
              <w:rPr/>
            </w:pPr>
            <w:r>
              <w:rPr>
                <w:rtl w:val="true"/>
              </w:rPr>
            </w:r>
          </w:p>
        </w:tc>
        <w:tc>
          <w:tcPr>
            <w:tcW w:w="3215" w:type="dxa"/>
            <w:gridSpan w:val="2"/>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אלעד</w:t>
            </w:r>
            <w:r>
              <w:rPr>
                <w:rFonts w:cs="Times New Roman"/>
                <w:rtl w:val="true"/>
              </w:rPr>
              <w:t xml:space="preserve"> </w:t>
            </w:r>
            <w:r>
              <w:rPr>
                <w:rtl w:val="true"/>
              </w:rPr>
              <w:t>רט</w:t>
            </w:r>
          </w:p>
          <w:p>
            <w:pPr>
              <w:pStyle w:val="BodyRuller1"/>
              <w:ind w:end="0"/>
              <w:jc w:val="start"/>
              <w:rPr>
                <w:sz w:val="10"/>
                <w:szCs w:val="16"/>
              </w:rPr>
            </w:pPr>
            <w:r>
              <w:rPr>
                <w:sz w:val="10"/>
                <w:szCs w:val="16"/>
                <w:rtl w:val="true"/>
              </w:rPr>
            </w:r>
          </w:p>
        </w:tc>
      </w:tr>
      <w:tr>
        <w:trPr/>
        <w:tc>
          <w:tcPr>
            <w:tcW w:w="27" w:type="dxa"/>
            <w:tcBorders/>
          </w:tcPr>
          <w:p>
            <w:pPr>
              <w:pStyle w:val="Normal"/>
              <w:rPr>
                <w:sz w:val="10"/>
                <w:szCs w:val="16"/>
              </w:rPr>
            </w:pPr>
            <w:r>
              <w:rPr>
                <w:sz w:val="10"/>
                <w:szCs w:val="16"/>
                <w:rtl w:val="true"/>
              </w:rPr>
            </w:r>
          </w:p>
        </w:tc>
        <w:tc>
          <w:tcPr>
            <w:tcW w:w="3213" w:type="dxa"/>
            <w:tcBorders/>
            <w:tcMar>
              <w:start w:w="108" w:type="dxa"/>
              <w:end w:w="108" w:type="dxa"/>
            </w:tcMar>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p>
            <w:pPr>
              <w:pStyle w:val="BodyRuller1"/>
              <w:ind w:end="0"/>
              <w:jc w:val="start"/>
              <w:rPr>
                <w:sz w:val="10"/>
                <w:szCs w:val="16"/>
              </w:rPr>
            </w:pPr>
            <w:r>
              <w:rPr>
                <w:sz w:val="10"/>
                <w:szCs w:val="16"/>
                <w:rtl w:val="true"/>
              </w:rPr>
            </w:r>
          </w:p>
          <w:p>
            <w:pPr>
              <w:pStyle w:val="BodyRuller1"/>
              <w:ind w:end="0"/>
              <w:jc w:val="start"/>
              <w:rPr>
                <w:sz w:val="10"/>
                <w:szCs w:val="16"/>
              </w:rPr>
            </w:pPr>
            <w:r>
              <w:rPr>
                <w:sz w:val="10"/>
                <w:szCs w:val="16"/>
                <w:rtl w:val="true"/>
              </w:rPr>
            </w:r>
          </w:p>
          <w:p>
            <w:pPr>
              <w:pStyle w:val="BodyRuller1"/>
              <w:ind w:end="0"/>
              <w:jc w:val="start"/>
              <w:rPr/>
            </w:pPr>
            <w:r>
              <w:rPr>
                <w:rtl w:val="true"/>
              </w:rPr>
              <w:t>בשם</w:t>
            </w:r>
            <w:r>
              <w:rPr>
                <w:rFonts w:cs="Times New Roman"/>
                <w:rtl w:val="true"/>
              </w:rPr>
              <w:t xml:space="preserve"> </w:t>
            </w:r>
            <w:r>
              <w:rPr>
                <w:rtl w:val="true"/>
              </w:rPr>
              <w:t>המשיבה</w:t>
            </w:r>
            <w:r>
              <w:rPr>
                <w:rFonts w:cs="Times New Roman"/>
                <w:rtl w:val="true"/>
              </w:rPr>
              <w:t xml:space="preserve"> </w:t>
            </w:r>
            <w:r>
              <w:rPr/>
              <w:t>2</w:t>
            </w:r>
            <w:r>
              <w:rPr>
                <w:rtl w:val="true"/>
              </w:rPr>
              <w:t>:</w:t>
            </w:r>
          </w:p>
        </w:tc>
        <w:tc>
          <w:tcPr>
            <w:tcW w:w="5150" w:type="dxa"/>
            <w:gridSpan w:val="2"/>
            <w:tcBorders/>
            <w:tcMar>
              <w:start w:w="108" w:type="dxa"/>
              <w:end w:w="108" w:type="dxa"/>
            </w:tcMar>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אופיר</w:t>
            </w:r>
            <w:r>
              <w:rPr>
                <w:rFonts w:cs="Times New Roman"/>
                <w:sz w:val="28"/>
                <w:sz w:val="28"/>
                <w:rtl w:val="true"/>
              </w:rPr>
              <w:t xml:space="preserve"> </w:t>
            </w:r>
            <w:r>
              <w:rPr>
                <w:sz w:val="28"/>
                <w:sz w:val="28"/>
                <w:rtl w:val="true"/>
              </w:rPr>
              <w:t>טישלר</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עודד</w:t>
            </w:r>
            <w:r>
              <w:rPr>
                <w:rFonts w:cs="Times New Roman"/>
                <w:sz w:val="28"/>
                <w:sz w:val="28"/>
                <w:rtl w:val="true"/>
              </w:rPr>
              <w:t xml:space="preserve"> </w:t>
            </w:r>
            <w:r>
              <w:rPr>
                <w:sz w:val="28"/>
                <w:sz w:val="28"/>
                <w:rtl w:val="true"/>
              </w:rPr>
              <w:t>קלר</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יעל</w:t>
            </w:r>
            <w:r>
              <w:rPr>
                <w:rFonts w:cs="Times New Roman"/>
                <w:sz w:val="28"/>
                <w:sz w:val="28"/>
                <w:rtl w:val="true"/>
              </w:rPr>
              <w:t xml:space="preserve"> </w:t>
            </w:r>
            <w:r>
              <w:rPr>
                <w:sz w:val="28"/>
                <w:sz w:val="28"/>
                <w:rtl w:val="true"/>
              </w:rPr>
              <w:t>בן</w:t>
            </w:r>
            <w:r>
              <w:rPr>
                <w:rFonts w:cs="Times New Roman"/>
                <w:sz w:val="28"/>
                <w:sz w:val="28"/>
                <w:rtl w:val="true"/>
              </w:rPr>
              <w:t xml:space="preserve"> </w:t>
            </w:r>
            <w:r>
              <w:rPr>
                <w:sz w:val="28"/>
                <w:sz w:val="28"/>
                <w:rtl w:val="true"/>
              </w:rPr>
              <w:t>שמואל</w:t>
            </w:r>
            <w:r>
              <w:rPr>
                <w:sz w:val="28"/>
                <w:rtl w:val="true"/>
              </w:rPr>
              <w:tab/>
            </w:r>
          </w:p>
          <w:p>
            <w:pPr>
              <w:pStyle w:val="BodyRuller1"/>
              <w:ind w:end="0"/>
              <w:jc w:val="start"/>
              <w:rPr>
                <w:sz w:val="16"/>
                <w:szCs w:val="16"/>
              </w:rPr>
            </w:pPr>
            <w:r>
              <w:rPr>
                <w:sz w:val="16"/>
                <w:szCs w:val="16"/>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רותי</w:t>
            </w:r>
            <w:r>
              <w:rPr>
                <w:rFonts w:cs="Times New Roman"/>
                <w:rtl w:val="true"/>
              </w:rPr>
              <w:t xml:space="preserve"> </w:t>
            </w:r>
            <w:r>
              <w:rPr>
                <w:rtl w:val="true"/>
              </w:rPr>
              <w:t>אלדר</w:t>
            </w:r>
          </w:p>
        </w:tc>
      </w:tr>
    </w:tbl>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bookmarkStart w:id="5" w:name="LawTable"/>
      <w:bookmarkStart w:id="6" w:name="BeginProtocol"/>
      <w:bookmarkStart w:id="7" w:name="secretary"/>
      <w:bookmarkStart w:id="8" w:name="LawTable"/>
      <w:bookmarkStart w:id="9" w:name="BeginProtocol"/>
      <w:bookmarkStart w:id="10" w:name="secretary"/>
      <w:bookmarkEnd w:id="8"/>
      <w:bookmarkEnd w:id="9"/>
      <w:bookmarkEnd w:id="10"/>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ascii="FrankRuehl" w:hAnsi="FrankRuehl" w:cs="FrankRuehl"/>
          <w:bCs w:val="false"/>
          <w:spacing w:val="0"/>
          <w:sz w:val="24"/>
          <w:sz w:val="24"/>
          <w:szCs w:val="24"/>
          <w:u w:val="none"/>
          <w:rtl w:val="true"/>
        </w:rPr>
        <w:t>חקיקה שאוזכרה</w:t>
      </w:r>
      <w:r>
        <w:rPr>
          <w:rFonts w:cs="FrankRuehl" w:ascii="FrankRuehl" w:hAnsi="FrankRuehl"/>
          <w:bCs w:val="false"/>
          <w:spacing w:val="0"/>
          <w:sz w:val="24"/>
          <w:szCs w:val="24"/>
          <w:u w:val="none"/>
          <w:rtl w:val="true"/>
        </w:rPr>
        <w:t xml:space="preserve">: </w:t>
      </w:r>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3">
        <w:r>
          <w:rPr>
            <w:rStyle w:val="Hyperlink"/>
            <w:rFonts w:ascii="FrankRuehl" w:hAnsi="FrankRuehl" w:cs="FrankRuehl"/>
            <w:bCs w:val="false"/>
            <w:color w:val="0000FF"/>
            <w:spacing w:val="0"/>
            <w:sz w:val="24"/>
            <w:sz w:val="24"/>
            <w:szCs w:val="24"/>
            <w:rtl w:val="true"/>
          </w:rPr>
          <w:t>חוק העונשין</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תשל</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ז</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1977</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4">
        <w:r>
          <w:rPr>
            <w:rStyle w:val="Hyperlink"/>
            <w:rFonts w:cs="FrankRuehl" w:ascii="FrankRuehl" w:hAnsi="FrankRuehl"/>
            <w:bCs w:val="false"/>
            <w:color w:val="0000FF"/>
            <w:spacing w:val="0"/>
            <w:sz w:val="24"/>
            <w:szCs w:val="24"/>
          </w:rPr>
          <w:t>5</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5">
        <w:r>
          <w:rPr>
            <w:rStyle w:val="Hyperlink"/>
            <w:rFonts w:cs="FrankRuehl" w:ascii="FrankRuehl" w:hAnsi="FrankRuehl"/>
            <w:bCs w:val="false"/>
            <w:color w:val="0000FF"/>
            <w:spacing w:val="0"/>
            <w:sz w:val="24"/>
            <w:szCs w:val="24"/>
          </w:rPr>
          <w:t>20</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6">
        <w:r>
          <w:rPr>
            <w:rStyle w:val="Hyperlink"/>
            <w:rFonts w:cs="FrankRuehl" w:ascii="FrankRuehl" w:hAnsi="FrankRuehl"/>
            <w:bCs w:val="false"/>
            <w:color w:val="0000FF"/>
            <w:spacing w:val="0"/>
            <w:sz w:val="24"/>
            <w:szCs w:val="24"/>
          </w:rPr>
          <w:t>25</w:t>
        </w:r>
      </w:hyperlink>
      <w:r>
        <w:rPr>
          <w:rFonts w:cs="FrankRuehl" w:ascii="FrankRuehl" w:hAnsi="FrankRuehl"/>
          <w:bCs w:val="false"/>
          <w:spacing w:val="0"/>
          <w:sz w:val="24"/>
          <w:szCs w:val="24"/>
          <w:u w:val="none"/>
          <w:rtl w:val="true"/>
        </w:rPr>
        <w:t xml:space="preserve">, </w:t>
      </w:r>
      <w:hyperlink r:id="rId7">
        <w:r>
          <w:rPr>
            <w:rStyle w:val="Hyperlink"/>
            <w:rFonts w:cs="FrankRuehl" w:ascii="FrankRuehl" w:hAnsi="FrankRuehl"/>
            <w:bCs w:val="false"/>
            <w:color w:val="0000FF"/>
            <w:spacing w:val="0"/>
            <w:sz w:val="24"/>
            <w:szCs w:val="24"/>
          </w:rPr>
          <w:t>77</w:t>
        </w:r>
      </w:hyperlink>
      <w:r>
        <w:rPr>
          <w:rFonts w:cs="FrankRuehl" w:ascii="FrankRuehl" w:hAnsi="FrankRuehl"/>
          <w:bCs w:val="false"/>
          <w:spacing w:val="0"/>
          <w:sz w:val="24"/>
          <w:szCs w:val="24"/>
          <w:u w:val="none"/>
          <w:rtl w:val="true"/>
        </w:rPr>
        <w:t xml:space="preserve">, </w:t>
      </w:r>
      <w:hyperlink r:id="rId8">
        <w:r>
          <w:rPr>
            <w:rStyle w:val="Hyperlink"/>
            <w:rFonts w:cs="FrankRuehl" w:ascii="FrankRuehl" w:hAnsi="FrankRuehl"/>
            <w:bCs w:val="false"/>
            <w:color w:val="0000FF"/>
            <w:spacing w:val="0"/>
            <w:sz w:val="24"/>
            <w:szCs w:val="24"/>
          </w:rPr>
          <w:t>298</w:t>
        </w:r>
      </w:hyperlink>
      <w:r>
        <w:rPr>
          <w:rFonts w:cs="FrankRuehl" w:ascii="FrankRuehl" w:hAnsi="FrankRuehl"/>
          <w:bCs w:val="false"/>
          <w:spacing w:val="0"/>
          <w:sz w:val="24"/>
          <w:szCs w:val="24"/>
          <w:u w:val="none"/>
          <w:rtl w:val="true"/>
        </w:rPr>
        <w:t xml:space="preserve">, </w:t>
      </w:r>
      <w:hyperlink r:id="rId9">
        <w:r>
          <w:rPr>
            <w:rStyle w:val="Hyperlink"/>
            <w:rFonts w:cs="FrankRuehl" w:ascii="FrankRuehl" w:hAnsi="FrankRuehl"/>
            <w:bCs w:val="false"/>
            <w:color w:val="0000FF"/>
            <w:spacing w:val="0"/>
            <w:sz w:val="24"/>
            <w:szCs w:val="24"/>
          </w:rPr>
          <w:t>300</w:t>
        </w:r>
      </w:hyperlink>
      <w:r>
        <w:rPr>
          <w:rFonts w:cs="FrankRuehl" w:ascii="FrankRuehl" w:hAnsi="FrankRuehl"/>
          <w:bCs w:val="false"/>
          <w:spacing w:val="0"/>
          <w:sz w:val="24"/>
          <w:szCs w:val="24"/>
          <w:u w:val="none"/>
          <w:rtl w:val="true"/>
        </w:rPr>
        <w:t xml:space="preserve">, </w:t>
      </w:r>
      <w:hyperlink r:id="rId10">
        <w:r>
          <w:rPr>
            <w:rStyle w:val="Hyperlink"/>
            <w:rFonts w:cs="FrankRuehl" w:ascii="FrankRuehl" w:hAnsi="FrankRuehl"/>
            <w:bCs w:val="false"/>
            <w:color w:val="0000FF"/>
            <w:spacing w:val="0"/>
            <w:sz w:val="24"/>
            <w:szCs w:val="24"/>
          </w:rPr>
          <w:t>300</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3</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11">
        <w:r>
          <w:rPr>
            <w:rStyle w:val="Hyperlink"/>
            <w:rFonts w:cs="FrankRuehl" w:ascii="FrankRuehl" w:hAnsi="FrankRuehl"/>
            <w:bCs w:val="false"/>
            <w:color w:val="0000FF"/>
            <w:spacing w:val="0"/>
            <w:sz w:val="24"/>
            <w:szCs w:val="24"/>
          </w:rPr>
          <w:t>300</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4</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12">
        <w:r>
          <w:rPr>
            <w:rStyle w:val="Hyperlink"/>
            <w:rFonts w:cs="FrankRuehl" w:ascii="FrankRuehl" w:hAnsi="FrankRuehl"/>
            <w:bCs w:val="false"/>
            <w:color w:val="0000FF"/>
            <w:spacing w:val="0"/>
            <w:sz w:val="24"/>
            <w:szCs w:val="24"/>
          </w:rPr>
          <w:t>301</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2</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13">
        <w:r>
          <w:rPr>
            <w:rStyle w:val="Hyperlink"/>
            <w:rFonts w:cs="FrankRuehl" w:ascii="FrankRuehl" w:hAnsi="FrankRuehl"/>
            <w:bCs w:val="false"/>
            <w:color w:val="0000FF"/>
            <w:spacing w:val="0"/>
            <w:sz w:val="24"/>
            <w:szCs w:val="24"/>
          </w:rPr>
          <w:t>406</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14">
        <w:r>
          <w:rPr>
            <w:rStyle w:val="Hyperlink"/>
            <w:rFonts w:cs="FrankRuehl" w:ascii="FrankRuehl" w:hAnsi="FrankRuehl"/>
            <w:bCs w:val="false"/>
            <w:color w:val="0000FF"/>
            <w:spacing w:val="0"/>
            <w:sz w:val="24"/>
            <w:szCs w:val="24"/>
          </w:rPr>
          <w:t>499</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w:t>
        </w:r>
        <w:r>
          <w:rPr>
            <w:rStyle w:val="Hyperlink"/>
            <w:rFonts w:cs="FrankRuehl" w:ascii="FrankRuehl" w:hAnsi="FrankRuehl"/>
            <w:bCs w:val="false"/>
            <w:color w:val="0000FF"/>
            <w:spacing w:val="0"/>
            <w:sz w:val="24"/>
            <w:szCs w:val="24"/>
            <w:rtl w:val="true"/>
          </w:rPr>
          <w:t>)</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15">
        <w:r>
          <w:rPr>
            <w:rStyle w:val="Hyperlink"/>
            <w:rFonts w:ascii="FrankRuehl" w:hAnsi="FrankRuehl" w:cs="FrankRuehl"/>
            <w:bCs w:val="false"/>
            <w:color w:val="0000FF"/>
            <w:spacing w:val="0"/>
            <w:sz w:val="24"/>
            <w:sz w:val="24"/>
            <w:szCs w:val="24"/>
            <w:rtl w:val="true"/>
          </w:rPr>
          <w:t>חוק הכניסה לישראל</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תשי</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1952</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16">
        <w:r>
          <w:rPr>
            <w:rStyle w:val="Hyperlink"/>
            <w:rFonts w:cs="FrankRuehl" w:ascii="FrankRuehl" w:hAnsi="FrankRuehl"/>
            <w:bCs w:val="false"/>
            <w:color w:val="0000FF"/>
            <w:spacing w:val="0"/>
            <w:sz w:val="24"/>
            <w:szCs w:val="24"/>
          </w:rPr>
          <w:t>12</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w:t>
        </w:r>
        <w:r>
          <w:rPr>
            <w:rStyle w:val="Hyperlink"/>
            <w:rFonts w:cs="FrankRuehl" w:ascii="FrankRuehl" w:hAnsi="FrankRuehl"/>
            <w:bCs w:val="false"/>
            <w:color w:val="0000FF"/>
            <w:spacing w:val="0"/>
            <w:sz w:val="24"/>
            <w:szCs w:val="24"/>
            <w:rtl w:val="true"/>
          </w:rPr>
          <w:t>)</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17">
        <w:r>
          <w:rPr>
            <w:rStyle w:val="Hyperlink"/>
            <w:rFonts w:ascii="FrankRuehl" w:hAnsi="FrankRuehl" w:cs="FrankRuehl"/>
            <w:bCs w:val="false"/>
            <w:color w:val="0000FF"/>
            <w:spacing w:val="0"/>
            <w:sz w:val="24"/>
            <w:sz w:val="24"/>
            <w:szCs w:val="24"/>
            <w:rtl w:val="true"/>
          </w:rPr>
          <w:t xml:space="preserve">פקודת הראיות </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נוסח חדש</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תשל</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1971</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18">
        <w:r>
          <w:rPr>
            <w:rStyle w:val="Hyperlink"/>
            <w:rFonts w:cs="FrankRuehl" w:ascii="FrankRuehl" w:hAnsi="FrankRuehl"/>
            <w:bCs w:val="false"/>
            <w:color w:val="0000FF"/>
            <w:spacing w:val="0"/>
            <w:sz w:val="24"/>
            <w:szCs w:val="24"/>
          </w:rPr>
          <w:t>57</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Start w:id="12" w:name="LawTable_End"/>
      <w:bookmarkEnd w:id="11"/>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דחה ערעור שעניינו הרשעת המערער בעבירת רצח תוך ביצוע עבירה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 ובעבירות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הובאו ראיות מספיקות להוכחה כי המערער הוא שדקר את המנוח וכי זהו התרחיש הסביר היחיד שמתקבל על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משלא נמצא להתערב בהרשעת המערער ברצח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נותר על כנו עונש מאסר העולם שהושת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לאור הלכת טווק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הופחת הפיצוי למשפחת המנוח</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תוך כדי ביצוע עבירה אחרת‏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רצח</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מחשבה פלילית – אדישות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פיצויים והוצאות – פיצויים לקורבן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מימצאים – קביעתם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פיצולה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ספק סביר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הכרעת דינו וגזר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בגדרם הורשע המערער בעבירת רצח יצחק אלגבי ז</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ל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תוך ביצוע עבירה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העונשין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הושת עליו עונש מאסר עולם והוא חויב בפיצויים בסך </w:t>
      </w:r>
      <w:r>
        <w:rPr>
          <w:rFonts w:cs="Times New Roman" w:ascii="Times New Roman" w:hAnsi="Times New Roman"/>
          <w:spacing w:val="0"/>
          <w:szCs w:val="26"/>
        </w:rPr>
        <w:t>688,000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לאלמנת המנוח בסך </w:t>
      </w:r>
      <w:r>
        <w:rPr>
          <w:rFonts w:cs="Times New Roman" w:ascii="Times New Roman" w:hAnsi="Times New Roman"/>
          <w:spacing w:val="0"/>
          <w:szCs w:val="26"/>
        </w:rPr>
        <w:t>258,000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לארבעת הילדים בסך </w:t>
      </w:r>
      <w:r>
        <w:rPr>
          <w:rFonts w:cs="Times New Roman" w:ascii="Times New Roman" w:hAnsi="Times New Roman"/>
          <w:spacing w:val="0"/>
          <w:szCs w:val="26"/>
        </w:rPr>
        <w:t>100,000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לכל אחד ולשלושת הנכדים בסך </w:t>
      </w:r>
      <w:r>
        <w:rPr>
          <w:rFonts w:cs="Times New Roman" w:ascii="Times New Roman" w:hAnsi="Times New Roman"/>
          <w:spacing w:val="0"/>
          <w:szCs w:val="26"/>
        </w:rPr>
        <w:t>10,000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לכל אחד</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השופטים סולברג ו</w:t>
      </w:r>
      <w:r>
        <w:rPr>
          <w:rFonts w:cs="Times New Roman" w:ascii="Times New Roman" w:hAnsi="Times New Roman"/>
          <w:spacing w:val="0"/>
          <w:szCs w:val="26"/>
          <w:rtl w:val="true"/>
        </w:rPr>
        <w:t>-</w:t>
      </w:r>
      <w:r>
        <w:rPr>
          <w:rFonts w:ascii="Times New Roman" w:hAnsi="Times New Roman" w:cs="Times New Roman"/>
          <w:spacing w:val="0"/>
          <w:szCs w:val="26"/>
          <w:rtl w:val="true"/>
        </w:rPr>
        <w:t>וילנר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ברובו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לאופן בו נקבעו ממצאי העובדה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נדחתה הטענה כנגד שימוש מרחיק לכת בכלל </w:t>
      </w:r>
      <w:r>
        <w:rPr>
          <w:rFonts w:cs="Times New Roman" w:ascii="Times New Roman" w:hAnsi="Times New Roman"/>
          <w:spacing w:val="0"/>
          <w:szCs w:val="26"/>
          <w:rtl w:val="true"/>
        </w:rPr>
        <w:t>"</w:t>
      </w:r>
      <w:r>
        <w:rPr>
          <w:rFonts w:ascii="Times New Roman" w:hAnsi="Times New Roman" w:cs="Times New Roman"/>
          <w:spacing w:val="0"/>
          <w:szCs w:val="26"/>
          <w:rtl w:val="true"/>
        </w:rPr>
        <w:t>פלגינן דיבורא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לראות עדות בהכרח ותמיד כחטיבה שלמה אחת שיש לקבל או לדחות באופן כולל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זה רלוונטי ביתר שאת בעת שהעדים הם שותפים לדבר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אלו מבקשים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למזער את חלקם בביצוע העבירות המשותפות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ומשום כך עדותם לא תמיד תשקף את האמת העובדתית בשלמותה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במצב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רשאי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לפלג את העדות ולבור מתוכה את גרעין האמת ולדחות יתר חלקיה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ובתנאי שיש יסוד סביר להבחנה בין החלקים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פגם באופן בו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את התשתית העובדתית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ערך בחינה מדוקדקת של כל שלב ברגעיו הקריטיים של האירוע בפועלו לחקר האמת ובחן תרחישים שונים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מקום לגישה לפיה בהעדר עדויות אובייקטיביות לתיאור ההתרחשויות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ימנע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מקביעת ממצאים עובדתיים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הטענה כי יש שלושה תרחישים סבירים אפשריים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לא ניתן לפסול את האפשרות שמי משני שותפיו הם שדקרו את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הוכחה אשמתו מעבר לכל 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מידת ההוכחה הנדרשת במשפט פלילי אינה ודאות מוחלטת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שכנוע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ספק זה מתגבש כאשר ההסתברות לחפות העולה מן הראיות היא ממשית ואינה אך בגדר אפשרות תאורטית רחוקה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קיומו של 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שהוא נוגע לראיות נסיבתיות מפלילות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משמעו כי ניתן להסיק מהראיות הנסיבתיות הסבר אפשרי אחר השולל אחריות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עשוי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לשלול את קיומו של ספק סביר באמצעות שלילת הסברים המתיישבים עם חפות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כלומר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באלימינציה של אפשרויות חלופיות לראיה או ממצא והוכחת המסקנה הסופית כאפשרות היחידה המתקבלת על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בסוף התהליך בימ</w:t>
      </w:r>
      <w:r>
        <w:rPr>
          <w:rFonts w:cs="Times New Roman" w:ascii="Times New Roman" w:hAnsi="Times New Roman"/>
          <w:spacing w:val="0"/>
          <w:szCs w:val="26"/>
          <w:rtl w:val="true"/>
        </w:rPr>
        <w:t>"</w:t>
      </w:r>
      <w:r>
        <w:rPr>
          <w:rFonts w:ascii="Times New Roman" w:hAnsi="Times New Roman" w:cs="Times New Roman"/>
          <w:spacing w:val="0"/>
          <w:szCs w:val="26"/>
          <w:rtl w:val="true"/>
        </w:rPr>
        <w:t>ש שואל אם קיים תרחיש מזכה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אשמת המערער הוכחה מעבר לספק סביר בדרך של אלימינציה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משנקבע כי הובאו ראיות מספיקות להוכחה כי המערער הוא שדקר את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ומשהאפשרויות האחרות שהוצעו נדחו מאחר שלא נמצאו סבירות לפי חומר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התרחיש הסביר היחיד שמתקבל על הדעת הוא שהמערער דקר את המנוח</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ליסוד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טען כי הרשעתו ברצח אינה יכולה לעמוד משיחסו החפצי למות המנוח היה של קלות 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 יש להרשיעו בהריגה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יש לקבוע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שהוצע בעניין טמטאווי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נדרש יסוד חפצי של כוונה או אדישות ואין די בקלות דעת לשם הרשעה בסעיף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המערער היה אדיש לאפשרות גרימת מות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להתערב בכך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לא פעל מתוך תקווה להצליח למנוע את מות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בשוויון נפש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שהמערער פעל באדישות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הרשעתו תעמוד על כנה גם אם תאומץ הפרשנות שהוצעה בעניין טמטאווי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שונה נוסח סעיף </w:t>
      </w:r>
      <w:r>
        <w:rPr>
          <w:rFonts w:cs="Times New Roman" w:ascii="Times New Roman" w:hAnsi="Times New Roman"/>
          <w:spacing w:val="0"/>
          <w:szCs w:val="26"/>
        </w:rPr>
        <w:t>300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קובע כי נדרש יסוד נפשי מסוג כוונה או אדישות לשם הרשעה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ובמובן זה מקל עם הנאשם ביחס להוראה שלפני התיקון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משנקבע כי המערער פעל באדישות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כדי להשליך על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הסעיף לאחר התיקון קובע כי כאשר עסקינן ברצח במטרה לאפשר ביצוע עבירה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אותה עבירה אחרת להיות כזו שעונשה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או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מאחר שהעונש המקסימאלי הקבוע בחוק בעבור עבירת התפרצות למקום מגורים בה הורשע המערער עומד על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נתון זה אינו משליך על ההרשעה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משלא נמצא להתערב בהרשעת המערער בעבירת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נותר על כנו עונש מאסר העולם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הלכת טווק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הפיצוי שנפסק לטובת הנכדים נותר על כנו והפיצוי לאלמנת המנוח הועמד על </w:t>
      </w:r>
      <w:r>
        <w:rPr>
          <w:rFonts w:cs="Times New Roman" w:ascii="Times New Roman" w:hAnsi="Times New Roman"/>
          <w:spacing w:val="0"/>
          <w:szCs w:val="26"/>
        </w:rPr>
        <w:t>228,000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חלף הסכומים שנפסקו</w:t>
      </w:r>
      <w:r>
        <w:rPr>
          <w:rFonts w:cs="Times New Roman" w:ascii="Times New Roman" w:hAnsi="Times New Roman"/>
          <w:spacing w:val="0"/>
          <w:szCs w:val="26"/>
          <w:rtl w:val="true"/>
        </w:rPr>
        <w:t xml:space="preserve">. </w:t>
      </w:r>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bookmarkStart w:id="13" w:name="ABSTRACT_END"/>
      <w:bookmarkStart w:id="14" w:name="ABSTRACT_END"/>
      <w:bookmarkEnd w:id="14"/>
    </w:p>
    <w:p>
      <w:pPr>
        <w:pStyle w:val="BODYVERDICT"/>
        <w:ind w:end="0"/>
        <w:jc w:val="center"/>
        <w:rPr>
          <w:sz w:val="32"/>
          <w:szCs w:val="32"/>
        </w:rPr>
      </w:pPr>
      <w:bookmarkStart w:id="15" w:name="PsakDin"/>
      <w:bookmarkEnd w:id="15"/>
      <w:r>
        <w:rPr>
          <w:sz w:val="32"/>
          <w:sz w:val="32"/>
          <w:szCs w:val="32"/>
          <w:rtl w:val="true"/>
        </w:rPr>
        <w:t>פסק</w:t>
      </w:r>
      <w:r>
        <w:rPr>
          <w:sz w:val="32"/>
          <w:szCs w:val="32"/>
          <w:rtl w:val="true"/>
        </w:rPr>
        <w:t>-</w:t>
      </w:r>
      <w:r>
        <w:rPr>
          <w:sz w:val="32"/>
          <w:sz w:val="32"/>
          <w:szCs w:val="32"/>
          <w:rtl w:val="true"/>
        </w:rPr>
        <w:t>דין</w:t>
      </w:r>
    </w:p>
    <w:p>
      <w:pPr>
        <w:pStyle w:val="BODYVERDICT"/>
        <w:ind w:end="0"/>
        <w:jc w:val="start"/>
        <w:rPr>
          <w:sz w:val="38"/>
          <w:szCs w:val="44"/>
        </w:rPr>
      </w:pPr>
      <w:r>
        <w:rPr>
          <w:sz w:val="38"/>
          <w:szCs w:val="44"/>
          <w:rtl w:val="true"/>
        </w:rPr>
      </w:r>
      <w:bookmarkStart w:id="16" w:name="PsakDin"/>
      <w:bookmarkStart w:id="17" w:name="PsakDin"/>
      <w:bookmarkEnd w:id="17"/>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Century" w:hAnsi="Century" w:cs="Century"/>
          <w:sz w:val="24"/>
          <w:szCs w:val="24"/>
          <w:u w:val="single"/>
        </w:rPr>
      </w:pPr>
      <w:r>
        <w:rPr>
          <w:rFonts w:cs="Century" w:ascii="Century" w:hAnsi="Century"/>
          <w:sz w:val="24"/>
          <w:szCs w:val="24"/>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tl w:val="true"/>
        </w:rPr>
        <w:t>-</w:t>
      </w:r>
      <w:r>
        <w:rPr>
          <w:rtl w:val="true"/>
        </w:rPr>
        <w:t>לוד</w:t>
      </w:r>
      <w:r>
        <w:rPr>
          <w:rFonts w:eastAsia="Arial TUR;Arial" w:cs="Arial TUR;Arial"/>
          <w:rtl w:val="true"/>
        </w:rPr>
        <w:t xml:space="preserve"> </w:t>
      </w:r>
      <w:r>
        <w:rPr>
          <w:rtl w:val="true"/>
        </w:rPr>
        <w:t>(</w:t>
      </w:r>
      <w:r>
        <w:rPr>
          <w:rtl w:val="true"/>
        </w:rPr>
        <w:t>כב</w:t>
      </w:r>
      <w:r>
        <w:rPr>
          <w:rtl w:val="true"/>
        </w:rPr>
        <w:t xml:space="preserve">' </w:t>
      </w:r>
      <w:r>
        <w:rPr>
          <w:rtl w:val="true"/>
        </w:rPr>
        <w:t>סגן</w:t>
      </w:r>
      <w:r>
        <w:rPr>
          <w:rFonts w:eastAsia="Arial TUR;Arial" w:cs="Arial TUR;Arial"/>
          <w:rtl w:val="true"/>
        </w:rPr>
        <w:t xml:space="preserve"> </w:t>
      </w:r>
      <w:r>
        <w:rPr>
          <w:rtl w:val="true"/>
        </w:rPr>
        <w:t>הנשיא</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פינקלשטיין</w:t>
      </w:r>
      <w:r>
        <w:rPr>
          <w:rFonts w:eastAsia="Arial TUR;Arial" w:cs="Arial TUR;Arial"/>
          <w:rtl w:val="true"/>
        </w:rPr>
        <w:t xml:space="preserve"> </w:t>
      </w:r>
      <w:r>
        <w:rPr>
          <w:rtl w:val="true"/>
        </w:rPr>
        <w:t>והשופטים</w:t>
      </w:r>
      <w:r>
        <w:rPr>
          <w:rFonts w:eastAsia="Arial TUR;Arial" w:cs="Arial TUR;Arial"/>
          <w:rtl w:val="true"/>
        </w:rPr>
        <w:t xml:space="preserve"> </w:t>
      </w:r>
      <w:r>
        <w:rPr>
          <w:rFonts w:ascii="Century" w:hAnsi="Century" w:cs="Miriam"/>
          <w:b/>
          <w:b/>
          <w:spacing w:val="0"/>
          <w:szCs w:val="24"/>
          <w:rtl w:val="true"/>
        </w:rPr>
        <w:t>ל</w:t>
      </w:r>
      <w:r>
        <w:rPr>
          <w:rFonts w:cs="Miriam" w:ascii="Century" w:hAnsi="Century"/>
          <w:b/>
          <w:spacing w:val="0"/>
          <w:szCs w:val="24"/>
          <w:rtl w:val="true"/>
        </w:rPr>
        <w:t xml:space="preserve">' </w:t>
      </w:r>
      <w:r>
        <w:rPr>
          <w:rFonts w:ascii="Century" w:hAnsi="Century" w:cs="Miriam"/>
          <w:b/>
          <w:b/>
          <w:spacing w:val="0"/>
          <w:szCs w:val="24"/>
          <w:rtl w:val="true"/>
        </w:rPr>
        <w:t>ברודי</w:t>
      </w:r>
      <w:r>
        <w:rPr>
          <w:rFonts w:eastAsia="Arial TUR;Arial" w:cs="Arial TUR;Arial"/>
          <w:rtl w:val="true"/>
        </w:rPr>
        <w:t xml:space="preserve"> </w:t>
      </w:r>
      <w:r>
        <w:rPr>
          <w:rtl w:val="true"/>
        </w:rPr>
        <w:t>ו</w:t>
      </w:r>
      <w:r>
        <w:rPr>
          <w:rtl w:val="true"/>
        </w:rPr>
        <w:t>-</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אמיר</w:t>
      </w:r>
      <w:r>
        <w:rPr>
          <w:rtl w:val="true"/>
        </w:rPr>
        <w:t xml:space="preserve">) </w:t>
      </w:r>
      <w:r>
        <w:rPr>
          <w:rtl w:val="true"/>
        </w:rPr>
        <w:t>ב</w:t>
      </w:r>
      <w:hyperlink r:id="rId1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Pr>
          <w:t>6174-08-13</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Arial" w:cs="Arial TUR;Arial"/>
          <w:rtl w:val="true"/>
        </w:rPr>
        <w:t xml:space="preserve"> </w:t>
      </w:r>
      <w:r>
        <w:rPr/>
        <w:t>3.3.2016</w:t>
      </w:r>
      <w:r>
        <w:rPr>
          <w:rtl w:val="true"/>
        </w:rPr>
        <w:t xml:space="preserve"> </w:t>
      </w:r>
      <w:r>
        <w:rPr>
          <w:rtl w:val="true"/>
        </w:rPr>
        <w:t>ויום</w:t>
      </w:r>
      <w:r>
        <w:rPr>
          <w:rFonts w:eastAsia="Arial TUR;Arial" w:cs="Arial TUR;Arial"/>
          <w:rtl w:val="true"/>
        </w:rPr>
        <w:t xml:space="preserve"> </w:t>
      </w:r>
      <w:r>
        <w:rPr/>
        <w:t>15.3.2016</w:t>
      </w:r>
      <w:r>
        <w:rPr>
          <w:rtl w:val="true"/>
        </w:rPr>
        <w:t xml:space="preserve"> (</w:t>
      </w:r>
      <w:r>
        <w:rPr>
          <w:rtl w:val="true"/>
        </w:rPr>
        <w:t>בהתאמה</w:t>
      </w:r>
      <w:r>
        <w:rPr>
          <w:rtl w:val="true"/>
        </w:rPr>
        <w:t xml:space="preserve">), </w:t>
      </w:r>
      <w:r>
        <w:rPr>
          <w:rtl w:val="true"/>
        </w:rPr>
        <w:t>בגדרם</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2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2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ובעבירות נוספות</w:t>
      </w:r>
      <w:r>
        <w:rPr>
          <w:rFonts w:cs="Century" w:ascii="Century" w:hAnsi="Century"/>
          <w:rtl w:val="true"/>
        </w:rPr>
        <w:t xml:space="preserve">, </w:t>
      </w:r>
      <w:r>
        <w:rPr>
          <w:rFonts w:ascii="Century" w:hAnsi="Century" w:cs="Century"/>
          <w:rtl w:val="true"/>
        </w:rPr>
        <w:t xml:space="preserve">הושת עליו עונש מאסר עולם והוא חויב בפיצויים </w:t>
      </w:r>
      <w:r>
        <w:rPr>
          <w:rtl w:val="true"/>
        </w:rPr>
        <w:t>בסך</w:t>
      </w:r>
      <w:r>
        <w:rPr>
          <w:rFonts w:eastAsia="Arial TUR;Arial" w:cs="Arial TUR;Arial"/>
          <w:rtl w:val="true"/>
        </w:rPr>
        <w:t xml:space="preserve"> </w:t>
      </w:r>
      <w:r>
        <w:rPr/>
        <w:t>688,000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p>
    <w:p>
      <w:pPr>
        <w:pStyle w:val="Ruller42"/>
        <w:numPr>
          <w:ilvl w:val="0"/>
          <w:numId w:val="0"/>
        </w:numPr>
        <w:ind w:hanging="0" w:start="0" w:end="0"/>
        <w:jc w:val="both"/>
        <w:rPr>
          <w:rFonts w:ascii="Century" w:hAnsi="Century" w:cs="Century"/>
          <w:b/>
          <w:spacing w:val="0"/>
          <w:sz w:val="22"/>
          <w:szCs w:val="24"/>
        </w:rPr>
      </w:pPr>
      <w:r>
        <w:rPr>
          <w:rFonts w:cs="Century" w:ascii="Century" w:hAnsi="Century"/>
          <w:b/>
          <w:spacing w:val="0"/>
          <w:sz w:val="22"/>
          <w:szCs w:val="24"/>
          <w:rtl w:val="true"/>
        </w:rPr>
      </w:r>
    </w:p>
    <w:p>
      <w:pPr>
        <w:pStyle w:val="Ruller42"/>
        <w:numPr>
          <w:ilvl w:val="0"/>
          <w:numId w:val="1"/>
        </w:numPr>
        <w:ind w:hanging="0" w:start="0" w:end="0"/>
        <w:jc w:val="both"/>
        <w:rPr>
          <w:rFonts w:cs="Miriam"/>
          <w:b/>
          <w:spacing w:val="0"/>
          <w:szCs w:val="24"/>
        </w:rPr>
      </w:pPr>
      <w:r>
        <w:rPr>
          <w:rFonts w:ascii="Century" w:hAnsi="Century" w:cs="Century"/>
          <w:sz w:val="22"/>
          <w:sz w:val="22"/>
          <w:rtl w:val="true"/>
        </w:rPr>
        <w:t xml:space="preserve">ביום </w:t>
      </w:r>
      <w:r>
        <w:rPr>
          <w:rFonts w:cs="Century" w:ascii="Century" w:hAnsi="Century"/>
          <w:sz w:val="22"/>
        </w:rPr>
        <w:t>22.10.2012</w:t>
      </w:r>
      <w:r>
        <w:rPr>
          <w:rFonts w:cs="Century" w:ascii="Century" w:hAnsi="Century"/>
          <w:sz w:val="22"/>
          <w:rtl w:val="true"/>
        </w:rPr>
        <w:t xml:space="preserve"> </w:t>
      </w:r>
      <w:r>
        <w:rPr>
          <w:rFonts w:ascii="Century" w:hAnsi="Century" w:cs="Century"/>
          <w:sz w:val="22"/>
          <w:sz w:val="22"/>
          <w:rtl w:val="true"/>
        </w:rPr>
        <w:t>בשעת ערב נקבע מותו</w:t>
      </w:r>
      <w:r>
        <w:rPr>
          <w:rtl w:val="true"/>
        </w:rPr>
        <w:t xml:space="preserve"> של יצחק אלגבי ז</w:t>
      </w:r>
      <w:r>
        <w:rPr>
          <w:rtl w:val="true"/>
        </w:rPr>
        <w:t>"</w:t>
      </w:r>
      <w:r>
        <w:rPr>
          <w:rtl w:val="true"/>
        </w:rPr>
        <w:t xml:space="preserve">ל </w:t>
      </w:r>
      <w:r>
        <w:rPr>
          <w:rtl w:val="true"/>
        </w:rPr>
        <w:t>(</w:t>
      </w:r>
      <w:r>
        <w:rPr>
          <w:rtl w:val="true"/>
        </w:rPr>
        <w:t>להלן</w:t>
      </w:r>
      <w:r>
        <w:rPr>
          <w:rtl w:val="true"/>
        </w:rPr>
        <w:t xml:space="preserve">: </w:t>
      </w:r>
      <w:r>
        <w:rPr>
          <w:rFonts w:ascii="Century" w:hAnsi="Century" w:cs="Miriam"/>
          <w:b/>
          <w:b/>
          <w:spacing w:val="0"/>
          <w:szCs w:val="24"/>
          <w:rtl w:val="true"/>
        </w:rPr>
        <w:t>המנוח</w:t>
      </w:r>
      <w:r>
        <w:rPr>
          <w:rFonts w:cs="Century" w:ascii="Century" w:hAnsi="Century"/>
          <w:rtl w:val="true"/>
        </w:rPr>
        <w:t xml:space="preserve">) </w:t>
      </w:r>
      <w:r>
        <w:rPr>
          <w:rFonts w:ascii="Century" w:hAnsi="Century" w:cs="Century"/>
          <w:rtl w:val="true"/>
        </w:rPr>
        <w:t>לאחר שנמצא שכוב ברחבת הכניסה לביתה של בתו ופצע דקירה בחזהו</w:t>
      </w:r>
      <w:r>
        <w:rPr>
          <w:rFonts w:cs="Century" w:ascii="Century" w:hAnsi="Century"/>
          <w:rtl w:val="true"/>
        </w:rPr>
        <w:t xml:space="preserve">. </w:t>
      </w:r>
      <w:r>
        <w:rPr>
          <w:rFonts w:ascii="Century" w:hAnsi="Century" w:cs="Century"/>
          <w:rtl w:val="true"/>
        </w:rPr>
        <w:t>הפרשה פוענחה לאחר כשמונה חודשים</w:t>
      </w:r>
      <w:r>
        <w:rPr>
          <w:rFonts w:cs="Century" w:ascii="Century" w:hAnsi="Century"/>
          <w:rtl w:val="true"/>
        </w:rPr>
        <w:t xml:space="preserve">, </w:t>
      </w:r>
      <w:r>
        <w:rPr>
          <w:rFonts w:ascii="Century" w:hAnsi="Century" w:cs="Century"/>
          <w:rtl w:val="true"/>
        </w:rPr>
        <w:t>מה שהביא להגשת מספר כתבי אישום</w:t>
      </w:r>
      <w:r>
        <w:rPr>
          <w:rFonts w:cs="Century" w:ascii="Century" w:hAnsi="Century"/>
          <w:rtl w:val="true"/>
        </w:rPr>
        <w:t xml:space="preserve">, </w:t>
      </w:r>
      <w:r>
        <w:rPr>
          <w:rFonts w:ascii="Century" w:hAnsi="Century" w:cs="Century"/>
          <w:rtl w:val="true"/>
        </w:rPr>
        <w:t>ובהם כתב האישום בו הואשם המערער</w:t>
      </w:r>
      <w:r>
        <w:rPr>
          <w:rFonts w:cs="Century" w:ascii="Century" w:hAnsi="Century"/>
          <w:rtl w:val="true"/>
        </w:rPr>
        <w:t>.</w:t>
      </w:r>
    </w:p>
    <w:p>
      <w:pPr>
        <w:pStyle w:val="Ruller42"/>
        <w:numPr>
          <w:ilvl w:val="0"/>
          <w:numId w:val="0"/>
        </w:numPr>
        <w:ind w:hanging="0" w:start="0" w:end="0"/>
        <w:jc w:val="both"/>
        <w:rPr>
          <w:rFonts w:cs="Miriam"/>
          <w:b/>
          <w:spacing w:val="0"/>
          <w:szCs w:val="24"/>
        </w:rPr>
      </w:pPr>
      <w:r>
        <w:rPr>
          <w:rFonts w:cs="Miriam"/>
          <w:b/>
          <w:spacing w:val="0"/>
          <w:szCs w:val="24"/>
          <w:rtl w:val="true"/>
        </w:rPr>
      </w:r>
    </w:p>
    <w:p>
      <w:pPr>
        <w:pStyle w:val="Ruller42"/>
        <w:numPr>
          <w:ilvl w:val="0"/>
          <w:numId w:val="1"/>
        </w:numPr>
        <w:ind w:hanging="0" w:start="0" w:end="0"/>
        <w:jc w:val="both"/>
        <w:rPr>
          <w:rFonts w:cs="Miriam"/>
          <w:b/>
          <w:spacing w:val="0"/>
          <w:szCs w:val="24"/>
        </w:rPr>
      </w:pPr>
      <w:r>
        <w:rPr>
          <w:rtl w:val="true"/>
        </w:rPr>
        <w:t>על פי כתב האישום</w:t>
      </w:r>
      <w:r>
        <w:rPr>
          <w:rtl w:val="true"/>
        </w:rPr>
        <w:t xml:space="preserve">, </w:t>
      </w:r>
      <w:r>
        <w:rPr>
          <w:rtl w:val="true"/>
        </w:rPr>
        <w:t>המערער ושניים נוספים</w:t>
      </w:r>
      <w:r>
        <w:rPr>
          <w:rtl w:val="true"/>
        </w:rPr>
        <w:t xml:space="preserve">, </w:t>
      </w:r>
      <w:r>
        <w:rPr>
          <w:rtl w:val="true"/>
        </w:rPr>
        <w:t xml:space="preserve">האדי ואכרם </w:t>
      </w:r>
      <w:r>
        <w:rPr>
          <w:rtl w:val="true"/>
        </w:rPr>
        <w:t>(</w:t>
      </w:r>
      <w:r>
        <w:rPr>
          <w:rtl w:val="true"/>
        </w:rPr>
        <w:t>להלן</w:t>
      </w:r>
      <w:r>
        <w:rPr>
          <w:rtl w:val="true"/>
        </w:rPr>
        <w:t xml:space="preserve"> ביחד</w:t>
      </w:r>
      <w:r>
        <w:rPr>
          <w:rtl w:val="true"/>
        </w:rPr>
        <w:t xml:space="preserve">: </w:t>
      </w:r>
      <w:r>
        <w:rPr>
          <w:rFonts w:ascii="Century" w:hAnsi="Century" w:cs="Miriam"/>
          <w:b/>
          <w:b/>
          <w:spacing w:val="0"/>
          <w:sz w:val="22"/>
          <w:sz w:val="22"/>
          <w:szCs w:val="24"/>
          <w:rtl w:val="true"/>
        </w:rPr>
        <w:t>השלושה</w:t>
      </w:r>
      <w:r>
        <w:rPr>
          <w:rFonts w:cs="Century" w:ascii="Century" w:hAnsi="Century"/>
          <w:sz w:val="22"/>
          <w:rtl w:val="true"/>
        </w:rPr>
        <w:t>)</w:t>
      </w:r>
      <w:r>
        <w:rPr>
          <w:rtl w:val="true"/>
        </w:rPr>
        <w:t xml:space="preserve">, </w:t>
      </w:r>
      <w:r>
        <w:rPr>
          <w:rtl w:val="true"/>
        </w:rPr>
        <w:t>קשרו קשר לפרוץ לבתים ולגנוב כלי רכב באזור השרון</w:t>
      </w:r>
      <w:r>
        <w:rPr>
          <w:rtl w:val="true"/>
        </w:rPr>
        <w:t xml:space="preserve">. </w:t>
      </w:r>
      <w:r>
        <w:rPr>
          <w:rtl w:val="true"/>
        </w:rPr>
        <w:t>לשם כך</w:t>
      </w:r>
      <w:r>
        <w:rPr>
          <w:rtl w:val="true"/>
        </w:rPr>
        <w:t xml:space="preserve">, </w:t>
      </w:r>
      <w:r>
        <w:rPr>
          <w:rtl w:val="true"/>
        </w:rPr>
        <w:t>פנה אכרם לאדם נוסף</w:t>
      </w:r>
      <w:r>
        <w:rPr>
          <w:rtl w:val="true"/>
        </w:rPr>
        <w:t xml:space="preserve">, </w:t>
      </w:r>
      <w:r>
        <w:rPr>
          <w:rtl w:val="true"/>
        </w:rPr>
        <w:t>מרואן</w:t>
      </w:r>
      <w:r>
        <w:rPr>
          <w:rtl w:val="true"/>
        </w:rPr>
        <w:t xml:space="preserve">, </w:t>
      </w:r>
      <w:r>
        <w:rPr>
          <w:rtl w:val="true"/>
        </w:rPr>
        <w:t>על מנת שיסיע את</w:t>
      </w:r>
      <w:r>
        <w:rPr>
          <w:rFonts w:eastAsia="Garamond"/>
          <w:b/>
          <w:b/>
          <w:spacing w:val="0"/>
          <w:szCs w:val="24"/>
          <w:rtl w:val="true"/>
        </w:rPr>
        <w:t xml:space="preserve"> </w:t>
      </w:r>
      <w:r>
        <w:rPr>
          <w:rFonts w:ascii="Century" w:hAnsi="Century" w:cs="Century"/>
          <w:sz w:val="22"/>
          <w:sz w:val="22"/>
          <w:rtl w:val="true"/>
        </w:rPr>
        <w:t>השלושה</w:t>
      </w:r>
      <w:r>
        <w:rPr>
          <w:rtl w:val="true"/>
        </w:rPr>
        <w:t xml:space="preserve"> למקום ההתפרצות המתוכנן תמורת תשלום</w:t>
      </w:r>
      <w:r>
        <w:rPr>
          <w:rtl w:val="true"/>
        </w:rPr>
        <w:t>.</w:t>
      </w:r>
    </w:p>
    <w:p>
      <w:pPr>
        <w:pStyle w:val="Ruller41"/>
        <w:ind w:end="0"/>
        <w:jc w:val="both"/>
        <w:rPr/>
      </w:pPr>
      <w:r>
        <w:rPr>
          <w:rtl w:val="true"/>
        </w:rPr>
        <w:tab/>
      </w:r>
    </w:p>
    <w:p>
      <w:pPr>
        <w:pStyle w:val="Ruller42"/>
        <w:numPr>
          <w:ilvl w:val="0"/>
          <w:numId w:val="1"/>
        </w:numPr>
        <w:ind w:hanging="0" w:start="0" w:end="0"/>
        <w:jc w:val="both"/>
        <w:rPr/>
      </w:pPr>
      <w:r>
        <w:rPr>
          <w:rtl w:val="true"/>
        </w:rPr>
        <w:t>ביום האירוע</w:t>
      </w:r>
      <w:r>
        <w:rPr>
          <w:rtl w:val="true"/>
        </w:rPr>
        <w:t xml:space="preserve">, </w:t>
      </w:r>
      <w:r>
        <w:rPr>
          <w:rtl w:val="true"/>
        </w:rPr>
        <w:t xml:space="preserve">יום </w:t>
      </w:r>
      <w:r>
        <w:rPr/>
        <w:t>22.10.2012</w:t>
      </w:r>
      <w:r>
        <w:rPr>
          <w:rtl w:val="true"/>
        </w:rPr>
        <w:t xml:space="preserve">, </w:t>
      </w:r>
      <w:r>
        <w:rPr>
          <w:rtl w:val="true"/>
        </w:rPr>
        <w:t xml:space="preserve">בשעה </w:t>
      </w:r>
      <w:r>
        <w:rPr/>
        <w:t>18:00</w:t>
      </w:r>
      <w:r>
        <w:rPr>
          <w:rtl w:val="true"/>
        </w:rPr>
        <w:t xml:space="preserve"> </w:t>
      </w:r>
      <w:r>
        <w:rPr>
          <w:rtl w:val="true"/>
        </w:rPr>
        <w:t>לערך</w:t>
      </w:r>
      <w:r>
        <w:rPr>
          <w:rtl w:val="true"/>
        </w:rPr>
        <w:t xml:space="preserve">, </w:t>
      </w:r>
      <w:r>
        <w:rPr>
          <w:rtl w:val="true"/>
        </w:rPr>
        <w:t>אסף מרואן את השלושה ברכבו והסיעם למושב אביחיל</w:t>
      </w:r>
      <w:r>
        <w:rPr>
          <w:rtl w:val="true"/>
        </w:rPr>
        <w:t xml:space="preserve">. </w:t>
      </w:r>
      <w:r>
        <w:rPr>
          <w:rtl w:val="true"/>
        </w:rPr>
        <w:t>השלושה החלו לצעוד בין בתי המושב</w:t>
      </w:r>
      <w:r>
        <w:rPr>
          <w:rtl w:val="true"/>
        </w:rPr>
        <w:t xml:space="preserve">, </w:t>
      </w:r>
      <w:r>
        <w:rPr>
          <w:rtl w:val="true"/>
        </w:rPr>
        <w:t>ולאחר ניסיון התפרצות לאחד מבתי המושב שלא צלח</w:t>
      </w:r>
      <w:r>
        <w:rPr>
          <w:rtl w:val="true"/>
        </w:rPr>
        <w:t xml:space="preserve">, </w:t>
      </w:r>
      <w:r>
        <w:rPr>
          <w:rtl w:val="true"/>
        </w:rPr>
        <w:t xml:space="preserve">הגיעו לבית בו התגוררה בתו של המנוח </w:t>
      </w:r>
      <w:r>
        <w:rPr>
          <w:rtl w:val="true"/>
        </w:rPr>
        <w:t>(</w:t>
      </w:r>
      <w:r>
        <w:rPr>
          <w:rtl w:val="true"/>
        </w:rPr>
        <w:t>להלן</w:t>
      </w:r>
      <w:r>
        <w:rPr>
          <w:rtl w:val="true"/>
        </w:rPr>
        <w:t xml:space="preserve">: </w:t>
      </w:r>
      <w:r>
        <w:rPr>
          <w:rFonts w:ascii="Century" w:hAnsi="Century" w:cs="Miriam"/>
          <w:b/>
          <w:b/>
          <w:spacing w:val="0"/>
          <w:sz w:val="22"/>
          <w:sz w:val="22"/>
          <w:szCs w:val="24"/>
          <w:rtl w:val="true"/>
        </w:rPr>
        <w:t>הבית</w:t>
      </w:r>
      <w:r>
        <w:rPr>
          <w:rFonts w:cs="Century" w:ascii="Century" w:hAnsi="Century"/>
          <w:sz w:val="22"/>
          <w:rtl w:val="true"/>
        </w:rPr>
        <w:t>)</w:t>
      </w:r>
      <w:r>
        <w:rPr>
          <w:rtl w:val="true"/>
        </w:rPr>
        <w:t xml:space="preserve">. </w:t>
      </w:r>
      <w:r>
        <w:rPr>
          <w:rtl w:val="true"/>
        </w:rPr>
        <w:t>המערער פרץ את החלון</w:t>
      </w:r>
      <w:r>
        <w:rPr>
          <w:rtl w:val="true"/>
        </w:rPr>
        <w:t xml:space="preserve">, </w:t>
      </w:r>
      <w:r>
        <w:rPr>
          <w:rtl w:val="true"/>
        </w:rPr>
        <w:t>נכנס פנימה</w:t>
      </w:r>
      <w:r>
        <w:rPr>
          <w:rtl w:val="true"/>
        </w:rPr>
        <w:t xml:space="preserve">, </w:t>
      </w:r>
      <w:r>
        <w:rPr>
          <w:rtl w:val="true"/>
        </w:rPr>
        <w:t>ופתח את דלת הבית להאדי ולאכרם</w:t>
      </w:r>
      <w:r>
        <w:rPr>
          <w:rtl w:val="true"/>
        </w:rPr>
        <w:t xml:space="preserve">. </w:t>
      </w:r>
      <w:r>
        <w:rPr>
          <w:rtl w:val="true"/>
        </w:rPr>
        <w:t>באותה העת הגיע המנוח</w:t>
      </w:r>
      <w:r>
        <w:rPr>
          <w:rtl w:val="true"/>
        </w:rPr>
        <w:t xml:space="preserve">, </w:t>
      </w:r>
      <w:r>
        <w:rPr>
          <w:rtl w:val="true"/>
        </w:rPr>
        <w:t>שהתגורר בסמוך</w:t>
      </w:r>
      <w:r>
        <w:rPr>
          <w:rtl w:val="true"/>
        </w:rPr>
        <w:t xml:space="preserve">, </w:t>
      </w:r>
      <w:r>
        <w:rPr>
          <w:rtl w:val="true"/>
        </w:rPr>
        <w:t>אל הבית על מנת לקחת כיכר לחם</w:t>
      </w:r>
      <w:r>
        <w:rPr>
          <w:rtl w:val="true"/>
        </w:rPr>
        <w:t xml:space="preserve">, </w:t>
      </w:r>
      <w:r>
        <w:rPr>
          <w:rtl w:val="true"/>
        </w:rPr>
        <w:t>והפתיע את השלושה כשנכנס דרך הדלת הפתוחה</w:t>
      </w:r>
      <w:r>
        <w:rPr>
          <w:rtl w:val="true"/>
        </w:rPr>
        <w:t xml:space="preserve">. </w:t>
      </w:r>
      <w:r>
        <w:rPr>
          <w:rtl w:val="true"/>
        </w:rPr>
        <w:t>בהיכנסו לבית פגש המנוח את המערער ואחז בחולצתו ובצווארו על מנת למנוע ממנו לצאת מהבית</w:t>
      </w:r>
      <w:r>
        <w:rPr>
          <w:rtl w:val="true"/>
        </w:rPr>
        <w:t xml:space="preserve">. </w:t>
      </w:r>
      <w:r>
        <w:rPr>
          <w:rtl w:val="true"/>
        </w:rPr>
        <w:t>בין השניים התפתח מאבק במהלכו דקר המערער את המנוח באמצעות מברג דקירה עמוקה בבית החזה והאדי חבט בראשו באמצעות מברג במטרה לסייע למערער</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כתוצאה מהמאבק ומהדקירה נגרמו למנוח פציעות חמורות</w:t>
      </w:r>
      <w:r>
        <w:rPr>
          <w:rFonts w:cs="Century" w:ascii="Century" w:hAnsi="Century"/>
          <w:rtl w:val="true"/>
        </w:rPr>
        <w:t xml:space="preserve">. </w:t>
      </w:r>
      <w:r>
        <w:rPr>
          <w:rFonts w:ascii="Century" w:hAnsi="Century" w:cs="Century"/>
          <w:rtl w:val="true"/>
        </w:rPr>
        <w:t>הוא נפל בפתח הבית ונפטר כעבור זמן קצר בשל איבוד דם רב עם טמפונדה לבבית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לאחר נפילת המנוח</w:t>
      </w:r>
      <w:r>
        <w:rPr>
          <w:rtl w:val="true"/>
        </w:rPr>
        <w:t xml:space="preserve">, </w:t>
      </w:r>
      <w:r>
        <w:rPr>
          <w:rtl w:val="true"/>
        </w:rPr>
        <w:t>נמלטו השלושה מהמקום באמצעות הרכב בו נהג מרואן</w:t>
      </w:r>
      <w:r>
        <w:rPr>
          <w:rtl w:val="true"/>
        </w:rPr>
        <w:t xml:space="preserve">. </w:t>
      </w:r>
      <w:r>
        <w:rPr>
          <w:rtl w:val="true"/>
        </w:rPr>
        <w:t>במהלך הנסיעה סיפרו השלושה למרואן</w:t>
      </w:r>
      <w:r>
        <w:rPr>
          <w:rtl w:val="true"/>
        </w:rPr>
        <w:t xml:space="preserve">, </w:t>
      </w:r>
      <w:r>
        <w:rPr>
          <w:rtl w:val="true"/>
        </w:rPr>
        <w:t>בין היתר</w:t>
      </w:r>
      <w:r>
        <w:rPr>
          <w:rtl w:val="true"/>
        </w:rPr>
        <w:t xml:space="preserve">, </w:t>
      </w:r>
      <w:r>
        <w:rPr>
          <w:rtl w:val="true"/>
        </w:rPr>
        <w:t>כי תוך כדי פריצה לבית הגיע אדם למקום והם תקפו אותו ואף דקרוהו באמצעות מברג</w:t>
      </w:r>
      <w:r>
        <w:rPr>
          <w:rtl w:val="true"/>
        </w:rPr>
        <w:t xml:space="preserve">. </w:t>
      </w:r>
      <w:r>
        <w:rPr>
          <w:rtl w:val="true"/>
        </w:rPr>
        <w:t>לבקשת השלושה</w:t>
      </w:r>
      <w:r>
        <w:rPr>
          <w:rtl w:val="true"/>
        </w:rPr>
        <w:t xml:space="preserve">, </w:t>
      </w:r>
      <w:r>
        <w:rPr>
          <w:rtl w:val="true"/>
        </w:rPr>
        <w:t>הסיעם מרואן למסעדה ב</w:t>
      </w:r>
      <w:r>
        <w:rPr>
          <w:rtl w:val="true"/>
        </w:rPr>
        <w:t>באקה</w:t>
      </w:r>
      <w:r>
        <w:rPr>
          <w:rtl w:val="true"/>
        </w:rPr>
        <w:t xml:space="preserve"> </w:t>
      </w:r>
      <w:r>
        <w:rPr>
          <w:rtl w:val="true"/>
        </w:rPr>
        <w:t>אל</w:t>
      </w:r>
      <w:r>
        <w:rPr>
          <w:rtl w:val="true"/>
        </w:rPr>
        <w:t>-</w:t>
      </w:r>
      <w:r>
        <w:rPr>
          <w:rtl w:val="true"/>
        </w:rPr>
        <w:t>גרבייה</w:t>
      </w:r>
      <w:r>
        <w:rPr>
          <w:rtl w:val="true"/>
        </w:rPr>
        <w:t xml:space="preserve">. </w:t>
      </w:r>
      <w:r>
        <w:rPr>
          <w:rtl w:val="true"/>
        </w:rPr>
        <w:t>בסמוך להגעתם למסעדה</w:t>
      </w:r>
      <w:r>
        <w:rPr>
          <w:rtl w:val="true"/>
        </w:rPr>
        <w:t xml:space="preserve">, </w:t>
      </w:r>
      <w:r>
        <w:rPr>
          <w:rtl w:val="true"/>
        </w:rPr>
        <w:t>ביקש המערער מהאדי להביא לו בקבוק מים כדי לשטוף את המברג שהיה מגואל בדמו של המנוח</w:t>
      </w:r>
      <w:r>
        <w:rPr>
          <w:rtl w:val="true"/>
        </w:rPr>
        <w:t xml:space="preserve">. </w:t>
      </w:r>
      <w:r>
        <w:rPr>
          <w:rtl w:val="true"/>
        </w:rPr>
        <w:t>לאחר שסיימו לאכול</w:t>
      </w:r>
      <w:r>
        <w:rPr>
          <w:rtl w:val="true"/>
        </w:rPr>
        <w:t xml:space="preserve">, </w:t>
      </w:r>
      <w:r>
        <w:rPr>
          <w:rtl w:val="true"/>
        </w:rPr>
        <w:t>ביקשו השלושה ממרואן להסיעם לחדרה על מנת לבצע התפרצויות נוספות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בגין האמור יוחסו למערער ולהאדי</w:t>
      </w:r>
      <w:r>
        <w:rPr>
          <w:rtl w:val="true"/>
        </w:rPr>
        <w:t xml:space="preserve">, </w:t>
      </w:r>
      <w:r>
        <w:rPr>
          <w:rtl w:val="true"/>
        </w:rPr>
        <w:t>שהואשמו תחת אותו כתב אישום</w:t>
      </w:r>
      <w:r>
        <w:rPr>
          <w:rtl w:val="true"/>
        </w:rPr>
        <w:t xml:space="preserve">, </w:t>
      </w:r>
      <w:r>
        <w:rPr>
          <w:rtl w:val="true"/>
        </w:rPr>
        <w:t>עבירות של רצח תוך ביצוע עבירה</w:t>
      </w:r>
      <w:r>
        <w:rPr>
          <w:rtl w:val="true"/>
        </w:rPr>
        <w:t xml:space="preserve">, </w:t>
      </w:r>
      <w:r>
        <w:rPr>
          <w:rtl w:val="true"/>
        </w:rPr>
        <w:t xml:space="preserve">לפי </w:t>
      </w:r>
      <w:hyperlink r:id="rId22">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Fonts w:ascii="Century" w:hAnsi="Century" w:cs="Century"/>
          <w:sz w:val="22"/>
          <w:sz w:val="22"/>
          <w:rtl w:val="true"/>
        </w:rPr>
        <w:t>כניסה והתפרצות למקום מגורים</w:t>
      </w:r>
      <w:r>
        <w:rPr>
          <w:rFonts w:cs="Century" w:ascii="Century" w:hAnsi="Century"/>
          <w:sz w:val="22"/>
          <w:rtl w:val="true"/>
        </w:rPr>
        <w:t xml:space="preserve">, </w:t>
      </w:r>
      <w:r>
        <w:rPr>
          <w:rFonts w:ascii="Century" w:hAnsi="Century" w:cs="Century"/>
          <w:sz w:val="22"/>
          <w:sz w:val="22"/>
          <w:rtl w:val="true"/>
        </w:rPr>
        <w:t xml:space="preserve">לפי </w:t>
      </w:r>
      <w:hyperlink r:id="rId24">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406</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 העונשין</w:t>
      </w:r>
      <w:r>
        <w:rPr>
          <w:rFonts w:cs="Century" w:ascii="Century" w:hAnsi="Century"/>
          <w:sz w:val="22"/>
          <w:rtl w:val="true"/>
        </w:rPr>
        <w:t xml:space="preserve">; </w:t>
      </w:r>
      <w:r>
        <w:rPr>
          <w:rFonts w:ascii="Century" w:hAnsi="Century" w:cs="Century"/>
          <w:sz w:val="22"/>
          <w:sz w:val="22"/>
          <w:rtl w:val="true"/>
        </w:rPr>
        <w:t>ניסיון כניסה והתפרצות למקום מגורים</w:t>
      </w:r>
      <w:r>
        <w:rPr>
          <w:rFonts w:cs="Century" w:ascii="Century" w:hAnsi="Century"/>
          <w:sz w:val="22"/>
          <w:rtl w:val="true"/>
        </w:rPr>
        <w:t xml:space="preserve">, </w:t>
      </w:r>
      <w:r>
        <w:rPr>
          <w:rFonts w:ascii="Century" w:hAnsi="Century" w:cs="Century"/>
          <w:sz w:val="22"/>
          <w:sz w:val="22"/>
          <w:rtl w:val="true"/>
        </w:rPr>
        <w:t xml:space="preserve">לפי </w:t>
      </w:r>
      <w:hyperlink r:id="rId25">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406</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יחד עם </w:t>
      </w:r>
      <w:hyperlink r:id="rId2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25</w:t>
        </w:r>
      </w:hyperlink>
      <w:r>
        <w:rPr>
          <w:rFonts w:cs="Century" w:ascii="Century" w:hAnsi="Century"/>
          <w:sz w:val="22"/>
          <w:rtl w:val="true"/>
        </w:rPr>
        <w:t xml:space="preserve"> </w:t>
      </w:r>
      <w:r>
        <w:rPr>
          <w:rFonts w:ascii="Century" w:hAnsi="Century" w:cs="Century"/>
          <w:sz w:val="22"/>
          <w:sz w:val="22"/>
          <w:rtl w:val="true"/>
        </w:rPr>
        <w:t>לחוק העונשין</w:t>
      </w:r>
      <w:r>
        <w:rPr>
          <w:rFonts w:cs="Century" w:ascii="Century" w:hAnsi="Century"/>
          <w:sz w:val="22"/>
          <w:rtl w:val="true"/>
        </w:rPr>
        <w:t xml:space="preserve">; </w:t>
      </w:r>
      <w:r>
        <w:rPr>
          <w:rFonts w:ascii="Century" w:hAnsi="Century" w:cs="Century"/>
          <w:sz w:val="22"/>
          <w:sz w:val="22"/>
          <w:rtl w:val="true"/>
        </w:rPr>
        <w:t>קשירת קשר לביצוע פשע</w:t>
      </w:r>
      <w:r>
        <w:rPr>
          <w:rFonts w:cs="Century" w:ascii="Century" w:hAnsi="Century"/>
          <w:sz w:val="22"/>
          <w:rtl w:val="true"/>
        </w:rPr>
        <w:t xml:space="preserve">, </w:t>
      </w:r>
      <w:r>
        <w:rPr>
          <w:rFonts w:ascii="Century" w:hAnsi="Century" w:cs="Century"/>
          <w:sz w:val="22"/>
          <w:sz w:val="22"/>
          <w:rtl w:val="true"/>
        </w:rPr>
        <w:t xml:space="preserve">לפי </w:t>
      </w:r>
      <w:hyperlink r:id="rId27">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499</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tl w:val="true"/>
        </w:rPr>
        <w:t>לחוק העונשין</w:t>
      </w:r>
      <w:r>
        <w:rPr>
          <w:rtl w:val="true"/>
        </w:rPr>
        <w:t>;</w:t>
      </w:r>
      <w:r>
        <w:rPr>
          <w:rFonts w:cs="Century" w:ascii="Century" w:hAnsi="Century"/>
          <w:sz w:val="22"/>
          <w:rtl w:val="true"/>
        </w:rPr>
        <w:t xml:space="preserve"> </w:t>
      </w:r>
      <w:r>
        <w:rPr>
          <w:rFonts w:ascii="Century" w:hAnsi="Century" w:cs="Century"/>
          <w:sz w:val="22"/>
          <w:sz w:val="22"/>
          <w:rtl w:val="true"/>
        </w:rPr>
        <w:t>ושהיה בלתי חוקית בישראל</w:t>
      </w:r>
      <w:r>
        <w:rPr>
          <w:rFonts w:cs="Century" w:ascii="Century" w:hAnsi="Century"/>
          <w:sz w:val="22"/>
          <w:rtl w:val="true"/>
        </w:rPr>
        <w:t xml:space="preserve">, </w:t>
      </w:r>
      <w:r>
        <w:rPr>
          <w:rFonts w:ascii="Century" w:hAnsi="Century" w:cs="Century"/>
          <w:sz w:val="22"/>
          <w:sz w:val="22"/>
          <w:rtl w:val="true"/>
        </w:rPr>
        <w:t xml:space="preserve">לפי </w:t>
      </w:r>
      <w:hyperlink r:id="rId2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12</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29">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הכניסה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לישראל</w:t>
        </w:r>
      </w:hyperlink>
      <w:r>
        <w:rPr>
          <w:rFonts w:cs="Century" w:ascii="Century" w:hAnsi="Century"/>
          <w:sz w:val="22"/>
          <w:rtl w:val="true"/>
        </w:rPr>
        <w:t xml:space="preserve">, </w:t>
      </w:r>
      <w:r>
        <w:rPr>
          <w:rFonts w:ascii="Century" w:hAnsi="Century" w:cs="Century"/>
          <w:sz w:val="22"/>
          <w:sz w:val="22"/>
          <w:rtl w:val="true"/>
        </w:rPr>
        <w:t>התשי</w:t>
      </w:r>
      <w:r>
        <w:rPr>
          <w:rFonts w:cs="Century" w:ascii="Century" w:hAnsi="Century"/>
          <w:sz w:val="22"/>
          <w:rtl w:val="true"/>
        </w:rPr>
        <w:t>"</w:t>
      </w:r>
      <w:r>
        <w:rPr>
          <w:rFonts w:ascii="Century" w:hAnsi="Century" w:cs="Century"/>
          <w:sz w:val="22"/>
          <w:sz w:val="22"/>
          <w:rtl w:val="true"/>
        </w:rPr>
        <w:t>ב</w:t>
      </w:r>
      <w:r>
        <w:rPr>
          <w:rFonts w:cs="Century" w:ascii="Century" w:hAnsi="Century"/>
          <w:sz w:val="22"/>
          <w:rtl w:val="true"/>
        </w:rPr>
        <w:t>-</w:t>
      </w:r>
      <w:r>
        <w:rPr>
          <w:rFonts w:cs="Century" w:ascii="Century" w:hAnsi="Century"/>
          <w:sz w:val="22"/>
        </w:rPr>
        <w:t>1952</w:t>
      </w:r>
      <w:r>
        <w:rPr>
          <w:rFonts w:cs="Century" w:ascii="Century" w:hAnsi="Century"/>
          <w:sz w:val="22"/>
          <w:rtl w:val="true"/>
        </w:rPr>
        <w:t>.</w:t>
      </w:r>
    </w:p>
    <w:p>
      <w:pPr>
        <w:pStyle w:val="Ruller41"/>
        <w:ind w:end="0"/>
        <w:jc w:val="both"/>
        <w:rPr/>
      </w:pPr>
      <w:r>
        <w:rPr>
          <w:rtl w:val="true"/>
        </w:rPr>
      </w:r>
    </w:p>
    <w:p>
      <w:pPr>
        <w:pStyle w:val="Ruller42"/>
        <w:numPr>
          <w:ilvl w:val="0"/>
          <w:numId w:val="1"/>
        </w:numPr>
        <w:ind w:hanging="0" w:start="0" w:end="0"/>
        <w:jc w:val="both"/>
        <w:rPr/>
      </w:pPr>
      <w:r>
        <w:rPr>
          <w:rtl w:val="true"/>
        </w:rPr>
        <w:t>בתשובתו לכתב האישום הודה המערער שהתפרץ לבית ושנשא מברג בכיסו</w:t>
      </w:r>
      <w:r>
        <w:rPr>
          <w:rtl w:val="true"/>
        </w:rPr>
        <w:t xml:space="preserve">. </w:t>
      </w:r>
      <w:r>
        <w:rPr>
          <w:rtl w:val="true"/>
        </w:rPr>
        <w:t>המערער טען כי עת הגיע המנוח אל המקום</w:t>
      </w:r>
      <w:r>
        <w:rPr>
          <w:rtl w:val="true"/>
        </w:rPr>
        <w:t xml:space="preserve">, </w:t>
      </w:r>
      <w:r>
        <w:rPr>
          <w:rtl w:val="true"/>
        </w:rPr>
        <w:t>הוא שהה בתוך הבית יחד עם אכרם וכשניסה להימלט אחז אותו המנוח בצווארו</w:t>
      </w:r>
      <w:r>
        <w:rPr>
          <w:rtl w:val="true"/>
        </w:rPr>
        <w:t xml:space="preserve">, </w:t>
      </w:r>
      <w:r>
        <w:rPr>
          <w:rtl w:val="true"/>
        </w:rPr>
        <w:t>אז נחלצו האדי ואכרם לעזרתו</w:t>
      </w:r>
      <w:r>
        <w:rPr>
          <w:rtl w:val="true"/>
        </w:rPr>
        <w:t xml:space="preserve">. </w:t>
      </w:r>
      <w:r>
        <w:rPr>
          <w:rtl w:val="true"/>
        </w:rPr>
        <w:t>עם זאת</w:t>
      </w:r>
      <w:r>
        <w:rPr>
          <w:rtl w:val="true"/>
        </w:rPr>
        <w:t xml:space="preserve">, </w:t>
      </w:r>
      <w:r>
        <w:rPr>
          <w:rtl w:val="true"/>
        </w:rPr>
        <w:t>המערער כפר בכך שאחז במברג בידו ובכך שדקר את המערער</w:t>
      </w:r>
      <w:r>
        <w:rPr>
          <w:rtl w:val="true"/>
        </w:rPr>
        <w:t xml:space="preserve">. </w:t>
      </w:r>
      <w:r>
        <w:rPr>
          <w:rtl w:val="true"/>
        </w:rPr>
        <w:t>כן כפר המערער בכך שאכרם סיפר למרואן על שאירע בעת הנסיעה ברכב</w:t>
      </w:r>
      <w:r>
        <w:rPr>
          <w:rtl w:val="true"/>
        </w:rPr>
        <w:t xml:space="preserve">, </w:t>
      </w:r>
      <w:r>
        <w:rPr>
          <w:rtl w:val="true"/>
        </w:rPr>
        <w:t>ובכך שביקש מים כדי לשטוף את המברג המגואל בדם</w:t>
      </w:r>
      <w:r>
        <w:rPr>
          <w:rtl w:val="true"/>
        </w:rPr>
        <w:t xml:space="preserve">. </w:t>
      </w:r>
      <w:r>
        <w:rPr>
          <w:rtl w:val="true"/>
        </w:rPr>
        <w:t>טענתו העיקרית של המערער</w:t>
      </w:r>
      <w:r>
        <w:rPr>
          <w:rtl w:val="true"/>
        </w:rPr>
        <w:t xml:space="preserve">, </w:t>
      </w:r>
      <w:r>
        <w:rPr>
          <w:rtl w:val="true"/>
        </w:rPr>
        <w:t>היא גם טענתו המרכזית בערעור</w:t>
      </w:r>
      <w:r>
        <w:rPr>
          <w:rtl w:val="true"/>
        </w:rPr>
        <w:t xml:space="preserve">, </w:t>
      </w:r>
      <w:r>
        <w:rPr>
          <w:rtl w:val="true"/>
        </w:rPr>
        <w:t>הייתה כי לא הוכח מעבר לכל ספק סביר כי הוא שדקר את המנוח</w:t>
      </w:r>
      <w:r>
        <w:rPr>
          <w:rtl w:val="true"/>
        </w:rPr>
        <w:t xml:space="preserve">, </w:t>
      </w:r>
      <w:r>
        <w:rPr>
          <w:rtl w:val="true"/>
        </w:rPr>
        <w:t>וכי על פי חומר הראיות תיתכן אפשרות כי אכרם או האדי הם שדקרו את המנוח</w:t>
      </w:r>
      <w:r>
        <w:rPr>
          <w:rtl w:val="true"/>
        </w:rPr>
        <w:t xml:space="preserve">. </w:t>
      </w:r>
      <w:r>
        <w:rPr>
          <w:rtl w:val="true"/>
        </w:rPr>
        <w:t>כמו כן</w:t>
      </w:r>
      <w:r>
        <w:rPr>
          <w:rtl w:val="true"/>
        </w:rPr>
        <w:t xml:space="preserve">, </w:t>
      </w:r>
      <w:r>
        <w:rPr>
          <w:rtl w:val="true"/>
        </w:rPr>
        <w:t>טען המערער כי לא התקיים אצלו היסוד הנפשי לשם הרשעתו בעבירת רצח תוך כדי ביצוע עבירה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פענוח</w:t>
      </w:r>
      <w:r>
        <w:rPr>
          <w:rFonts w:ascii="Century" w:hAnsi="Century" w:eastAsia="Century" w:cs="Century"/>
          <w:b/>
          <w:b/>
          <w:spacing w:val="0"/>
          <w:szCs w:val="24"/>
          <w:rtl w:val="true"/>
        </w:rPr>
        <w:t xml:space="preserve"> </w:t>
      </w:r>
      <w:r>
        <w:rPr>
          <w:rFonts w:ascii="Century" w:hAnsi="Century" w:cs="Miriam"/>
          <w:b/>
          <w:b/>
          <w:spacing w:val="0"/>
          <w:szCs w:val="24"/>
          <w:rtl w:val="true"/>
        </w:rPr>
        <w:t>הפרשה</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יתר</w:t>
      </w:r>
      <w:r>
        <w:rPr>
          <w:rFonts w:ascii="Century" w:hAnsi="Century" w:eastAsia="Century" w:cs="Century"/>
          <w:b/>
          <w:b/>
          <w:spacing w:val="0"/>
          <w:szCs w:val="24"/>
          <w:rtl w:val="true"/>
        </w:rPr>
        <w:t xml:space="preserve"> </w:t>
      </w:r>
      <w:r>
        <w:rPr>
          <w:rFonts w:ascii="Century" w:hAnsi="Century" w:cs="Miriam"/>
          <w:b/>
          <w:b/>
          <w:spacing w:val="0"/>
          <w:szCs w:val="24"/>
          <w:rtl w:val="true"/>
        </w:rPr>
        <w:t>המעורבים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ביום האירוע הגיעו אנשי משטרה לזירה וביצעו פעולות חקירה</w:t>
      </w:r>
      <w:r>
        <w:rPr>
          <w:rtl w:val="true"/>
        </w:rPr>
        <w:t xml:space="preserve">, </w:t>
      </w:r>
      <w:r>
        <w:rPr>
          <w:rtl w:val="true"/>
        </w:rPr>
        <w:t>אך זהות המעורבים לא פוענחה</w:t>
      </w:r>
      <w:r>
        <w:rPr>
          <w:rtl w:val="true"/>
        </w:rPr>
        <w:t xml:space="preserve">. </w:t>
      </w:r>
      <w:r>
        <w:rPr>
          <w:rtl w:val="true"/>
        </w:rPr>
        <w:t>כאמור לעיל</w:t>
      </w:r>
      <w:r>
        <w:rPr>
          <w:rtl w:val="true"/>
        </w:rPr>
        <w:t xml:space="preserve">, </w:t>
      </w:r>
      <w:r>
        <w:rPr>
          <w:rtl w:val="true"/>
        </w:rPr>
        <w:t>פריצת הדרך התרחשה לאחר כשמונה חודשים</w:t>
      </w:r>
      <w:r>
        <w:rPr>
          <w:rtl w:val="true"/>
        </w:rPr>
        <w:t xml:space="preserve">, </w:t>
      </w:r>
      <w:r>
        <w:rPr>
          <w:rtl w:val="true"/>
        </w:rPr>
        <w:t xml:space="preserve">ביום </w:t>
      </w:r>
      <w:r>
        <w:rPr/>
        <w:t>4.7.2013</w:t>
      </w:r>
      <w:r>
        <w:rPr>
          <w:rtl w:val="true"/>
        </w:rPr>
        <w:t xml:space="preserve">, </w:t>
      </w:r>
      <w:r>
        <w:rPr>
          <w:rtl w:val="true"/>
        </w:rPr>
        <w:t xml:space="preserve">אז נעצר </w:t>
      </w:r>
      <w:r>
        <w:rPr>
          <w:rFonts w:ascii="Century" w:hAnsi="Century" w:cs="Century"/>
          <w:sz w:val="22"/>
          <w:sz w:val="22"/>
          <w:rtl w:val="true"/>
        </w:rPr>
        <w:t>מרואן</w:t>
      </w:r>
      <w:r>
        <w:rPr>
          <w:rtl w:val="true"/>
        </w:rPr>
        <w:t xml:space="preserve"> בחשד לפעילות נגד המדינה</w:t>
      </w:r>
      <w:r>
        <w:rPr>
          <w:rtl w:val="true"/>
        </w:rPr>
        <w:t xml:space="preserve">, </w:t>
      </w:r>
      <w:r>
        <w:rPr>
          <w:rtl w:val="true"/>
        </w:rPr>
        <w:t>מסר מידע אודות האירוע המתואר בכתב האישום וקשר אליו את השלושה</w:t>
      </w:r>
      <w:r>
        <w:rPr>
          <w:rtl w:val="true"/>
        </w:rPr>
        <w:t xml:space="preserve">. </w:t>
      </w:r>
      <w:r>
        <w:rPr>
          <w:rtl w:val="true"/>
        </w:rPr>
        <w:t>בימים שלאחר מכן נחקר אכרם מספר פעמים ומסר פרטים בנוגע להשתלשלות האירועים</w:t>
      </w:r>
      <w:r>
        <w:rPr>
          <w:rtl w:val="true"/>
        </w:rPr>
        <w:t xml:space="preserve">, </w:t>
      </w:r>
      <w:r>
        <w:rPr>
          <w:rtl w:val="true"/>
        </w:rPr>
        <w:t>מבלי לנקוב בשמותיהם של האדי והמערער</w:t>
      </w:r>
      <w:r>
        <w:rPr>
          <w:rtl w:val="true"/>
        </w:rPr>
        <w:t xml:space="preserve">. </w:t>
      </w:r>
      <w:r>
        <w:rPr>
          <w:rtl w:val="true"/>
        </w:rPr>
        <w:t>בהמשך</w:t>
      </w:r>
      <w:r>
        <w:rPr>
          <w:rtl w:val="true"/>
        </w:rPr>
        <w:t xml:space="preserve">, </w:t>
      </w:r>
      <w:r>
        <w:rPr>
          <w:rtl w:val="true"/>
        </w:rPr>
        <w:t>נחתם עם אכרם הסכם עד מדינה בעקבותיו מסר את גרסתו המלאה לאירוע</w:t>
      </w:r>
      <w:r>
        <w:rPr>
          <w:rtl w:val="true"/>
        </w:rPr>
        <w:t xml:space="preserve">, </w:t>
      </w:r>
      <w:r>
        <w:rPr>
          <w:rtl w:val="true"/>
        </w:rPr>
        <w:t>תוך נקיבת שמות המעורבים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נגד </w:t>
      </w:r>
      <w:r>
        <w:rPr>
          <w:rFonts w:ascii="Century" w:hAnsi="Century" w:cs="Miriam"/>
          <w:b/>
          <w:b/>
          <w:spacing w:val="0"/>
          <w:sz w:val="22"/>
          <w:sz w:val="22"/>
          <w:szCs w:val="24"/>
          <w:rtl w:val="true"/>
        </w:rPr>
        <w:t>אכרם</w:t>
      </w:r>
      <w:r>
        <w:rPr>
          <w:rtl w:val="true"/>
        </w:rPr>
        <w:t xml:space="preserve"> הוגש כתב אישום לבית המשפט המחוזי מרכז</w:t>
      </w:r>
      <w:r>
        <w:rPr>
          <w:rtl w:val="true"/>
        </w:rPr>
        <w:t>-</w:t>
      </w:r>
      <w:r>
        <w:rPr>
          <w:rtl w:val="true"/>
        </w:rPr>
        <w:t xml:space="preserve">לוד </w:t>
      </w:r>
      <w:r>
        <w:rPr>
          <w:rtl w:val="true"/>
        </w:rPr>
        <w:t>(</w:t>
      </w:r>
      <w:hyperlink r:id="rId30">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6083-08-13</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בהתאם להסכם עד המדינה עמו</w:t>
      </w:r>
      <w:r>
        <w:rPr>
          <w:rtl w:val="true"/>
        </w:rPr>
        <w:t xml:space="preserve">, </w:t>
      </w:r>
      <w:r>
        <w:rPr>
          <w:rtl w:val="true"/>
        </w:rPr>
        <w:t>תוקן כתב האישום והוא הורשע בעבירות רכוש</w:t>
      </w:r>
      <w:r>
        <w:rPr>
          <w:rtl w:val="true"/>
        </w:rPr>
        <w:t xml:space="preserve">, </w:t>
      </w:r>
      <w:r>
        <w:rPr>
          <w:rtl w:val="true"/>
        </w:rPr>
        <w:t>קשירת קשר ושהיה בלתי חוקית</w:t>
      </w:r>
      <w:r>
        <w:rPr>
          <w:rtl w:val="true"/>
        </w:rPr>
        <w:t xml:space="preserve">, </w:t>
      </w:r>
      <w:r>
        <w:rPr>
          <w:rtl w:val="true"/>
        </w:rPr>
        <w:t>ונדון לארבע שנות מאסר בפועל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נגד </w:t>
      </w:r>
      <w:r>
        <w:rPr>
          <w:rFonts w:ascii="Century" w:hAnsi="Century" w:cs="Miriam"/>
          <w:b/>
          <w:b/>
          <w:spacing w:val="0"/>
          <w:sz w:val="22"/>
          <w:sz w:val="22"/>
          <w:szCs w:val="24"/>
          <w:rtl w:val="true"/>
        </w:rPr>
        <w:t>מרואן</w:t>
      </w:r>
      <w:r>
        <w:rPr>
          <w:rtl w:val="true"/>
        </w:rPr>
        <w:t xml:space="preserve"> הוגש כתב אישום לבית משפט השלום בנתניה </w:t>
      </w:r>
      <w:r>
        <w:rPr>
          <w:rtl w:val="true"/>
        </w:rPr>
        <w:t>(</w:t>
      </w:r>
      <w:hyperlink r:id="rId3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3848-08-13</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הוא הורשע</w:t>
      </w:r>
      <w:r>
        <w:rPr>
          <w:rtl w:val="true"/>
        </w:rPr>
        <w:t xml:space="preserve">, </w:t>
      </w:r>
      <w:r>
        <w:rPr>
          <w:rtl w:val="true"/>
        </w:rPr>
        <w:t>בין היתר</w:t>
      </w:r>
      <w:r>
        <w:rPr>
          <w:rtl w:val="true"/>
        </w:rPr>
        <w:t xml:space="preserve">, </w:t>
      </w:r>
      <w:r>
        <w:rPr>
          <w:rtl w:val="true"/>
        </w:rPr>
        <w:t xml:space="preserve">בעבירות של סיוע להתפרצות למקום מגורים וסיוע לאחר מעשה והושתו עליו </w:t>
      </w:r>
      <w:r>
        <w:rPr/>
        <w:t>24</w:t>
      </w:r>
      <w:r>
        <w:rPr>
          <w:rtl w:val="true"/>
        </w:rPr>
        <w:t xml:space="preserve"> </w:t>
      </w:r>
      <w:r>
        <w:rPr>
          <w:rtl w:val="true"/>
        </w:rPr>
        <w:t>חודשי מאסר בפועל</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האדי</w:t>
      </w:r>
      <w:r>
        <w:rPr>
          <w:rtl w:val="true"/>
        </w:rPr>
        <w:t xml:space="preserve">, </w:t>
      </w:r>
      <w:r>
        <w:rPr>
          <w:rtl w:val="true"/>
        </w:rPr>
        <w:t>שהואשם יחד עם המערער באותו כתב אישום</w:t>
      </w:r>
      <w:r>
        <w:rPr>
          <w:rtl w:val="true"/>
        </w:rPr>
        <w:t xml:space="preserve">, </w:t>
      </w:r>
      <w:r>
        <w:rPr>
          <w:rtl w:val="true"/>
        </w:rPr>
        <w:t>כפר תחילה באשמתו אך לאחר שהסתיימה שמיעת הראיות חתם על הסדר טיעון</w:t>
      </w:r>
      <w:r>
        <w:rPr>
          <w:rtl w:val="true"/>
        </w:rPr>
        <w:t xml:space="preserve">, </w:t>
      </w:r>
      <w:r>
        <w:rPr>
          <w:rtl w:val="true"/>
        </w:rPr>
        <w:t xml:space="preserve">במסגרתו תוקן כתב האישום נגדו כך שעבירת הרצח הומרה לעבירת הריגה ונגזרו עליו בהסכמה </w:t>
      </w:r>
      <w:r>
        <w:rPr/>
        <w:t>13.5</w:t>
      </w:r>
      <w:r>
        <w:rPr>
          <w:rtl w:val="true"/>
        </w:rPr>
        <w:t xml:space="preserve"> </w:t>
      </w:r>
      <w:r>
        <w:rPr>
          <w:rtl w:val="true"/>
        </w:rPr>
        <w:t xml:space="preserve">שנות מאסר בפועל </w:t>
      </w:r>
      <w:r>
        <w:rPr>
          <w:rtl w:val="true"/>
        </w:rPr>
        <w:t>(</w:t>
      </w:r>
      <w:r>
        <w:rPr>
          <w:rtl w:val="true"/>
        </w:rPr>
        <w:t>תוך הפעלת מאסר על תנאי</w:t>
      </w:r>
      <w:r>
        <w:rPr>
          <w:rtl w:val="true"/>
        </w:rPr>
        <w:t xml:space="preserve">) </w:t>
      </w:r>
      <w:r>
        <w:rPr>
          <w:rtl w:val="true"/>
        </w:rPr>
        <w:t>ועונשי מאסר מותנים</w:t>
      </w:r>
      <w:r>
        <w:rPr>
          <w:rtl w:val="true"/>
        </w:rPr>
        <w:t xml:space="preserve">, </w:t>
      </w:r>
      <w:r>
        <w:rPr>
          <w:rtl w:val="true"/>
        </w:rPr>
        <w:t xml:space="preserve">והוא חויב בתשלום פיצוי למשפחת המנוח בסך </w:t>
      </w:r>
      <w:r>
        <w:rPr/>
        <w:t>200,000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תחילה</w:t>
      </w:r>
      <w:r>
        <w:rPr>
          <w:rtl w:val="true"/>
        </w:rPr>
        <w:t xml:space="preserve">, </w:t>
      </w:r>
      <w:r>
        <w:rPr>
          <w:rtl w:val="true"/>
        </w:rPr>
        <w:t>עמד בית המשפט</w:t>
      </w:r>
      <w:r>
        <w:rPr>
          <w:rtl w:val="true"/>
        </w:rPr>
        <w:t xml:space="preserve">, </w:t>
      </w:r>
      <w:r>
        <w:rPr>
          <w:rtl w:val="true"/>
        </w:rPr>
        <w:t>תוך סקירת הראיות השונות</w:t>
      </w:r>
      <w:r>
        <w:rPr>
          <w:rtl w:val="true"/>
        </w:rPr>
        <w:t xml:space="preserve">, </w:t>
      </w:r>
      <w:r>
        <w:rPr>
          <w:rtl w:val="true"/>
        </w:rPr>
        <w:t>על העובדות לגביהן לא התקיימה מחלוקת ממשית</w:t>
      </w:r>
      <w:r>
        <w:rPr>
          <w:rtl w:val="true"/>
        </w:rPr>
        <w:t xml:space="preserve">: </w:t>
      </w:r>
      <w:r>
        <w:rPr>
          <w:rtl w:val="true"/>
        </w:rPr>
        <w:t>בעת ההגעה לזירת האירוע נשא המערער מברג שאורכו כ</w:t>
      </w:r>
      <w:r>
        <w:rPr>
          <w:rtl w:val="true"/>
        </w:rPr>
        <w:t>-</w:t>
      </w:r>
      <w:r>
        <w:rPr/>
        <w:t>25</w:t>
      </w:r>
      <w:r>
        <w:rPr>
          <w:rtl w:val="true"/>
        </w:rPr>
        <w:t xml:space="preserve"> </w:t>
      </w:r>
      <w:r>
        <w:rPr>
          <w:rtl w:val="true"/>
        </w:rPr>
        <w:t>ס</w:t>
      </w:r>
      <w:r>
        <w:rPr>
          <w:rtl w:val="true"/>
        </w:rPr>
        <w:t>"</w:t>
      </w:r>
      <w:r>
        <w:rPr>
          <w:rtl w:val="true"/>
        </w:rPr>
        <w:t>מ</w:t>
      </w:r>
      <w:r>
        <w:rPr>
          <w:rtl w:val="true"/>
        </w:rPr>
        <w:t xml:space="preserve">, </w:t>
      </w:r>
      <w:r>
        <w:rPr>
          <w:rtl w:val="true"/>
        </w:rPr>
        <w:t xml:space="preserve">האדי נשא מברג גדול יותר ואכרם נשא מברג קטן מאוד מסוג </w:t>
      </w:r>
      <w:r>
        <w:rPr>
          <w:rtl w:val="true"/>
        </w:rPr>
        <w:t>"</w:t>
      </w:r>
      <w:r>
        <w:rPr>
          <w:rtl w:val="true"/>
        </w:rPr>
        <w:t>טסטר</w:t>
      </w:r>
      <w:r>
        <w:rPr>
          <w:rtl w:val="true"/>
        </w:rPr>
        <w:t xml:space="preserve">". </w:t>
      </w:r>
      <w:r>
        <w:rPr>
          <w:rtl w:val="true"/>
        </w:rPr>
        <w:t>המערער התפרץ לבית דרך חלון המטבח ופתח את דלת הכניסה</w:t>
      </w:r>
      <w:r>
        <w:rPr>
          <w:rtl w:val="true"/>
        </w:rPr>
        <w:t xml:space="preserve">. </w:t>
      </w:r>
      <w:r>
        <w:rPr>
          <w:rtl w:val="true"/>
        </w:rPr>
        <w:t>לבקשת המערער</w:t>
      </w:r>
      <w:r>
        <w:rPr>
          <w:rtl w:val="true"/>
        </w:rPr>
        <w:t xml:space="preserve">, </w:t>
      </w:r>
      <w:r>
        <w:rPr>
          <w:rtl w:val="true"/>
        </w:rPr>
        <w:t>הניח אכרם אבן או עציץ בסמוך לדלת כדי להותירה פתוחה</w:t>
      </w:r>
      <w:r>
        <w:rPr>
          <w:rtl w:val="true"/>
        </w:rPr>
        <w:t xml:space="preserve">. </w:t>
      </w:r>
      <w:r>
        <w:rPr>
          <w:rtl w:val="true"/>
        </w:rPr>
        <w:t>תקיפת המנוח אירעה במבואת הכניסה שבתוך הבית</w:t>
      </w:r>
      <w:r>
        <w:rPr>
          <w:rtl w:val="true"/>
        </w:rPr>
        <w:t xml:space="preserve">, </w:t>
      </w:r>
      <w:r>
        <w:rPr>
          <w:rtl w:val="true"/>
        </w:rPr>
        <w:t>בעת שדלת הכניסה הייתה פתוחה בחלקה</w:t>
      </w:r>
      <w:r>
        <w:rPr>
          <w:rtl w:val="true"/>
        </w:rPr>
        <w:t xml:space="preserve">. </w:t>
      </w:r>
      <w:r>
        <w:rPr>
          <w:rtl w:val="true"/>
        </w:rPr>
        <w:t>גופת המנוח נמצאה על הרחבה שמחוץ לפתח הבית ועליה פצע חתך בלחי שמאל</w:t>
      </w:r>
      <w:r>
        <w:rPr>
          <w:rtl w:val="true"/>
        </w:rPr>
        <w:t xml:space="preserve">, </w:t>
      </w:r>
      <w:r>
        <w:rPr>
          <w:rtl w:val="true"/>
        </w:rPr>
        <w:t>פצע דקירה ושפשוף באזור בית החזה וכתף ימין</w:t>
      </w:r>
      <w:r>
        <w:rPr>
          <w:rtl w:val="true"/>
        </w:rPr>
        <w:t xml:space="preserve">, </w:t>
      </w:r>
      <w:r>
        <w:rPr>
          <w:rtl w:val="true"/>
        </w:rPr>
        <w:t>שריטה בזרוע ימין ושריטה בכתף שמאל</w:t>
      </w:r>
      <w:r>
        <w:rPr>
          <w:rtl w:val="true"/>
        </w:rPr>
        <w:t xml:space="preserve">. </w:t>
      </w:r>
      <w:r>
        <w:rPr>
          <w:rtl w:val="true"/>
        </w:rPr>
        <w:t>סיבת המוות</w:t>
      </w:r>
      <w:r>
        <w:rPr>
          <w:rtl w:val="true"/>
        </w:rPr>
        <w:t xml:space="preserve">, </w:t>
      </w:r>
      <w:r>
        <w:rPr>
          <w:rtl w:val="true"/>
        </w:rPr>
        <w:t>כפי שנמצאה על ידי ד</w:t>
      </w:r>
      <w:r>
        <w:rPr>
          <w:rtl w:val="true"/>
        </w:rPr>
        <w:t>"</w:t>
      </w:r>
      <w:r>
        <w:rPr>
          <w:rtl w:val="true"/>
        </w:rPr>
        <w:t>ר זייצב</w:t>
      </w:r>
      <w:r>
        <w:rPr>
          <w:rtl w:val="true"/>
        </w:rPr>
        <w:t xml:space="preserve">, </w:t>
      </w:r>
      <w:r>
        <w:rPr>
          <w:rtl w:val="true"/>
        </w:rPr>
        <w:t xml:space="preserve">המומחה מהמכון לרפואה משפטית </w:t>
      </w:r>
      <w:r>
        <w:rPr>
          <w:rtl w:val="true"/>
        </w:rPr>
        <w:t>(</w:t>
      </w:r>
      <w:r>
        <w:rPr>
          <w:rtl w:val="true"/>
        </w:rPr>
        <w:t>להלן</w:t>
      </w:r>
      <w:r>
        <w:rPr>
          <w:rtl w:val="true"/>
        </w:rPr>
        <w:t xml:space="preserve">: </w:t>
      </w:r>
      <w:r>
        <w:rPr>
          <w:rFonts w:ascii="Century" w:hAnsi="Century" w:cs="Miriam"/>
          <w:b/>
          <w:b/>
          <w:spacing w:val="0"/>
          <w:sz w:val="22"/>
          <w:sz w:val="22"/>
          <w:szCs w:val="24"/>
          <w:rtl w:val="true"/>
        </w:rPr>
        <w:t>המומחה</w:t>
      </w:r>
      <w:r>
        <w:rPr>
          <w:rFonts w:cs="Century" w:ascii="Century" w:hAnsi="Century"/>
          <w:sz w:val="22"/>
          <w:rtl w:val="true"/>
        </w:rPr>
        <w:t>)</w:t>
      </w:r>
      <w:r>
        <w:rPr>
          <w:rtl w:val="true"/>
        </w:rPr>
        <w:t xml:space="preserve">, </w:t>
      </w:r>
      <w:r>
        <w:rPr>
          <w:rtl w:val="true"/>
        </w:rPr>
        <w:t>היא איבוד דם נרחב עם טמפונדה לבבית כתוצאה מפצע דקירה מחפץ מושחז בבית החזה מימין</w:t>
      </w:r>
      <w:r>
        <w:rPr>
          <w:rtl w:val="true"/>
        </w:rPr>
        <w:t xml:space="preserve">. </w:t>
      </w:r>
      <w:r>
        <w:rPr>
          <w:rtl w:val="true"/>
        </w:rPr>
        <w:t>לפי עדות המומחה</w:t>
      </w:r>
      <w:r>
        <w:rPr>
          <w:rtl w:val="true"/>
        </w:rPr>
        <w:t xml:space="preserve">, </w:t>
      </w:r>
      <w:r>
        <w:rPr>
          <w:rtl w:val="true"/>
        </w:rPr>
        <w:t>אורך תעלת הדקירה כ</w:t>
      </w:r>
      <w:r>
        <w:rPr>
          <w:rtl w:val="true"/>
        </w:rPr>
        <w:t>-</w:t>
      </w:r>
      <w:r>
        <w:rPr/>
        <w:t>12-11</w:t>
      </w:r>
      <w:r>
        <w:rPr>
          <w:rtl w:val="true"/>
        </w:rPr>
        <w:t xml:space="preserve"> </w:t>
      </w:r>
      <w:r>
        <w:rPr>
          <w:rtl w:val="true"/>
        </w:rPr>
        <w:t>ס</w:t>
      </w:r>
      <w:r>
        <w:rPr>
          <w:rtl w:val="true"/>
        </w:rPr>
        <w:t>"</w:t>
      </w:r>
      <w:r>
        <w:rPr>
          <w:rtl w:val="true"/>
        </w:rPr>
        <w:t>מ וכיוונה מקדימה לאחור</w:t>
      </w:r>
      <w:r>
        <w:rPr>
          <w:rtl w:val="true"/>
        </w:rPr>
        <w:t xml:space="preserve">, </w:t>
      </w:r>
      <w:r>
        <w:rPr>
          <w:rtl w:val="true"/>
        </w:rPr>
        <w:t>מימין לשמאל ומלמעלה מעט למטה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יריעת המחלוקת</w:t>
      </w:r>
      <w:r>
        <w:rPr>
          <w:rtl w:val="true"/>
        </w:rPr>
        <w:t xml:space="preserve">, </w:t>
      </w:r>
      <w:r>
        <w:rPr>
          <w:rtl w:val="true"/>
        </w:rPr>
        <w:t>אפוא</w:t>
      </w:r>
      <w:r>
        <w:rPr>
          <w:rtl w:val="true"/>
        </w:rPr>
        <w:t xml:space="preserve">, </w:t>
      </w:r>
      <w:r>
        <w:rPr>
          <w:rtl w:val="true"/>
        </w:rPr>
        <w:t>התרכזה בשאלה האם המערער הוא זה מבין השלושה שדקר את המנוח</w:t>
      </w:r>
      <w:r>
        <w:rPr>
          <w:rtl w:val="true"/>
        </w:rPr>
        <w:t xml:space="preserve">. </w:t>
      </w:r>
      <w:r>
        <w:rPr>
          <w:rtl w:val="true"/>
        </w:rPr>
        <w:t>גרסאות המעורבים נחלקו במספר נקודות מרכזיות</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אכרם</w:t>
      </w:r>
      <w:r>
        <w:rPr>
          <w:rtl w:val="true"/>
        </w:rPr>
        <w:t xml:space="preserve"> העיד כי תפקידו היה לשמור מחוץ לדלת הבית</w:t>
      </w:r>
      <w:r>
        <w:rPr>
          <w:rtl w:val="true"/>
        </w:rPr>
        <w:t xml:space="preserve">, </w:t>
      </w:r>
      <w:r>
        <w:rPr>
          <w:rtl w:val="true"/>
        </w:rPr>
        <w:t xml:space="preserve">אולם כששמע קולות של אנשים </w:t>
      </w:r>
      <w:r>
        <w:rPr>
          <w:rtl w:val="true"/>
        </w:rPr>
        <w:t>(</w:t>
      </w:r>
      <w:r>
        <w:rPr>
          <w:rtl w:val="true"/>
        </w:rPr>
        <w:t>עוד בטרם כניסת המנוח לבית</w:t>
      </w:r>
      <w:r>
        <w:rPr>
          <w:rtl w:val="true"/>
        </w:rPr>
        <w:t xml:space="preserve">), </w:t>
      </w:r>
      <w:r>
        <w:rPr>
          <w:rtl w:val="true"/>
        </w:rPr>
        <w:t>נכנס פנימה כדי להזהיר את המערער ואז יצא</w:t>
      </w:r>
      <w:r>
        <w:rPr>
          <w:rtl w:val="true"/>
        </w:rPr>
        <w:t xml:space="preserve">, </w:t>
      </w:r>
      <w:r>
        <w:rPr>
          <w:rtl w:val="true"/>
        </w:rPr>
        <w:t>ולא ראה את המנוח נכנס לתוך הבית</w:t>
      </w:r>
      <w:r>
        <w:rPr>
          <w:rtl w:val="true"/>
        </w:rPr>
        <w:t xml:space="preserve">. </w:t>
      </w:r>
      <w:r>
        <w:rPr>
          <w:rtl w:val="true"/>
        </w:rPr>
        <w:t>לגרסתו</w:t>
      </w:r>
      <w:r>
        <w:rPr>
          <w:rtl w:val="true"/>
        </w:rPr>
        <w:t xml:space="preserve">, </w:t>
      </w:r>
      <w:r>
        <w:rPr>
          <w:rtl w:val="true"/>
        </w:rPr>
        <w:t>הוא נמלט מהמקום כששמע צעקות ורעש של מכות</w:t>
      </w:r>
      <w:r>
        <w:rPr>
          <w:rtl w:val="true"/>
        </w:rPr>
        <w:t xml:space="preserve">, </w:t>
      </w:r>
      <w:r>
        <w:rPr>
          <w:rtl w:val="true"/>
        </w:rPr>
        <w:t>ועל כן לא ראה את דקירת המנוח</w:t>
      </w:r>
      <w:r>
        <w:rPr>
          <w:rtl w:val="true"/>
        </w:rPr>
        <w:t xml:space="preserve">. </w:t>
      </w:r>
      <w:r>
        <w:rPr>
          <w:rtl w:val="true"/>
        </w:rPr>
        <w:t>אכרם הכחיש שבזמן המאבק שהה בתוך הבית יחד עם המערער והמנוח וכי בניסיון לחלץ את המערער</w:t>
      </w:r>
      <w:r>
        <w:rPr>
          <w:rtl w:val="true"/>
        </w:rPr>
        <w:t xml:space="preserve">, </w:t>
      </w:r>
      <w:r>
        <w:rPr>
          <w:rtl w:val="true"/>
        </w:rPr>
        <w:t>היכה את המנוח ברגליו באמצעות מקל</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ההימלטות</w:t>
      </w:r>
      <w:r>
        <w:rPr>
          <w:rFonts w:eastAsia="Arial TUR;Arial" w:cs="Arial TUR;Arial"/>
          <w:rtl w:val="true"/>
        </w:rPr>
        <w:t xml:space="preserve"> </w:t>
      </w:r>
      <w:r>
        <w:rPr>
          <w:rtl w:val="true"/>
        </w:rPr>
        <w:t>מהמקום</w:t>
      </w:r>
      <w:r>
        <w:rPr>
          <w:rtl w:val="true"/>
        </w:rPr>
        <w:t xml:space="preserve">, </w:t>
      </w:r>
      <w:r>
        <w:rPr>
          <w:rtl w:val="true"/>
        </w:rPr>
        <w:t>אכרם</w:t>
      </w:r>
      <w:r>
        <w:rPr>
          <w:rFonts w:eastAsia="Arial TUR;Arial" w:cs="Arial TUR;Arial"/>
          <w:rtl w:val="true"/>
        </w:rPr>
        <w:t xml:space="preserve"> </w:t>
      </w:r>
      <w:r>
        <w:rPr>
          <w:rtl w:val="true"/>
        </w:rPr>
        <w:t>הכחיש</w:t>
      </w:r>
      <w:r>
        <w:rPr>
          <w:rtl w:val="true"/>
        </w:rPr>
        <w:t xml:space="preserve">, </w:t>
      </w:r>
      <w:r>
        <w:rPr>
          <w:rtl w:val="true"/>
        </w:rPr>
        <w:t>וזאת</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להודעות</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במשטרה</w:t>
      </w:r>
      <w:r>
        <w:rPr>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הנסיעה</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למרואן</w:t>
      </w:r>
      <w:r>
        <w:rPr>
          <w:rFonts w:eastAsia="Arial TUR;Arial" w:cs="Arial TUR;Arial"/>
          <w:rtl w:val="true"/>
        </w:rPr>
        <w:t xml:space="preserve"> </w:t>
      </w:r>
      <w:r>
        <w:rPr>
          <w:rtl w:val="true"/>
        </w:rPr>
        <w:t>–</w:t>
      </w:r>
      <w:r>
        <w:rPr>
          <w:rFonts w:eastAsia="Arial TUR;Arial" w:cs="Arial TUR;Arial"/>
          <w:rtl w:val="true"/>
        </w:rPr>
        <w:t xml:space="preserve"> </w:t>
      </w:r>
      <w:r>
        <w:rPr>
          <w:rtl w:val="true"/>
        </w:rPr>
        <w:t>הנהג</w:t>
      </w:r>
      <w:r>
        <w:rPr>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דקירה</w:t>
      </w:r>
      <w:r>
        <w:rPr>
          <w:rFonts w:eastAsia="Arial TUR;Arial" w:cs="Arial TUR;Arial"/>
          <w:rtl w:val="true"/>
        </w:rPr>
        <w:t xml:space="preserve"> </w:t>
      </w:r>
      <w:r>
        <w:rPr>
          <w:rtl w:val="true"/>
        </w:rPr>
        <w:t>ממברג</w:t>
      </w:r>
      <w:r>
        <w:rPr>
          <w:rtl w:val="true"/>
        </w:rPr>
        <w:t xml:space="preserve">. </w:t>
      </w:r>
      <w:r>
        <w:rPr>
          <w:rtl w:val="true"/>
        </w:rPr>
        <w:t>אכרם</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ההגעה</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בטיפות</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חולצתו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המברג</w:t>
      </w:r>
      <w:r>
        <w:rPr>
          <w:rFonts w:eastAsia="Arial TUR;Arial" w:cs="Arial TUR;Arial"/>
          <w:rtl w:val="true"/>
        </w:rPr>
        <w:t xml:space="preserve"> </w:t>
      </w:r>
      <w:r>
        <w:rPr>
          <w:rtl w:val="true"/>
        </w:rPr>
        <w:t>שהחזיק</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מהאדי</w:t>
      </w:r>
      <w:r>
        <w:rPr>
          <w:rFonts w:eastAsia="Arial TUR;Arial" w:cs="Arial TUR;Arial"/>
          <w:rtl w:val="true"/>
        </w:rPr>
        <w:t xml:space="preserve"> </w:t>
      </w:r>
      <w:r>
        <w:rPr>
          <w:rtl w:val="true"/>
        </w:rPr>
        <w:t>בקבוק</w:t>
      </w:r>
      <w:r>
        <w:rPr>
          <w:rFonts w:eastAsia="Arial TUR;Arial" w:cs="Arial TUR;Arial"/>
          <w:rtl w:val="true"/>
        </w:rPr>
        <w:t xml:space="preserve"> </w:t>
      </w:r>
      <w:r>
        <w:rPr>
          <w:rtl w:val="true"/>
        </w:rPr>
        <w:t>מים</w:t>
      </w:r>
      <w:r>
        <w:rPr>
          <w:rFonts w:eastAsia="Arial TUR;Arial" w:cs="Arial TUR;Arial"/>
          <w:rtl w:val="true"/>
        </w:rPr>
        <w:t xml:space="preserve"> </w:t>
      </w:r>
      <w:r>
        <w:rPr>
          <w:rtl w:val="true"/>
        </w:rPr>
        <w:t>ושטף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tl w:val="true"/>
        </w:rPr>
        <w:t xml:space="preserve">, </w:t>
      </w:r>
      <w:r>
        <w:rPr>
          <w:rtl w:val="true"/>
        </w:rPr>
        <w:t>את</w:t>
      </w:r>
      <w:r>
        <w:rPr>
          <w:rFonts w:eastAsia="Arial TUR;Arial" w:cs="Arial TUR;Arial"/>
          <w:rtl w:val="true"/>
        </w:rPr>
        <w:t xml:space="preserve"> </w:t>
      </w:r>
      <w:r>
        <w:rPr>
          <w:rtl w:val="true"/>
        </w:rPr>
        <w:t>החולצה</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המברג</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האדי</w:t>
      </w:r>
      <w:r>
        <w:rPr>
          <w:rtl w:val="true"/>
        </w:rPr>
        <w:t xml:space="preserve"> העיד כי המערער נכנס לבית כשהוא ואכרם עמדו בחוץ</w:t>
      </w:r>
      <w:r>
        <w:rPr>
          <w:rtl w:val="true"/>
        </w:rPr>
        <w:t xml:space="preserve">: </w:t>
      </w:r>
      <w:r>
        <w:rPr>
          <w:rtl w:val="true"/>
        </w:rPr>
        <w:t>האדי תצפת ואכרם עמד בצמוד לדלת והיה אמור ליטול את החפצים הגנובים מהמערער</w:t>
      </w:r>
      <w:r>
        <w:rPr>
          <w:rtl w:val="true"/>
        </w:rPr>
        <w:t xml:space="preserve">. </w:t>
      </w:r>
      <w:r>
        <w:rPr>
          <w:rtl w:val="true"/>
        </w:rPr>
        <w:t>שעה שהגיע המנוח לבית</w:t>
      </w:r>
      <w:r>
        <w:rPr>
          <w:rtl w:val="true"/>
        </w:rPr>
        <w:t xml:space="preserve">, </w:t>
      </w:r>
      <w:r>
        <w:rPr>
          <w:rtl w:val="true"/>
        </w:rPr>
        <w:t>קרא האדי לאכרם בשמו על מנת להזהירו</w:t>
      </w:r>
      <w:r>
        <w:rPr>
          <w:rtl w:val="true"/>
        </w:rPr>
        <w:t xml:space="preserve">, </w:t>
      </w:r>
      <w:r>
        <w:rPr>
          <w:rtl w:val="true"/>
        </w:rPr>
        <w:t>אך לא ראה את אכרם ולא ידע אם הוא נמצא בתוך הבית או לא</w:t>
      </w:r>
      <w:r>
        <w:rPr>
          <w:rtl w:val="true"/>
        </w:rPr>
        <w:t xml:space="preserve">. </w:t>
      </w:r>
      <w:r>
        <w:rPr>
          <w:rtl w:val="true"/>
        </w:rPr>
        <w:t>האדי החל להימלט לכיוון הפרדס</w:t>
      </w:r>
      <w:r>
        <w:rPr>
          <w:rtl w:val="true"/>
        </w:rPr>
        <w:t xml:space="preserve">, </w:t>
      </w:r>
      <w:r>
        <w:rPr>
          <w:rtl w:val="true"/>
        </w:rPr>
        <w:t>אז שמע את המנוח צועק מתוך הבית והבחין באכרם</w:t>
      </w:r>
      <w:r>
        <w:rPr>
          <w:rtl w:val="true"/>
        </w:rPr>
        <w:t xml:space="preserve">, </w:t>
      </w:r>
      <w:r>
        <w:rPr>
          <w:rtl w:val="true"/>
        </w:rPr>
        <w:t>שהיה מכופף מחוץ לדלת הכניסה</w:t>
      </w:r>
      <w:r>
        <w:rPr>
          <w:rtl w:val="true"/>
        </w:rPr>
        <w:t xml:space="preserve">. </w:t>
      </w:r>
      <w:r>
        <w:rPr>
          <w:rtl w:val="true"/>
        </w:rPr>
        <w:t>בהמשך לכך</w:t>
      </w:r>
      <w:r>
        <w:rPr>
          <w:rtl w:val="true"/>
        </w:rPr>
        <w:t xml:space="preserve">, </w:t>
      </w:r>
      <w:r>
        <w:rPr>
          <w:rtl w:val="true"/>
        </w:rPr>
        <w:t>הבחין האדי במערער יוצא מפתח הבית ואחריו המנוח</w:t>
      </w:r>
      <w:r>
        <w:rPr>
          <w:rtl w:val="true"/>
        </w:rPr>
        <w:t xml:space="preserve">, </w:t>
      </w:r>
      <w:r>
        <w:rPr>
          <w:rtl w:val="true"/>
        </w:rPr>
        <w:t>שאחז במערער בקפוצ</w:t>
      </w:r>
      <w:r>
        <w:rPr>
          <w:rtl w:val="true"/>
        </w:rPr>
        <w:t>'</w:t>
      </w:r>
      <w:r>
        <w:rPr>
          <w:rtl w:val="true"/>
        </w:rPr>
        <w:t>ון שלבש</w:t>
      </w:r>
      <w:r>
        <w:rPr>
          <w:rtl w:val="true"/>
        </w:rPr>
        <w:t xml:space="preserve">. </w:t>
      </w:r>
      <w:r>
        <w:rPr>
          <w:rtl w:val="true"/>
        </w:rPr>
        <w:t xml:space="preserve">האדי רץ למקום וניגש להפריד בין המערער למנוח </w:t>
      </w:r>
      <w:r>
        <w:rPr>
          <w:rFonts w:ascii="Century" w:hAnsi="Century" w:cs="Miriam"/>
          <w:b/>
          <w:b/>
          <w:spacing w:val="0"/>
          <w:sz w:val="22"/>
          <w:sz w:val="22"/>
          <w:szCs w:val="24"/>
          <w:rtl w:val="true"/>
        </w:rPr>
        <w:t>מחוץ</w:t>
      </w:r>
      <w:r>
        <w:rPr>
          <w:rtl w:val="true"/>
        </w:rPr>
        <w:t xml:space="preserve"> לדלת הכניסה והכה את המנוח בראשו באמצעות קת המברג שהיה מצוי בחזקתו</w:t>
      </w:r>
      <w:r>
        <w:rPr>
          <w:rtl w:val="true"/>
        </w:rPr>
        <w:t xml:space="preserve">. </w:t>
      </w:r>
      <w:r>
        <w:rPr>
          <w:rtl w:val="true"/>
        </w:rPr>
        <w:t>לאחר מכן</w:t>
      </w:r>
      <w:r>
        <w:rPr>
          <w:rtl w:val="true"/>
        </w:rPr>
        <w:t xml:space="preserve">, </w:t>
      </w:r>
      <w:r>
        <w:rPr>
          <w:rtl w:val="true"/>
        </w:rPr>
        <w:t>לגרסתו</w:t>
      </w:r>
      <w:r>
        <w:rPr>
          <w:rtl w:val="true"/>
        </w:rPr>
        <w:t xml:space="preserve">, </w:t>
      </w:r>
      <w:r>
        <w:rPr>
          <w:rtl w:val="true"/>
        </w:rPr>
        <w:t>הכה אכרם את המנוח באמצעות מקל</w:t>
      </w:r>
      <w:r>
        <w:rPr>
          <w:rtl w:val="true"/>
        </w:rPr>
        <w:t xml:space="preserve">. </w:t>
      </w:r>
      <w:r>
        <w:rPr>
          <w:rtl w:val="true"/>
        </w:rPr>
        <w:t>אחרי שהמנוח נפל ארצה</w:t>
      </w:r>
      <w:r>
        <w:rPr>
          <w:rtl w:val="true"/>
        </w:rPr>
        <w:t xml:space="preserve">, </w:t>
      </w:r>
      <w:r>
        <w:rPr>
          <w:rtl w:val="true"/>
        </w:rPr>
        <w:t>השלושה נמלטו מהמקום</w:t>
      </w:r>
      <w:r>
        <w:rPr>
          <w:rtl w:val="true"/>
        </w:rPr>
        <w:t xml:space="preserve">. </w:t>
      </w:r>
      <w:r>
        <w:rPr>
          <w:rtl w:val="true"/>
        </w:rPr>
        <w:t>גרסתו של האדי הייתה אפוא כי כל העת הוא היה</w:t>
      </w:r>
      <w:r>
        <w:rPr>
          <w:rFonts w:ascii="Century" w:hAnsi="Century" w:cs="Century"/>
          <w:sz w:val="22"/>
          <w:sz w:val="22"/>
          <w:rtl w:val="true"/>
        </w:rPr>
        <w:t xml:space="preserve"> מחוץ לבית</w:t>
      </w:r>
      <w:r>
        <w:rPr>
          <w:rtl w:val="true"/>
        </w:rPr>
        <w:t xml:space="preserve">, </w:t>
      </w:r>
      <w:r>
        <w:rPr>
          <w:rtl w:val="true"/>
        </w:rPr>
        <w:t>וכי לא ראה את אכרם נכנס לתוך הבית או נמצא בתוכו</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ההימלטות</w:t>
      </w:r>
      <w:r>
        <w:rPr>
          <w:rtl w:val="true"/>
        </w:rPr>
        <w:t xml:space="preserve">, </w:t>
      </w:r>
      <w:r>
        <w:rPr>
          <w:rtl w:val="true"/>
        </w:rPr>
        <w:t>העיד</w:t>
      </w:r>
      <w:r>
        <w:rPr>
          <w:rFonts w:eastAsia="Arial TUR;Arial" w:cs="Arial TUR;Arial"/>
          <w:rtl w:val="true"/>
        </w:rPr>
        <w:t xml:space="preserve"> </w:t>
      </w:r>
      <w:r>
        <w:rPr>
          <w:rtl w:val="true"/>
        </w:rPr>
        <w:t>האדי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השלושה</w:t>
      </w:r>
      <w:r>
        <w:rPr>
          <w:rFonts w:eastAsia="Arial TUR;Arial" w:cs="Arial TUR;Arial"/>
          <w:rtl w:val="true"/>
        </w:rPr>
        <w:t xml:space="preserve"> </w:t>
      </w:r>
      <w:r>
        <w:rPr>
          <w:rtl w:val="true"/>
        </w:rPr>
        <w:t>החליטו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ההסתבכות</w:t>
      </w:r>
      <w:r>
        <w:rPr>
          <w:rtl w:val="true"/>
        </w:rPr>
        <w:t xml:space="preserve">" </w:t>
      </w:r>
      <w:r>
        <w:rPr>
          <w:rtl w:val="true"/>
        </w:rPr>
        <w:t>ליד</w:t>
      </w:r>
      <w:r>
        <w:rPr>
          <w:rFonts w:eastAsia="Arial TUR;Arial" w:cs="Arial TUR;Arial"/>
          <w:rtl w:val="true"/>
        </w:rPr>
        <w:t xml:space="preserve"> </w:t>
      </w:r>
      <w:r>
        <w:rPr>
          <w:rtl w:val="true"/>
        </w:rPr>
        <w:t>מרואן</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למרואן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דקירת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הנסיעה</w:t>
      </w:r>
      <w:r>
        <w:rPr>
          <w:rtl w:val="true"/>
        </w:rPr>
        <w:t xml:space="preserve">. </w:t>
      </w:r>
      <w:r>
        <w:rPr>
          <w:rtl w:val="true"/>
        </w:rPr>
        <w:t>לאחר</w:t>
      </w:r>
      <w:r>
        <w:rPr>
          <w:rFonts w:eastAsia="Arial TUR;Arial" w:cs="Arial TUR;Arial"/>
          <w:rtl w:val="true"/>
        </w:rPr>
        <w:t xml:space="preserve"> </w:t>
      </w:r>
      <w:r>
        <w:rPr>
          <w:rtl w:val="true"/>
        </w:rPr>
        <w:t>שהגיעו</w:t>
      </w:r>
      <w:r>
        <w:rPr>
          <w:rFonts w:eastAsia="Arial TUR;Arial" w:cs="Arial TUR;Arial"/>
          <w:rtl w:val="true"/>
        </w:rPr>
        <w:t xml:space="preserve"> </w:t>
      </w:r>
      <w:r>
        <w:rPr>
          <w:rtl w:val="true"/>
        </w:rPr>
        <w:t>למסעדה</w:t>
      </w:r>
      <w:r>
        <w:rPr>
          <w:rtl w:val="true"/>
        </w:rPr>
        <w:t xml:space="preserve">, </w:t>
      </w:r>
      <w:r>
        <w:rPr>
          <w:rtl w:val="true"/>
        </w:rPr>
        <w:t>נותר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מהאדי</w:t>
      </w:r>
      <w:r>
        <w:rPr>
          <w:rFonts w:eastAsia="Arial TUR;Arial" w:cs="Arial TUR;Arial"/>
          <w:rtl w:val="true"/>
        </w:rPr>
        <w:t xml:space="preserve"> </w:t>
      </w:r>
      <w:r>
        <w:rPr>
          <w:rtl w:val="true"/>
        </w:rPr>
        <w:t>שיביא</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בקבוק</w:t>
      </w:r>
      <w:r>
        <w:rPr>
          <w:rFonts w:eastAsia="Arial TUR;Arial" w:cs="Arial TUR;Arial"/>
          <w:rtl w:val="true"/>
        </w:rPr>
        <w:t xml:space="preserve"> </w:t>
      </w:r>
      <w:r>
        <w:rPr>
          <w:rtl w:val="true"/>
        </w:rPr>
        <w:t>מים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לשתות</w:t>
      </w:r>
      <w:r>
        <w:rPr>
          <w:rtl w:val="true"/>
        </w:rPr>
        <w:t xml:space="preserve">. </w:t>
      </w:r>
      <w:r>
        <w:rPr>
          <w:rtl w:val="true"/>
        </w:rPr>
        <w:t>לגרסתו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האדי</w:t>
      </w:r>
      <w:r>
        <w:rPr>
          <w:rtl w:val="true"/>
        </w:rPr>
        <w:t xml:space="preserve">, </w:t>
      </w:r>
      <w:r>
        <w:rPr>
          <w:rtl w:val="true"/>
        </w:rPr>
        <w:t>כשחזר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בקבוק</w:t>
      </w:r>
      <w:r>
        <w:rPr>
          <w:rFonts w:eastAsia="Arial TUR;Arial" w:cs="Arial TUR;Arial"/>
          <w:rtl w:val="true"/>
        </w:rPr>
        <w:t xml:space="preserve"> </w:t>
      </w:r>
      <w:r>
        <w:rPr>
          <w:rtl w:val="true"/>
        </w:rPr>
        <w:t>המים</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חציו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המברג</w:t>
      </w:r>
      <w:r>
        <w:rPr>
          <w:rFonts w:eastAsia="Arial TUR;Arial" w:cs="Arial TUR;Arial"/>
          <w:rtl w:val="true"/>
        </w:rPr>
        <w:t xml:space="preserve"> </w:t>
      </w:r>
      <w:r>
        <w:rPr>
          <w:rtl w:val="true"/>
        </w:rPr>
        <w:t>שבידי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מגואל</w:t>
      </w:r>
      <w:r>
        <w:rPr>
          <w:rFonts w:eastAsia="Arial TUR;Arial" w:cs="Arial TUR;Arial"/>
          <w:rtl w:val="true"/>
        </w:rPr>
        <w:t xml:space="preserve"> </w:t>
      </w:r>
      <w:r>
        <w:rPr>
          <w:rtl w:val="true"/>
        </w:rPr>
        <w:t>בדם</w:t>
      </w:r>
      <w:r>
        <w:rPr>
          <w:rtl w:val="true"/>
        </w:rPr>
        <w:t xml:space="preserve">. </w:t>
      </w:r>
      <w:r>
        <w:rPr>
          <w:rtl w:val="true"/>
        </w:rPr>
        <w:t>האדי</w:t>
      </w:r>
      <w:r>
        <w:rPr>
          <w:rFonts w:eastAsia="Arial TUR;Arial" w:cs="Arial TUR;Arial"/>
          <w:rtl w:val="true"/>
        </w:rPr>
        <w:t xml:space="preserve"> </w:t>
      </w:r>
      <w:r>
        <w:rPr>
          <w:rtl w:val="true"/>
        </w:rPr>
        <w:t>והמערער</w:t>
      </w:r>
      <w:r>
        <w:rPr>
          <w:rFonts w:eastAsia="Arial TUR;Arial" w:cs="Arial TUR;Arial"/>
          <w:rtl w:val="true"/>
        </w:rPr>
        <w:t xml:space="preserve"> </w:t>
      </w:r>
      <w:r>
        <w:rPr>
          <w:rtl w:val="true"/>
        </w:rPr>
        <w:t>שטפו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המברג</w:t>
      </w:r>
      <w:r>
        <w:rPr>
          <w:rFonts w:eastAsia="Arial TUR;Arial" w:cs="Arial TUR;Arial"/>
          <w:rtl w:val="true"/>
        </w:rPr>
        <w:t xml:space="preserve"> </w:t>
      </w:r>
      <w:r>
        <w:rPr>
          <w:rtl w:val="true"/>
        </w:rPr>
        <w:t>וכששאל</w:t>
      </w:r>
      <w:r>
        <w:rPr>
          <w:rFonts w:eastAsia="Arial TUR;Arial" w:cs="Arial TUR;Arial"/>
          <w:rtl w:val="true"/>
        </w:rPr>
        <w:t xml:space="preserve"> </w:t>
      </w:r>
      <w:r>
        <w:rPr>
          <w:rtl w:val="true"/>
        </w:rPr>
        <w:t>האדי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מקור</w:t>
      </w:r>
      <w:r>
        <w:rPr>
          <w:rFonts w:eastAsia="Arial TUR;Arial" w:cs="Arial TUR;Arial"/>
          <w:rtl w:val="true"/>
        </w:rPr>
        <w:t xml:space="preserve"> </w:t>
      </w:r>
      <w:r>
        <w:rPr>
          <w:rtl w:val="true"/>
        </w:rPr>
        <w:t>הדם</w:t>
      </w:r>
      <w:r>
        <w:rPr>
          <w:rtl w:val="true"/>
        </w:rPr>
        <w:t xml:space="preserve">, </w:t>
      </w:r>
      <w:r>
        <w:rPr>
          <w:rtl w:val="true"/>
        </w:rPr>
        <w:t>השיב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tl w:val="true"/>
        </w:rPr>
        <w:t>קיבל</w:t>
      </w:r>
      <w:r>
        <w:rPr>
          <w:rtl w:val="true"/>
        </w:rPr>
        <w:t xml:space="preserve">" </w:t>
      </w:r>
      <w:r>
        <w:rPr>
          <w:rtl w:val="true"/>
        </w:rPr>
        <w:t>ממנו</w:t>
      </w:r>
      <w:r>
        <w:rPr>
          <w:rFonts w:eastAsia="Arial TUR;Arial" w:cs="Arial TUR;Arial"/>
          <w:rtl w:val="true"/>
        </w:rPr>
        <w:t xml:space="preserve"> </w:t>
      </w:r>
      <w:r>
        <w:rPr>
          <w:rtl w:val="true"/>
        </w:rPr>
        <w:t>דקירה</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החזה</w:t>
      </w:r>
      <w:r>
        <w:rPr>
          <w:rFonts w:eastAsia="Arial TUR;Arial" w:cs="Arial TUR;Arial"/>
          <w:rtl w:val="true"/>
        </w:rPr>
        <w:t xml:space="preserve"> </w:t>
      </w:r>
      <w:r>
        <w:rPr>
          <w:rtl w:val="true"/>
        </w:rPr>
        <w:t>ושזה</w:t>
      </w:r>
      <w:r>
        <w:rPr>
          <w:rFonts w:eastAsia="Arial TUR;Arial" w:cs="Arial TUR;Arial"/>
          <w:rtl w:val="true"/>
        </w:rPr>
        <w:t xml:space="preserve"> </w:t>
      </w:r>
      <w:r>
        <w:rPr>
          <w:rtl w:val="true"/>
        </w:rPr>
        <w:t>"</w:t>
      </w:r>
      <w:r>
        <w:rPr>
          <w:rtl w:val="true"/>
        </w:rPr>
        <w:t>משהו</w:t>
      </w:r>
      <w:r>
        <w:rPr>
          <w:rFonts w:eastAsia="Arial TUR;Arial" w:cs="Arial TUR;Arial"/>
          <w:rtl w:val="true"/>
        </w:rPr>
        <w:t xml:space="preserve"> </w:t>
      </w:r>
      <w:r>
        <w:rPr>
          <w:rtl w:val="true"/>
        </w:rPr>
        <w:t>חפיף</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מרואן</w:t>
      </w:r>
      <w:r>
        <w:rPr>
          <w:rFonts w:cs="Century" w:ascii="Century" w:hAnsi="Century"/>
          <w:sz w:val="22"/>
          <w:rtl w:val="true"/>
        </w:rPr>
        <w:t xml:space="preserve">, </w:t>
      </w:r>
      <w:r>
        <w:rPr>
          <w:rFonts w:ascii="Century" w:hAnsi="Century" w:cs="Century"/>
          <w:sz w:val="22"/>
          <w:sz w:val="22"/>
          <w:rtl w:val="true"/>
        </w:rPr>
        <w:t>שנהג ברכב בו נמלטו השלושה</w:t>
      </w:r>
      <w:r>
        <w:rPr>
          <w:rFonts w:cs="Century" w:ascii="Century" w:hAnsi="Century"/>
          <w:sz w:val="22"/>
          <w:rtl w:val="true"/>
        </w:rPr>
        <w:t xml:space="preserve">, </w:t>
      </w:r>
      <w:r>
        <w:rPr>
          <w:rtl w:val="true"/>
        </w:rPr>
        <w:t>העיד כי בדרך למסעדה שאל את אכרם</w:t>
      </w:r>
      <w:r>
        <w:rPr>
          <w:rtl w:val="true"/>
        </w:rPr>
        <w:t xml:space="preserve">, </w:t>
      </w:r>
      <w:r>
        <w:rPr>
          <w:rtl w:val="true"/>
        </w:rPr>
        <w:t>שישב לצדו</w:t>
      </w:r>
      <w:r>
        <w:rPr>
          <w:rtl w:val="true"/>
        </w:rPr>
        <w:t>, "</w:t>
      </w:r>
      <w:r>
        <w:rPr>
          <w:rtl w:val="true"/>
        </w:rPr>
        <w:t>מה היה שם</w:t>
      </w:r>
      <w:r>
        <w:rPr>
          <w:rtl w:val="true"/>
        </w:rPr>
        <w:t xml:space="preserve">" </w:t>
      </w:r>
      <w:r>
        <w:rPr>
          <w:rtl w:val="true"/>
        </w:rPr>
        <w:t>ואכרם השיב ש</w:t>
      </w:r>
      <w:r>
        <w:rPr>
          <w:rtl w:val="true"/>
        </w:rPr>
        <w:t>"</w:t>
      </w:r>
      <w:r>
        <w:rPr>
          <w:rtl w:val="true"/>
        </w:rPr>
        <w:t>הם</w:t>
      </w:r>
      <w:r>
        <w:rPr>
          <w:rtl w:val="true"/>
        </w:rPr>
        <w:t xml:space="preserve">" </w:t>
      </w:r>
      <w:r>
        <w:rPr>
          <w:rtl w:val="true"/>
        </w:rPr>
        <w:t xml:space="preserve">פתחו חלון של בית ומישהו הגיע מאחוריהם לתפוס אותם וקיבל דקירה </w:t>
      </w:r>
      <w:r>
        <w:rPr>
          <w:rtl w:val="true"/>
        </w:rPr>
        <w:t>"</w:t>
      </w:r>
      <w:r>
        <w:rPr>
          <w:rtl w:val="true"/>
        </w:rPr>
        <w:t>חפיף</w:t>
      </w:r>
      <w:r>
        <w:rPr>
          <w:rtl w:val="true"/>
        </w:rPr>
        <w:t xml:space="preserve">", </w:t>
      </w:r>
      <w:r>
        <w:rPr>
          <w:rtl w:val="true"/>
        </w:rPr>
        <w:t>כמו שריטה</w:t>
      </w:r>
      <w:r>
        <w:rPr>
          <w:rtl w:val="true"/>
        </w:rPr>
        <w:t xml:space="preserve">. </w:t>
      </w:r>
      <w:r>
        <w:rPr>
          <w:rtl w:val="true"/>
        </w:rPr>
        <w:t>עוד העיד מרואן כי הוא לא ראה מברג</w:t>
      </w:r>
      <w:r>
        <w:rPr>
          <w:rtl w:val="true"/>
        </w:rPr>
        <w:t xml:space="preserve">, </w:t>
      </w:r>
      <w:r>
        <w:rPr>
          <w:rtl w:val="true"/>
        </w:rPr>
        <w:t>ובוודאי שלא מברג מגואל בדם</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המערער</w:t>
      </w:r>
      <w:r>
        <w:rPr>
          <w:rtl w:val="true"/>
        </w:rPr>
        <w:t xml:space="preserve"> מסר בחקירתו במשטרה כי הוא שנכנס ראשון לבית דרך החלון ופתח את דלת הבית מבפנים</w:t>
      </w:r>
      <w:r>
        <w:rPr>
          <w:rtl w:val="true"/>
        </w:rPr>
        <w:t xml:space="preserve">, </w:t>
      </w:r>
      <w:r>
        <w:rPr>
          <w:rtl w:val="true"/>
        </w:rPr>
        <w:t>ולאחר מכן אכרם נכנס דרך הדלת לתוך הבית</w:t>
      </w:r>
      <w:r>
        <w:rPr>
          <w:rtl w:val="true"/>
        </w:rPr>
        <w:t xml:space="preserve">. </w:t>
      </w:r>
      <w:r>
        <w:rPr>
          <w:rtl w:val="true"/>
        </w:rPr>
        <w:t>האדי</w:t>
      </w:r>
      <w:r>
        <w:rPr>
          <w:rtl w:val="true"/>
        </w:rPr>
        <w:t xml:space="preserve">, </w:t>
      </w:r>
      <w:r>
        <w:rPr>
          <w:rtl w:val="true"/>
        </w:rPr>
        <w:t>שתפקד כתצפיתן</w:t>
      </w:r>
      <w:r>
        <w:rPr>
          <w:rtl w:val="true"/>
        </w:rPr>
        <w:t xml:space="preserve">, </w:t>
      </w:r>
      <w:r>
        <w:rPr>
          <w:rtl w:val="true"/>
        </w:rPr>
        <w:t>עמד ליד הדלת</w:t>
      </w:r>
      <w:r>
        <w:rPr>
          <w:rtl w:val="true"/>
        </w:rPr>
        <w:t xml:space="preserve">. </w:t>
      </w:r>
      <w:r>
        <w:rPr>
          <w:rtl w:val="true"/>
        </w:rPr>
        <w:t>המערער ואכרם נכנסו לחדרים החשוכים עם פנסים בידיהם</w:t>
      </w:r>
      <w:r>
        <w:rPr>
          <w:rtl w:val="true"/>
        </w:rPr>
        <w:t xml:space="preserve">. </w:t>
      </w:r>
      <w:r>
        <w:rPr>
          <w:rtl w:val="true"/>
        </w:rPr>
        <w:t>כששמע המערער את צעקותיו של המנוח</w:t>
      </w:r>
      <w:r>
        <w:rPr>
          <w:rtl w:val="true"/>
        </w:rPr>
        <w:t xml:space="preserve">, </w:t>
      </w:r>
      <w:r>
        <w:rPr>
          <w:rtl w:val="true"/>
        </w:rPr>
        <w:t>התקרב לעבר הדלת</w:t>
      </w:r>
      <w:r>
        <w:rPr>
          <w:rtl w:val="true"/>
        </w:rPr>
        <w:t xml:space="preserve">. </w:t>
      </w:r>
      <w:r>
        <w:rPr>
          <w:rtl w:val="true"/>
        </w:rPr>
        <w:t>לאחר כניסת המנוח</w:t>
      </w:r>
      <w:r>
        <w:rPr>
          <w:rtl w:val="true"/>
        </w:rPr>
        <w:t xml:space="preserve">, </w:t>
      </w:r>
      <w:r>
        <w:rPr>
          <w:rtl w:val="true"/>
        </w:rPr>
        <w:t>עמד המנוח מול המערער ולפת את צווארו בשתי ידיו</w:t>
      </w:r>
      <w:r>
        <w:rPr>
          <w:rtl w:val="true"/>
        </w:rPr>
        <w:t xml:space="preserve">, </w:t>
      </w:r>
      <w:r>
        <w:rPr>
          <w:rtl w:val="true"/>
        </w:rPr>
        <w:t>ובין השניים התפתח מאבק קצר ודינמי בסמוך לדלת הכניסה</w:t>
      </w:r>
      <w:r>
        <w:rPr>
          <w:rtl w:val="true"/>
        </w:rPr>
        <w:t xml:space="preserve">, </w:t>
      </w:r>
      <w:r>
        <w:rPr>
          <w:rtl w:val="true"/>
        </w:rPr>
        <w:t>במהלכו ניסה המערער להשתחרר מאחיזת המנוח</w:t>
      </w:r>
      <w:r>
        <w:rPr>
          <w:rtl w:val="true"/>
        </w:rPr>
        <w:t xml:space="preserve">. </w:t>
      </w:r>
      <w:r>
        <w:rPr>
          <w:rtl w:val="true"/>
        </w:rPr>
        <w:t>אכרם עמד מאחורי המערער וניסה לסייע לו להשתחרר</w:t>
      </w:r>
      <w:r>
        <w:rPr>
          <w:rtl w:val="true"/>
        </w:rPr>
        <w:t xml:space="preserve">, </w:t>
      </w:r>
      <w:r>
        <w:rPr>
          <w:rtl w:val="true"/>
        </w:rPr>
        <w:t>ובהמשך כשהגיעו בהתקדמותם החוצה</w:t>
      </w:r>
      <w:r>
        <w:rPr>
          <w:rtl w:val="true"/>
        </w:rPr>
        <w:t xml:space="preserve">, </w:t>
      </w:r>
      <w:r>
        <w:rPr>
          <w:rtl w:val="true"/>
        </w:rPr>
        <w:t xml:space="preserve">עמד האדי </w:t>
      </w:r>
      <w:r>
        <w:rPr>
          <w:rtl w:val="true"/>
        </w:rPr>
        <w:t>"</w:t>
      </w:r>
      <w:r>
        <w:rPr>
          <w:rtl w:val="true"/>
        </w:rPr>
        <w:t>על הדלת</w:t>
      </w:r>
      <w:r>
        <w:rPr>
          <w:rtl w:val="true"/>
        </w:rPr>
        <w:t>" (</w:t>
      </w:r>
      <w:r>
        <w:rPr>
          <w:rtl w:val="true"/>
        </w:rPr>
        <w:t>כלומר מחוץ לדלת</w:t>
      </w:r>
      <w:r>
        <w:rPr>
          <w:rtl w:val="true"/>
        </w:rPr>
        <w:t xml:space="preserve">) </w:t>
      </w:r>
      <w:r>
        <w:rPr>
          <w:rtl w:val="true"/>
        </w:rPr>
        <w:t>והצטרף לחילוץ המערער</w:t>
      </w:r>
      <w:r>
        <w:rPr>
          <w:rtl w:val="true"/>
        </w:rPr>
        <w:t xml:space="preserve">. </w:t>
      </w:r>
      <w:r>
        <w:rPr>
          <w:rtl w:val="true"/>
        </w:rPr>
        <w:t>לבסוף השתחרר המערער מאחיזתו של המנוח ונמלט מהמקום יחד עם האחרים</w:t>
      </w:r>
      <w:r>
        <w:rPr>
          <w:rtl w:val="true"/>
        </w:rPr>
        <w:t xml:space="preserve">. </w:t>
      </w:r>
      <w:r>
        <w:rPr>
          <w:rtl w:val="true"/>
        </w:rPr>
        <w:t>בחקירתו</w:t>
      </w:r>
      <w:r>
        <w:rPr>
          <w:rtl w:val="true"/>
        </w:rPr>
        <w:t xml:space="preserve">, </w:t>
      </w:r>
      <w:r>
        <w:rPr>
          <w:rtl w:val="true"/>
        </w:rPr>
        <w:t>מסר המערער כי כל עת השהייה בבית היה המברג טמון בחגורתו והוא לא עשה בו שימוש</w:t>
      </w:r>
      <w:r>
        <w:rPr>
          <w:rtl w:val="true"/>
        </w:rPr>
        <w:t xml:space="preserve">, </w:t>
      </w:r>
      <w:r>
        <w:rPr>
          <w:rtl w:val="true"/>
        </w:rPr>
        <w:t>וכי גם האדי ואכרם כלל לא הוציאו את המברגים שנשאו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בחקירתו הראשית בבית המשפט</w:t>
      </w:r>
      <w:r>
        <w:rPr>
          <w:rtl w:val="true"/>
        </w:rPr>
        <w:t xml:space="preserve"> </w:t>
      </w:r>
      <w:r>
        <w:rPr>
          <w:rFonts w:cs="Century" w:ascii="Century" w:hAnsi="Century"/>
          <w:sz w:val="22"/>
          <w:rtl w:val="true"/>
        </w:rPr>
        <w:t>"</w:t>
      </w:r>
      <w:r>
        <w:rPr>
          <w:rFonts w:ascii="Century" w:hAnsi="Century" w:cs="Century"/>
          <w:sz w:val="22"/>
          <w:sz w:val="22"/>
          <w:rtl w:val="true"/>
        </w:rPr>
        <w:t>קירב</w:t>
      </w:r>
      <w:r>
        <w:rPr>
          <w:rFonts w:cs="Century" w:ascii="Century" w:hAnsi="Century"/>
          <w:sz w:val="22"/>
          <w:rtl w:val="true"/>
        </w:rPr>
        <w:t xml:space="preserve">" </w:t>
      </w:r>
      <w:r>
        <w:rPr>
          <w:rFonts w:ascii="Century" w:hAnsi="Century" w:cs="Century"/>
          <w:sz w:val="22"/>
          <w:sz w:val="22"/>
          <w:rtl w:val="true"/>
        </w:rPr>
        <w:t xml:space="preserve">המערער את האדי לזירת המאבק </w:t>
      </w:r>
      <w:r>
        <w:rPr>
          <w:rFonts w:ascii="Century" w:hAnsi="Century" w:cs="Century"/>
          <w:rtl w:val="true"/>
        </w:rPr>
        <w:t>ו</w:t>
      </w:r>
      <w:r>
        <w:rPr>
          <w:rFonts w:ascii="Century" w:hAnsi="Century" w:cs="Century"/>
          <w:sz w:val="22"/>
          <w:sz w:val="22"/>
          <w:rtl w:val="true"/>
        </w:rPr>
        <w:t>מסר שאמנם לא ראה א</w:t>
      </w:r>
      <w:r>
        <w:rPr>
          <w:rFonts w:ascii="Century" w:hAnsi="Century" w:cs="Century"/>
          <w:rtl w:val="true"/>
        </w:rPr>
        <w:t>ת האדי</w:t>
      </w:r>
      <w:r>
        <w:rPr>
          <w:rFonts w:ascii="Century" w:hAnsi="Century" w:cs="Century"/>
          <w:sz w:val="22"/>
          <w:sz w:val="22"/>
          <w:rtl w:val="true"/>
        </w:rPr>
        <w:t xml:space="preserve"> נכנס לבית</w:t>
      </w:r>
      <w:r>
        <w:rPr>
          <w:rFonts w:cs="Century" w:ascii="Century" w:hAnsi="Century"/>
          <w:sz w:val="22"/>
          <w:rtl w:val="true"/>
        </w:rPr>
        <w:t xml:space="preserve">, </w:t>
      </w:r>
      <w:r>
        <w:rPr>
          <w:rFonts w:ascii="Century" w:hAnsi="Century" w:cs="Century"/>
          <w:sz w:val="22"/>
          <w:sz w:val="22"/>
          <w:rtl w:val="true"/>
        </w:rPr>
        <w:t>אך בזמן שהמנוח אחז בצווארו ו</w:t>
      </w:r>
      <w:r>
        <w:rPr>
          <w:rFonts w:ascii="Century" w:hAnsi="Century" w:cs="Century"/>
          <w:rtl w:val="true"/>
        </w:rPr>
        <w:t>שני חבריו</w:t>
      </w:r>
      <w:r>
        <w:rPr>
          <w:rFonts w:ascii="Century" w:hAnsi="Century" w:cs="Century"/>
          <w:sz w:val="22"/>
          <w:sz w:val="22"/>
          <w:rtl w:val="true"/>
        </w:rPr>
        <w:t xml:space="preserve"> עזרו לו להשתחרר</w:t>
      </w:r>
      <w:r>
        <w:rPr>
          <w:rFonts w:cs="Century" w:ascii="Century" w:hAnsi="Century"/>
          <w:sz w:val="22"/>
          <w:rtl w:val="true"/>
        </w:rPr>
        <w:t xml:space="preserve">, </w:t>
      </w:r>
      <w:r>
        <w:rPr>
          <w:rFonts w:ascii="Century" w:hAnsi="Century" w:cs="Century"/>
          <w:sz w:val="22"/>
          <w:sz w:val="22"/>
          <w:rtl w:val="true"/>
        </w:rPr>
        <w:t>היה האדי בתוך הבית</w:t>
      </w:r>
      <w:r>
        <w:rPr>
          <w:rFonts w:cs="Century" w:ascii="Century" w:hAnsi="Century"/>
          <w:sz w:val="22"/>
          <w:rtl w:val="true"/>
        </w:rPr>
        <w:t xml:space="preserve">, </w:t>
      </w:r>
      <w:r>
        <w:rPr>
          <w:rFonts w:ascii="Century" w:hAnsi="Century" w:cs="Century"/>
          <w:sz w:val="22"/>
          <w:sz w:val="22"/>
          <w:rtl w:val="true"/>
        </w:rPr>
        <w:t>ליד</w:t>
      </w:r>
      <w:r>
        <w:rPr>
          <w:rFonts w:ascii="Century" w:hAnsi="Century" w:cs="Century"/>
          <w:rtl w:val="true"/>
        </w:rPr>
        <w:t xml:space="preserve"> דלת</w:t>
      </w:r>
      <w:r>
        <w:rPr>
          <w:rFonts w:ascii="Century" w:hAnsi="Century" w:cs="Century"/>
          <w:sz w:val="22"/>
          <w:sz w:val="22"/>
          <w:rtl w:val="true"/>
        </w:rPr>
        <w:t xml:space="preserve"> הכניסה</w:t>
      </w:r>
      <w:r>
        <w:rPr>
          <w:rtl w:val="true"/>
        </w:rPr>
        <w:t xml:space="preserve">. </w:t>
      </w:r>
      <w:r>
        <w:rPr>
          <w:rtl w:val="true"/>
        </w:rPr>
        <w:t>עם זאת</w:t>
      </w:r>
      <w:r>
        <w:rPr>
          <w:rtl w:val="true"/>
        </w:rPr>
        <w:t xml:space="preserve">, </w:t>
      </w:r>
      <w:r>
        <w:rPr>
          <w:rtl w:val="true"/>
        </w:rPr>
        <w:t>בהמשך חקירתו</w:t>
      </w:r>
      <w:r>
        <w:rPr>
          <w:rtl w:val="true"/>
        </w:rPr>
        <w:t xml:space="preserve">, </w:t>
      </w:r>
      <w:r>
        <w:rPr>
          <w:rtl w:val="true"/>
        </w:rPr>
        <w:t>כשהתבקש המערער להתייחס בצורה מדויקת למקום עמידתו של כל אחד מהשלושה במאבק</w:t>
      </w:r>
      <w:r>
        <w:rPr>
          <w:rtl w:val="true"/>
        </w:rPr>
        <w:t xml:space="preserve">, </w:t>
      </w:r>
      <w:r>
        <w:rPr>
          <w:rtl w:val="true"/>
        </w:rPr>
        <w:t>אישר למעשה את גרסתו במשטרה לפיה הוא ואכרם היו בתוך הבית והאדי הגיע מבחוץ ועמד מחוץ לדלת</w:t>
      </w:r>
      <w:r>
        <w:rPr>
          <w:rtl w:val="true"/>
        </w:rPr>
        <w:t xml:space="preserve">. </w:t>
      </w:r>
      <w:r>
        <w:rPr>
          <w:rtl w:val="true"/>
        </w:rPr>
        <w:t>לאורך כל גרסאותיו</w:t>
      </w:r>
      <w:r>
        <w:rPr>
          <w:rtl w:val="true"/>
        </w:rPr>
        <w:t xml:space="preserve">, </w:t>
      </w:r>
      <w:r>
        <w:rPr>
          <w:rtl w:val="true"/>
        </w:rPr>
        <w:t>הן במשטרה והן בבית המשפט</w:t>
      </w:r>
      <w:r>
        <w:rPr>
          <w:rtl w:val="true"/>
        </w:rPr>
        <w:t xml:space="preserve">, </w:t>
      </w:r>
      <w:r>
        <w:rPr>
          <w:rtl w:val="true"/>
        </w:rPr>
        <w:t>טען המערער כי לא ראה את דקירתו של המנוח</w:t>
      </w:r>
      <w:r>
        <w:rPr>
          <w:rtl w:val="true"/>
        </w:rPr>
        <w:t xml:space="preserve">, </w:t>
      </w:r>
      <w:r>
        <w:rPr>
          <w:rtl w:val="true"/>
        </w:rPr>
        <w:t>לא ידע מי דקר אותו</w:t>
      </w:r>
      <w:r>
        <w:rPr>
          <w:rtl w:val="true"/>
        </w:rPr>
        <w:t xml:space="preserve">, </w:t>
      </w:r>
      <w:r>
        <w:rPr>
          <w:rtl w:val="true"/>
        </w:rPr>
        <w:t>וגם לא ראה שהאדי הכה את המנוח בראשו</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למנוסה</w:t>
      </w:r>
      <w:r>
        <w:rPr>
          <w:rFonts w:eastAsia="Arial TUR;Arial" w:cs="Arial TUR;Arial"/>
          <w:rtl w:val="true"/>
        </w:rPr>
        <w:t xml:space="preserve"> </w:t>
      </w:r>
      <w:r>
        <w:rPr>
          <w:rtl w:val="true"/>
        </w:rPr>
        <w:t>מהזירה</w:t>
      </w:r>
      <w:r>
        <w:rPr>
          <w:rtl w:val="true"/>
        </w:rPr>
        <w:t xml:space="preserve">, </w:t>
      </w:r>
      <w:r>
        <w:rPr>
          <w:rtl w:val="true"/>
        </w:rPr>
        <w:t>המערער</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המנוסה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tl w:val="true"/>
        </w:rPr>
        <w:t>חזק</w:t>
      </w:r>
      <w:r>
        <w:rPr>
          <w:rtl w:val="true"/>
        </w:rPr>
        <w:t xml:space="preserve">" </w:t>
      </w:r>
      <w:r>
        <w:rPr>
          <w:rtl w:val="true"/>
        </w:rPr>
        <w:t>וצעק</w:t>
      </w:r>
      <w:r>
        <w:rPr>
          <w:rFonts w:eastAsia="Arial TUR;Arial" w:cs="Arial TUR;Arial"/>
          <w:rtl w:val="true"/>
        </w:rPr>
        <w:t xml:space="preserve"> </w:t>
      </w:r>
      <w:r>
        <w:rPr>
          <w:rtl w:val="true"/>
        </w:rPr>
        <w:t>"</w:t>
      </w:r>
      <w:r>
        <w:rPr>
          <w:rtl w:val="true"/>
        </w:rPr>
        <w:t>גנבים</w:t>
      </w:r>
      <w:r>
        <w:rPr>
          <w:rtl w:val="true"/>
        </w:rPr>
        <w:t xml:space="preserve">, </w:t>
      </w:r>
      <w:r>
        <w:rPr>
          <w:rtl w:val="true"/>
        </w:rPr>
        <w:t>גנבים</w:t>
      </w:r>
      <w:r>
        <w:rPr>
          <w:rtl w:val="true"/>
        </w:rPr>
        <w:t xml:space="preserve">". </w:t>
      </w:r>
      <w:r>
        <w:rPr>
          <w:rtl w:val="true"/>
        </w:rPr>
        <w:t>המערער</w:t>
      </w:r>
      <w:r>
        <w:rPr>
          <w:rFonts w:eastAsia="Arial TUR;Arial" w:cs="Arial TUR;Arial"/>
          <w:rtl w:val="true"/>
        </w:rPr>
        <w:t xml:space="preserve"> </w:t>
      </w:r>
      <w:r>
        <w:rPr>
          <w:rtl w:val="true"/>
        </w:rPr>
        <w:t>גרס</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נדקר</w:t>
      </w:r>
      <w:r>
        <w:rPr>
          <w:rtl w:val="true"/>
        </w:rPr>
        <w:t xml:space="preserve">, </w:t>
      </w:r>
      <w:r>
        <w:rPr>
          <w:rtl w:val="true"/>
        </w:rPr>
        <w:t>וגילה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במשטרה</w:t>
      </w:r>
      <w:r>
        <w:rPr>
          <w:rtl w:val="true"/>
        </w:rPr>
        <w:t xml:space="preserve">. </w:t>
      </w:r>
      <w:r>
        <w:rPr>
          <w:rtl w:val="true"/>
        </w:rPr>
        <w:t>לגרסתו</w:t>
      </w:r>
      <w:r>
        <w:rPr>
          <w:rtl w:val="true"/>
        </w:rPr>
        <w:t xml:space="preserve">, </w:t>
      </w:r>
      <w:r>
        <w:rPr>
          <w:rtl w:val="true"/>
        </w:rPr>
        <w:t>ביום</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השלושה</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דיברו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הדקירה</w:t>
      </w:r>
      <w:r>
        <w:rPr>
          <w:rtl w:val="true"/>
        </w:rPr>
        <w:t xml:space="preserve">. </w:t>
      </w:r>
      <w:r>
        <w:rPr>
          <w:rtl w:val="true"/>
        </w:rPr>
        <w:t>המערער</w:t>
      </w:r>
      <w:r>
        <w:rPr>
          <w:rFonts w:eastAsia="Arial TUR;Arial" w:cs="Arial TUR;Arial"/>
          <w:rtl w:val="true"/>
        </w:rPr>
        <w:t xml:space="preserve"> </w:t>
      </w:r>
      <w:r>
        <w:rPr>
          <w:rtl w:val="true"/>
        </w:rPr>
        <w:t>הכחיש</w:t>
      </w:r>
      <w:r>
        <w:rPr>
          <w:rFonts w:eastAsia="Arial TUR;Arial" w:cs="Arial TUR;Arial"/>
          <w:rtl w:val="true"/>
        </w:rPr>
        <w:t xml:space="preserve"> </w:t>
      </w:r>
      <w:r>
        <w:rPr>
          <w:rtl w:val="true"/>
        </w:rPr>
        <w:t>כליל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חולצתו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המברג</w:t>
      </w:r>
      <w:r>
        <w:rPr>
          <w:rFonts w:eastAsia="Arial TUR;Arial" w:cs="Arial TUR;Arial"/>
          <w:rtl w:val="true"/>
        </w:rPr>
        <w:t xml:space="preserve"> </w:t>
      </w:r>
      <w:r>
        <w:rPr>
          <w:rtl w:val="true"/>
        </w:rPr>
        <w:t>שנמצא</w:t>
      </w:r>
      <w:r>
        <w:rPr>
          <w:rFonts w:eastAsia="Arial TUR;Arial" w:cs="Arial TUR;Arial"/>
          <w:rtl w:val="true"/>
        </w:rPr>
        <w:t xml:space="preserve"> </w:t>
      </w:r>
      <w:r>
        <w:rPr>
          <w:rtl w:val="true"/>
        </w:rPr>
        <w:t>אצלו</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האדי</w:t>
      </w:r>
      <w:r>
        <w:rPr>
          <w:rFonts w:eastAsia="Arial TUR;Arial" w:cs="Arial TUR;Arial"/>
          <w:rtl w:val="true"/>
        </w:rPr>
        <w:t xml:space="preserve"> </w:t>
      </w:r>
      <w:r>
        <w:rPr>
          <w:rtl w:val="true"/>
        </w:rPr>
        <w:t>ואכרם</w:t>
      </w:r>
      <w:r>
        <w:rPr>
          <w:rFonts w:eastAsia="Arial TUR;Arial" w:cs="Arial TUR;Arial"/>
          <w:rtl w:val="true"/>
        </w:rPr>
        <w:t xml:space="preserve"> </w:t>
      </w:r>
      <w:r>
        <w:rPr>
          <w:rtl w:val="true"/>
        </w:rPr>
        <w:t>המציאו</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להפלילו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המשפט קמא עמד בהרחבה על גרסאותיהם השונות של ארבעת המעורבים בפרשה בחקירותיהם</w:t>
      </w:r>
      <w:r>
        <w:rPr>
          <w:rtl w:val="true"/>
        </w:rPr>
        <w:t xml:space="preserve">, </w:t>
      </w:r>
      <w:r>
        <w:rPr>
          <w:rtl w:val="true"/>
        </w:rPr>
        <w:t>לרבות בתרגילי החקירה שבוצעו</w:t>
      </w:r>
      <w:r>
        <w:rPr>
          <w:rtl w:val="true"/>
        </w:rPr>
        <w:t xml:space="preserve">, </w:t>
      </w:r>
      <w:r>
        <w:rPr>
          <w:rtl w:val="true"/>
        </w:rPr>
        <w:t>ובעדותם בבית המשפט</w:t>
      </w:r>
      <w:r>
        <w:rPr>
          <w:rtl w:val="true"/>
        </w:rPr>
        <w:t xml:space="preserve">. </w:t>
      </w:r>
      <w:r>
        <w:rPr>
          <w:rtl w:val="true"/>
        </w:rPr>
        <w:t>הודגש</w:t>
      </w:r>
      <w:r>
        <w:rPr>
          <w:rtl w:val="true"/>
        </w:rPr>
        <w:t xml:space="preserve">, </w:t>
      </w:r>
      <w:r>
        <w:rPr>
          <w:rtl w:val="true"/>
        </w:rPr>
        <w:t>כי קיים חשש מובנה שכל אחד מהמעורבים בפרשה יקטין את חלקו</w:t>
      </w:r>
      <w:r>
        <w:rPr>
          <w:rtl w:val="true"/>
        </w:rPr>
        <w:t xml:space="preserve">, </w:t>
      </w:r>
      <w:r>
        <w:rPr>
          <w:rtl w:val="true"/>
        </w:rPr>
        <w:t>וכי קיימים הבדלים וסתירות בין הגרסאות בנקודות מהותיות</w:t>
      </w:r>
      <w:r>
        <w:rPr>
          <w:rtl w:val="true"/>
        </w:rPr>
        <w:t xml:space="preserve">, </w:t>
      </w:r>
      <w:r>
        <w:rPr>
          <w:rtl w:val="true"/>
        </w:rPr>
        <w:t>מה שדורש לבחון את העדויות ביתר זהירות ועל רקע השתלבותן בראיות נוספות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נקודת המוצא של המשיבה התבססה על גרסתו של אכרם</w:t>
      </w:r>
      <w:r>
        <w:rPr>
          <w:rtl w:val="true"/>
        </w:rPr>
        <w:t xml:space="preserve">, </w:t>
      </w:r>
      <w:r>
        <w:rPr>
          <w:rtl w:val="true"/>
        </w:rPr>
        <w:t xml:space="preserve">לפיה המנוח נדקר בהיותו </w:t>
      </w:r>
      <w:r>
        <w:rPr>
          <w:rFonts w:ascii="Century" w:hAnsi="Century" w:cs="Miriam"/>
          <w:b/>
          <w:b/>
          <w:spacing w:val="0"/>
          <w:sz w:val="22"/>
          <w:sz w:val="22"/>
          <w:szCs w:val="24"/>
          <w:rtl w:val="true"/>
        </w:rPr>
        <w:t>ביחידות</w:t>
      </w:r>
      <w:r>
        <w:rPr>
          <w:rFonts w:ascii="Century" w:hAnsi="Century" w:cs="Century"/>
          <w:sz w:val="22"/>
          <w:sz w:val="22"/>
          <w:rtl w:val="true"/>
        </w:rPr>
        <w:t xml:space="preserve"> עם המערער בתוך הבית</w:t>
      </w:r>
      <w:r>
        <w:rPr>
          <w:rFonts w:cs="Century" w:ascii="Century" w:hAnsi="Century"/>
          <w:sz w:val="22"/>
          <w:rtl w:val="true"/>
        </w:rPr>
        <w:t>.</w:t>
      </w:r>
      <w:r>
        <w:rPr>
          <w:rtl w:val="true"/>
        </w:rPr>
        <w:t xml:space="preserve"> </w:t>
      </w:r>
      <w:r>
        <w:rPr>
          <w:rtl w:val="true"/>
        </w:rPr>
        <w:t>כפי שיפורט להלן</w:t>
      </w:r>
      <w:r>
        <w:rPr>
          <w:rtl w:val="true"/>
        </w:rPr>
        <w:t xml:space="preserve">, </w:t>
      </w:r>
      <w:r>
        <w:rPr>
          <w:rtl w:val="true"/>
        </w:rPr>
        <w:t>גרסה זו נדחתה</w:t>
      </w:r>
      <w:r>
        <w:rPr>
          <w:rtl w:val="true"/>
        </w:rPr>
        <w:t xml:space="preserve">. </w:t>
      </w:r>
      <w:r>
        <w:rPr>
          <w:rtl w:val="true"/>
        </w:rPr>
        <w:t xml:space="preserve">בית המשפט קמא מצא לדחות את עדותו של </w:t>
      </w:r>
      <w:r>
        <w:rPr>
          <w:rFonts w:ascii="Century" w:hAnsi="Century" w:cs="Miriam"/>
          <w:b/>
          <w:b/>
          <w:spacing w:val="0"/>
          <w:sz w:val="22"/>
          <w:sz w:val="22"/>
          <w:szCs w:val="24"/>
          <w:rtl w:val="true"/>
        </w:rPr>
        <w:t>אכרם</w:t>
      </w:r>
      <w:r>
        <w:rPr>
          <w:rtl w:val="true"/>
        </w:rPr>
        <w:t xml:space="preserve"> בכל נקודות המחלוקת המרכזיות ועמד על כך </w:t>
      </w:r>
      <w:r>
        <w:rPr>
          <w:rFonts w:ascii="Century" w:hAnsi="Century" w:cs="Century"/>
          <w:sz w:val="22"/>
          <w:sz w:val="22"/>
          <w:rtl w:val="true"/>
        </w:rPr>
        <w:t>שאכרם</w:t>
      </w:r>
      <w:r>
        <w:rPr>
          <w:rtl w:val="true"/>
        </w:rPr>
        <w:t xml:space="preserve"> הרחיק עצמו מזירת האירוע</w:t>
      </w:r>
      <w:r>
        <w:rPr>
          <w:rtl w:val="true"/>
        </w:rPr>
        <w:t xml:space="preserve">, </w:t>
      </w:r>
      <w:r>
        <w:rPr>
          <w:rtl w:val="true"/>
        </w:rPr>
        <w:t>תוך ציון כי כל תהליך חקירתו של אכרם במשטרה וגם עדותו בבית המשפט התנהלו בצל חשש ופחד ביחס לביטחונם של בני משפחתו</w:t>
      </w:r>
      <w:r>
        <w:rPr>
          <w:rtl w:val="true"/>
        </w:rPr>
        <w:t xml:space="preserve">, </w:t>
      </w:r>
      <w:r>
        <w:rPr>
          <w:rtl w:val="true"/>
        </w:rPr>
        <w:t>וכי אכרם הבין היטב כי הסכם עד המדינה ייחתם עמו רק אם חלקו בפרשה אינו מרכזי</w:t>
      </w:r>
      <w:r>
        <w:rPr>
          <w:rtl w:val="true"/>
        </w:rPr>
        <w:t xml:space="preserve">. </w:t>
      </w:r>
      <w:r>
        <w:rPr>
          <w:rtl w:val="true"/>
        </w:rPr>
        <w:t xml:space="preserve">עדותו של </w:t>
      </w:r>
      <w:r>
        <w:rPr>
          <w:rFonts w:ascii="Century" w:hAnsi="Century" w:cs="Miriam"/>
          <w:b/>
          <w:b/>
          <w:spacing w:val="0"/>
          <w:sz w:val="22"/>
          <w:sz w:val="22"/>
          <w:szCs w:val="24"/>
          <w:rtl w:val="true"/>
        </w:rPr>
        <w:t>האדי</w:t>
      </w:r>
      <w:r>
        <w:rPr>
          <w:rtl w:val="true"/>
        </w:rPr>
        <w:t xml:space="preserve"> נתקבלה ברובה</w:t>
      </w:r>
      <w:r>
        <w:rPr>
          <w:rtl w:val="true"/>
        </w:rPr>
        <w:t xml:space="preserve">, </w:t>
      </w:r>
      <w:r>
        <w:rPr>
          <w:rtl w:val="true"/>
        </w:rPr>
        <w:t>בפרט בכל הנוגע להתרחשות בזירת האירוע</w:t>
      </w:r>
      <w:r>
        <w:rPr>
          <w:rtl w:val="true"/>
        </w:rPr>
        <w:t xml:space="preserve">, </w:t>
      </w:r>
      <w:r>
        <w:rPr>
          <w:rtl w:val="true"/>
        </w:rPr>
        <w:t xml:space="preserve">תוך עריכת </w:t>
      </w:r>
      <w:r>
        <w:rPr>
          <w:rtl w:val="true"/>
        </w:rPr>
        <w:t>"</w:t>
      </w:r>
      <w:r>
        <w:rPr>
          <w:rtl w:val="true"/>
        </w:rPr>
        <w:t>פלגינן דיבורא</w:t>
      </w:r>
      <w:r>
        <w:rPr>
          <w:rtl w:val="true"/>
        </w:rPr>
        <w:t xml:space="preserve">" </w:t>
      </w:r>
      <w:r>
        <w:rPr>
          <w:rtl w:val="true"/>
        </w:rPr>
        <w:t>ומתן נימוק ביחס לכל ממצא וממצא</w:t>
      </w:r>
      <w:r>
        <w:rPr>
          <w:rtl w:val="true"/>
        </w:rPr>
        <w:t xml:space="preserve">. </w:t>
      </w:r>
      <w:r>
        <w:rPr>
          <w:rtl w:val="true"/>
        </w:rPr>
        <w:t>ביחס לעיקר הממצאים העובדתיים</w:t>
      </w:r>
      <w:r>
        <w:rPr>
          <w:rtl w:val="true"/>
        </w:rPr>
        <w:t xml:space="preserve">, </w:t>
      </w:r>
      <w:r>
        <w:rPr>
          <w:rtl w:val="true"/>
        </w:rPr>
        <w:t>נמצא חיזוק לעדות האדי בעדותו של המערער</w:t>
      </w:r>
      <w:r>
        <w:rPr>
          <w:rtl w:val="true"/>
        </w:rPr>
        <w:t>.</w:t>
      </w:r>
    </w:p>
    <w:p>
      <w:pPr>
        <w:pStyle w:val="Ruller42"/>
        <w:numPr>
          <w:ilvl w:val="0"/>
          <w:numId w:val="0"/>
        </w:numPr>
        <w:ind w:hanging="0" w:start="0" w:end="0"/>
        <w:jc w:val="both"/>
        <w:rPr/>
      </w:pPr>
      <w:r>
        <w:rPr>
          <w:rtl w:val="true"/>
        </w:rPr>
        <w:tab/>
      </w:r>
    </w:p>
    <w:p>
      <w:pPr>
        <w:pStyle w:val="Ruller42"/>
        <w:numPr>
          <w:ilvl w:val="0"/>
          <w:numId w:val="1"/>
        </w:numPr>
        <w:ind w:hanging="0" w:start="0" w:end="0"/>
        <w:jc w:val="both"/>
        <w:rPr/>
      </w:pPr>
      <w:r>
        <w:rPr>
          <w:rtl w:val="true"/>
        </w:rPr>
        <w:tab/>
      </w:r>
      <w:r>
        <w:rPr>
          <w:rtl w:val="true"/>
        </w:rPr>
        <w:t>נוכח כל האמור</w:t>
      </w:r>
      <w:r>
        <w:rPr>
          <w:rtl w:val="true"/>
        </w:rPr>
        <w:t xml:space="preserve">, </w:t>
      </w:r>
      <w:r>
        <w:rPr>
          <w:rtl w:val="true"/>
        </w:rPr>
        <w:t>קבע בית המשפט קמא כי האירועים השתלשלו כדלקמן</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בהתאם לעדותו העקבית של המערער</w:t>
      </w:r>
      <w:r>
        <w:rPr>
          <w:rtl w:val="true"/>
        </w:rPr>
        <w:t xml:space="preserve">, </w:t>
      </w:r>
      <w:r>
        <w:rPr>
          <w:rtl w:val="true"/>
        </w:rPr>
        <w:t>נקבע כי כאשר המנוח נכנס לבית</w:t>
      </w:r>
      <w:r>
        <w:rPr>
          <w:rtl w:val="true"/>
        </w:rPr>
        <w:t xml:space="preserve">, </w:t>
      </w:r>
      <w:r>
        <w:rPr>
          <w:rtl w:val="true"/>
        </w:rPr>
        <w:t xml:space="preserve">שהו המערער ואכרם </w:t>
      </w:r>
      <w:r>
        <w:rPr>
          <w:rFonts w:ascii="Century" w:hAnsi="Century" w:cs="Miriam"/>
          <w:b/>
          <w:b/>
          <w:spacing w:val="0"/>
          <w:sz w:val="22"/>
          <w:sz w:val="22"/>
          <w:szCs w:val="24"/>
          <w:rtl w:val="true"/>
        </w:rPr>
        <w:t>בתוך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וחיטטו בחפצים</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Century"/>
          <w:sz w:val="22"/>
          <w:sz w:val="22"/>
          <w:rtl w:val="true"/>
        </w:rPr>
        <w:t>לאחר</w:t>
      </w:r>
      <w:r>
        <w:rPr>
          <w:rtl w:val="true"/>
        </w:rPr>
        <w:t xml:space="preserve"> שהמנוח אחז במערער</w:t>
      </w:r>
      <w:r>
        <w:rPr>
          <w:rtl w:val="true"/>
        </w:rPr>
        <w:t xml:space="preserve">, </w:t>
      </w:r>
      <w:r>
        <w:rPr>
          <w:rtl w:val="true"/>
        </w:rPr>
        <w:t>אכרם הצטרף למאבק</w:t>
      </w:r>
      <w:r>
        <w:rPr>
          <w:rtl w:val="true"/>
        </w:rPr>
        <w:t xml:space="preserve">, </w:t>
      </w:r>
      <w:r>
        <w:rPr>
          <w:rtl w:val="true"/>
        </w:rPr>
        <w:t xml:space="preserve">עמד </w:t>
      </w:r>
      <w:r>
        <w:rPr>
          <w:rFonts w:ascii="Century" w:hAnsi="Century" w:cs="Miriam"/>
          <w:b/>
          <w:b/>
          <w:spacing w:val="0"/>
          <w:sz w:val="22"/>
          <w:sz w:val="22"/>
          <w:szCs w:val="24"/>
          <w:rtl w:val="true"/>
        </w:rPr>
        <w:t>מאחורי</w:t>
      </w:r>
      <w:r>
        <w:rPr>
          <w:rtl w:val="true"/>
        </w:rPr>
        <w:t xml:space="preserve"> המערער וניסה לחלצו</w:t>
      </w:r>
      <w:r>
        <w:rPr>
          <w:rtl w:val="true"/>
        </w:rPr>
        <w:t xml:space="preserve">. </w:t>
      </w:r>
      <w:r>
        <w:rPr>
          <w:rtl w:val="true"/>
        </w:rPr>
        <w:t>נקבע</w:t>
      </w:r>
      <w:r>
        <w:rPr>
          <w:rtl w:val="true"/>
        </w:rPr>
        <w:t xml:space="preserve">, </w:t>
      </w:r>
      <w:r>
        <w:rPr>
          <w:rtl w:val="true"/>
        </w:rPr>
        <w:t>כי עדותו של המערער הייתה עקבית בעניין זה וכי היא תואמת את גרסתו של האדי שהצטיירה כאותנטית ומפורטת</w:t>
      </w:r>
      <w:r>
        <w:rPr>
          <w:rtl w:val="true"/>
        </w:rPr>
        <w:t xml:space="preserve">, </w:t>
      </w:r>
      <w:r>
        <w:rPr>
          <w:rtl w:val="true"/>
        </w:rPr>
        <w:t>נתמכת על ידי עדות מרואן</w:t>
      </w:r>
      <w:r>
        <w:rPr>
          <w:rtl w:val="true"/>
        </w:rPr>
        <w:t xml:space="preserve">, </w:t>
      </w:r>
      <w:r>
        <w:rPr>
          <w:rtl w:val="true"/>
        </w:rPr>
        <w:t>לפיה אכרם סיפר על הדקירה בעת הנסיעה ברכב</w:t>
      </w:r>
      <w:r>
        <w:rPr>
          <w:rtl w:val="true"/>
        </w:rPr>
        <w:t xml:space="preserve">, </w:t>
      </w:r>
      <w:r>
        <w:rPr>
          <w:rtl w:val="true"/>
        </w:rPr>
        <w:t>ועדיפה על זו של אכרם</w:t>
      </w:r>
      <w:r>
        <w:rPr>
          <w:rtl w:val="true"/>
        </w:rPr>
        <w:t xml:space="preserve">, </w:t>
      </w:r>
      <w:r>
        <w:rPr>
          <w:rtl w:val="true"/>
        </w:rPr>
        <w:t>אשר ניסה להרחיק עצמו מזירת האירוע</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בהמשך לכך נקבע כי עיקר המאבק התרחש במבואה שבתוך הבית</w:t>
      </w:r>
      <w:r>
        <w:rPr>
          <w:rtl w:val="true"/>
        </w:rPr>
        <w:t xml:space="preserve">, </w:t>
      </w:r>
      <w:r>
        <w:rPr>
          <w:rtl w:val="true"/>
        </w:rPr>
        <w:t>כאשר המנוח לופת את צווארו של המערער</w:t>
      </w:r>
      <w:r>
        <w:rPr>
          <w:rtl w:val="true"/>
        </w:rPr>
        <w:t xml:space="preserve">, </w:t>
      </w:r>
      <w:r>
        <w:rPr>
          <w:rtl w:val="true"/>
        </w:rPr>
        <w:t>באופן שבו הם עמדו זה מול זה</w:t>
      </w:r>
      <w:r>
        <w:rPr>
          <w:rtl w:val="true"/>
        </w:rPr>
        <w:t xml:space="preserve">, </w:t>
      </w:r>
      <w:r>
        <w:rPr>
          <w:rtl w:val="true"/>
        </w:rPr>
        <w:t>תוך שאכרם מושך את המערער כדי לנסות לשחררו</w:t>
      </w:r>
      <w:r>
        <w:rPr>
          <w:rtl w:val="true"/>
        </w:rPr>
        <w:t xml:space="preserve">. </w:t>
      </w:r>
      <w:r>
        <w:rPr>
          <w:rtl w:val="true"/>
        </w:rPr>
        <w:t>פצעי הדקירה והחתכים הנוספים נגרמו למנוח במבואה באמצעות מברג שחלקו המתכתי הוא לפחות כעומק הדקירה</w:t>
      </w:r>
      <w:r>
        <w:rPr>
          <w:rtl w:val="true"/>
        </w:rPr>
        <w:t xml:space="preserve">. </w:t>
      </w:r>
      <w:r>
        <w:rPr>
          <w:rtl w:val="true"/>
        </w:rPr>
        <w:t>קביעות אלו הסתמכו</w:t>
      </w:r>
      <w:r>
        <w:rPr>
          <w:rtl w:val="true"/>
        </w:rPr>
        <w:t xml:space="preserve">, </w:t>
      </w:r>
      <w:r>
        <w:rPr>
          <w:rtl w:val="true"/>
        </w:rPr>
        <w:t>בין היתר</w:t>
      </w:r>
      <w:r>
        <w:rPr>
          <w:rtl w:val="true"/>
        </w:rPr>
        <w:t xml:space="preserve">, </w:t>
      </w:r>
      <w:r>
        <w:rPr>
          <w:rtl w:val="true"/>
        </w:rPr>
        <w:t>על מיקום כתמי התזת הדם ועל מיקום החבלות על גופתו של המנוח</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נדקר</w:t>
      </w:r>
      <w:r>
        <w:rPr>
          <w:rFonts w:eastAsia="Arial TUR;Arial" w:cs="Arial TUR;Arial"/>
          <w:rtl w:val="true"/>
        </w:rPr>
        <w:t xml:space="preserve"> </w:t>
      </w:r>
      <w:r>
        <w:rPr>
          <w:rtl w:val="true"/>
        </w:rPr>
        <w:t>ונפצע</w:t>
      </w:r>
      <w:r>
        <w:rPr>
          <w:rtl w:val="true"/>
        </w:rPr>
        <w:t xml:space="preserve">, </w:t>
      </w:r>
      <w:r>
        <w:rPr>
          <w:rtl w:val="true"/>
        </w:rPr>
        <w:t>הצליח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להשתחרר</w:t>
      </w:r>
      <w:r>
        <w:rPr>
          <w:rFonts w:eastAsia="Arial TUR;Arial" w:cs="Arial TUR;Arial"/>
          <w:rtl w:val="true"/>
        </w:rPr>
        <w:t xml:space="preserve"> </w:t>
      </w:r>
      <w:r>
        <w:rPr>
          <w:rtl w:val="true"/>
        </w:rPr>
        <w:t>מאחיזתו</w:t>
      </w:r>
      <w:r>
        <w:rPr>
          <w:rtl w:val="true"/>
        </w:rPr>
        <w:t xml:space="preserve">, </w:t>
      </w:r>
      <w:r>
        <w:rPr>
          <w:rtl w:val="true"/>
        </w:rPr>
        <w:t>הסתובב</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היציאה</w:t>
      </w:r>
      <w:r>
        <w:rPr>
          <w:rFonts w:eastAsia="Arial TUR;Arial" w:cs="Arial TUR;Arial"/>
          <w:rtl w:val="true"/>
        </w:rPr>
        <w:t xml:space="preserve"> </w:t>
      </w:r>
      <w:r>
        <w:rPr>
          <w:rtl w:val="true"/>
        </w:rPr>
        <w:t>והחל</w:t>
      </w:r>
      <w:r>
        <w:rPr>
          <w:rFonts w:eastAsia="Arial TUR;Arial" w:cs="Arial TUR;Arial"/>
          <w:rtl w:val="true"/>
        </w:rPr>
        <w:t xml:space="preserve"> </w:t>
      </w:r>
      <w:r>
        <w:rPr>
          <w:rtl w:val="true"/>
        </w:rPr>
        <w:t>במנוסה</w:t>
      </w:r>
      <w:r>
        <w:rPr>
          <w:rFonts w:eastAsia="Arial TUR;Arial" w:cs="Arial TUR;Arial"/>
          <w:rtl w:val="true"/>
        </w:rPr>
        <w:t xml:space="preserve"> </w:t>
      </w:r>
      <w:r>
        <w:rPr>
          <w:rtl w:val="true"/>
        </w:rPr>
        <w:t>כשהמנוח</w:t>
      </w:r>
      <w:r>
        <w:rPr>
          <w:rFonts w:eastAsia="Arial TUR;Arial" w:cs="Arial TUR;Arial"/>
          <w:rtl w:val="true"/>
        </w:rPr>
        <w:t xml:space="preserve"> </w:t>
      </w:r>
      <w:r>
        <w:rPr>
          <w:rtl w:val="true"/>
        </w:rPr>
        <w:t>אוחז</w:t>
      </w:r>
      <w:r>
        <w:rPr>
          <w:rFonts w:eastAsia="Arial TUR;Arial" w:cs="Arial TUR;Arial"/>
          <w:rtl w:val="true"/>
        </w:rPr>
        <w:t xml:space="preserve"> </w:t>
      </w:r>
      <w:r>
        <w:rPr>
          <w:rtl w:val="true"/>
        </w:rPr>
        <w:t>בקפוצ</w:t>
      </w:r>
      <w:r>
        <w:rPr>
          <w:rtl w:val="true"/>
        </w:rPr>
        <w:t>'</w:t>
      </w:r>
      <w:r>
        <w:rPr>
          <w:rtl w:val="true"/>
        </w:rPr>
        <w:t>ון</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w:t>
      </w:r>
      <w:r>
        <w:rPr>
          <w:rtl w:val="true"/>
        </w:rPr>
        <w:t>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בשארית</w:t>
      </w:r>
      <w:r>
        <w:rPr>
          <w:rFonts w:eastAsia="Arial TUR;Arial" w:cs="Arial TUR;Arial"/>
          <w:rtl w:val="true"/>
        </w:rPr>
        <w:t xml:space="preserve"> </w:t>
      </w:r>
      <w:r>
        <w:rPr>
          <w:rtl w:val="true"/>
        </w:rPr>
        <w:t>כוחותיו</w:t>
      </w:r>
      <w:r>
        <w:rPr>
          <w:rtl w:val="true"/>
        </w:rPr>
        <w:t xml:space="preserve">). </w:t>
      </w:r>
      <w:r>
        <w:rPr>
          <w:rtl w:val="true"/>
        </w:rPr>
        <w:t>זאת</w:t>
      </w:r>
      <w:r>
        <w:rPr>
          <w:rtl w:val="true"/>
        </w:rPr>
        <w:t xml:space="preserve">, </w:t>
      </w:r>
      <w:r>
        <w:rPr>
          <w:rtl w:val="true"/>
        </w:rPr>
        <w:t>בהתאם</w:t>
      </w:r>
      <w:r>
        <w:rPr>
          <w:rFonts w:eastAsia="Arial TUR;Arial" w:cs="Arial TUR;Arial"/>
          <w:rtl w:val="true"/>
        </w:rPr>
        <w:t xml:space="preserve"> </w:t>
      </w:r>
      <w:r>
        <w:rPr>
          <w:rtl w:val="true"/>
        </w:rPr>
        <w:t>לגרסתו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האדי</w:t>
      </w:r>
      <w:r>
        <w:rPr>
          <w:rtl w:val="true"/>
        </w:rPr>
        <w:t xml:space="preserve">. </w:t>
      </w:r>
      <w:r>
        <w:rPr>
          <w:rtl w:val="true"/>
        </w:rPr>
        <w:t>גרסת</w:t>
      </w:r>
      <w:r>
        <w:rPr>
          <w:rFonts w:eastAsia="Arial TUR;Arial" w:cs="Arial TUR;Arial"/>
          <w:rtl w:val="true"/>
        </w:rPr>
        <w:t xml:space="preserve"> </w:t>
      </w:r>
      <w:r>
        <w:rPr>
          <w:rtl w:val="true"/>
        </w:rPr>
        <w:t>המערער</w:t>
      </w:r>
      <w:r>
        <w:rPr>
          <w:rtl w:val="true"/>
        </w:rPr>
        <w:t xml:space="preserve">, </w:t>
      </w:r>
      <w:r>
        <w:rPr>
          <w:rtl w:val="true"/>
        </w:rPr>
        <w:t>לפיה</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למנוסתו</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אחז</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רציפה</w:t>
      </w:r>
      <w:r>
        <w:rPr>
          <w:rFonts w:eastAsia="Arial TUR;Arial" w:cs="Arial TUR;Arial"/>
          <w:rtl w:val="true"/>
        </w:rPr>
        <w:t xml:space="preserve"> </w:t>
      </w:r>
      <w:r>
        <w:rPr>
          <w:rtl w:val="true"/>
        </w:rPr>
        <w:t>כשהשניים</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זה</w:t>
      </w:r>
      <w:r>
        <w:rPr>
          <w:rtl w:val="true"/>
        </w:rPr>
        <w:t xml:space="preserve">, </w:t>
      </w:r>
      <w:r>
        <w:rPr>
          <w:rtl w:val="true"/>
        </w:rPr>
        <w:t>נדחתה</w:t>
      </w:r>
      <w:r>
        <w:rPr>
          <w:rtl w:val="true"/>
        </w:rPr>
        <w:t xml:space="preserve">, </w:t>
      </w:r>
      <w:r>
        <w:rPr>
          <w:rtl w:val="true"/>
        </w:rPr>
        <w:t>משהייתה</w:t>
      </w:r>
      <w:r>
        <w:rPr>
          <w:rFonts w:eastAsia="Arial TUR;Arial" w:cs="Arial TUR;Arial"/>
          <w:rtl w:val="true"/>
        </w:rPr>
        <w:t xml:space="preserve"> </w:t>
      </w:r>
      <w:r>
        <w:rPr>
          <w:rtl w:val="true"/>
        </w:rPr>
        <w:t>מגמתית</w:t>
      </w:r>
      <w:r>
        <w:rPr>
          <w:rFonts w:eastAsia="Arial TUR;Arial" w:cs="Arial TUR;Arial"/>
          <w:rtl w:val="true"/>
        </w:rPr>
        <w:t xml:space="preserve"> </w:t>
      </w:r>
      <w:r>
        <w:rPr>
          <w:rtl w:val="true"/>
        </w:rPr>
        <w:t>ונועדה</w:t>
      </w:r>
      <w:r>
        <w:rPr>
          <w:rFonts w:eastAsia="Arial TUR;Arial" w:cs="Arial TUR;Arial"/>
          <w:rtl w:val="true"/>
        </w:rPr>
        <w:t xml:space="preserve"> </w:t>
      </w:r>
      <w:r>
        <w:rPr>
          <w:rtl w:val="true"/>
        </w:rPr>
        <w:t>להציג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כ</w:t>
      </w:r>
      <w:r>
        <w:rPr>
          <w:rtl w:val="true"/>
        </w:rPr>
        <w:t>"</w:t>
      </w:r>
      <w:r>
        <w:rPr>
          <w:rtl w:val="true"/>
        </w:rPr>
        <w:t>חזק</w:t>
      </w:r>
      <w:r>
        <w:rPr>
          <w:rtl w:val="true"/>
        </w:rPr>
        <w:t xml:space="preserve">" </w:t>
      </w:r>
      <w:r>
        <w:rPr>
          <w:rtl w:val="true"/>
        </w:rPr>
        <w:t>והתקפי</w:t>
      </w:r>
      <w:r>
        <w:rPr>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האדי</w:t>
      </w:r>
      <w:r>
        <w:rPr>
          <w:rFonts w:eastAsia="Arial TUR;Arial" w:cs="Arial TUR;Arial"/>
          <w:rtl w:val="true"/>
        </w:rPr>
        <w:t xml:space="preserve"> </w:t>
      </w:r>
      <w:r>
        <w:rPr>
          <w:rtl w:val="true"/>
        </w:rPr>
        <w:t>אומצה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להמשך</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הבית</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האדי</w:t>
      </w:r>
      <w:r>
        <w:rPr>
          <w:rtl w:val="true"/>
        </w:rPr>
        <w:t xml:space="preserve">, </w:t>
      </w:r>
      <w:r>
        <w:rPr>
          <w:rtl w:val="true"/>
        </w:rPr>
        <w:t>שהיה</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w:t>
      </w:r>
      <w:r>
        <w:rPr>
          <w:rtl w:val="true"/>
        </w:rPr>
        <w:t xml:space="preserve">, </w:t>
      </w:r>
      <w:r>
        <w:rPr>
          <w:rtl w:val="true"/>
        </w:rPr>
        <w:t>ניגש</w:t>
      </w:r>
      <w:r>
        <w:rPr>
          <w:rFonts w:eastAsia="Arial TUR;Arial" w:cs="Arial TUR;Arial"/>
          <w:rtl w:val="true"/>
        </w:rPr>
        <w:t xml:space="preserve"> </w:t>
      </w:r>
      <w:r>
        <w:rPr>
          <w:rtl w:val="true"/>
        </w:rPr>
        <w:t>לרחבת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להשתחרר</w:t>
      </w:r>
      <w:r>
        <w:rPr>
          <w:rFonts w:eastAsia="Arial TUR;Arial" w:cs="Arial TUR;Arial"/>
          <w:rtl w:val="true"/>
        </w:rPr>
        <w:t xml:space="preserve"> </w:t>
      </w:r>
      <w:r>
        <w:rPr>
          <w:rtl w:val="true"/>
        </w:rPr>
        <w:t>מאחיזת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והכה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קת</w:t>
      </w:r>
      <w:r>
        <w:rPr>
          <w:rFonts w:eastAsia="Arial TUR;Arial" w:cs="Arial TUR;Arial"/>
          <w:rtl w:val="true"/>
        </w:rPr>
        <w:t xml:space="preserve"> </w:t>
      </w:r>
      <w:r>
        <w:rPr>
          <w:rtl w:val="true"/>
        </w:rPr>
        <w:t>מברג</w:t>
      </w:r>
      <w:r>
        <w:rPr>
          <w:rtl w:val="true"/>
        </w:rPr>
        <w:t xml:space="preserve">. </w:t>
      </w:r>
      <w:r>
        <w:rPr>
          <w:rtl w:val="true"/>
        </w:rPr>
        <w:t>באותה</w:t>
      </w:r>
      <w:r>
        <w:rPr>
          <w:rFonts w:eastAsia="Arial TUR;Arial" w:cs="Arial TUR;Arial"/>
          <w:rtl w:val="true"/>
        </w:rPr>
        <w:t xml:space="preserve"> </w:t>
      </w:r>
      <w:r>
        <w:rPr>
          <w:rtl w:val="true"/>
        </w:rPr>
        <w:t>העת</w:t>
      </w:r>
      <w:r>
        <w:rPr>
          <w:rtl w:val="true"/>
        </w:rPr>
        <w:t xml:space="preserve">, </w:t>
      </w:r>
      <w:r>
        <w:rPr>
          <w:rtl w:val="true"/>
        </w:rPr>
        <w:t>ובהתאם</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האדי</w:t>
      </w:r>
      <w:r>
        <w:rPr>
          <w:rtl w:val="true"/>
        </w:rPr>
        <w:t xml:space="preserve">, </w:t>
      </w:r>
      <w:r>
        <w:rPr>
          <w:rtl w:val="true"/>
        </w:rPr>
        <w:t>הכה</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ברגלו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שנמצא</w:t>
      </w:r>
      <w:r>
        <w:rPr>
          <w:rFonts w:eastAsia="Arial TUR;Arial" w:cs="Arial TUR;Arial"/>
          <w:rtl w:val="true"/>
        </w:rPr>
        <w:t xml:space="preserve"> </w:t>
      </w:r>
      <w:r>
        <w:rPr>
          <w:rtl w:val="true"/>
        </w:rPr>
        <w:t>במקום</w:t>
      </w:r>
      <w:r>
        <w:rPr>
          <w:rtl w:val="true"/>
        </w:rPr>
        <w:t xml:space="preserve">, </w:t>
      </w:r>
      <w:r>
        <w:rPr>
          <w:rtl w:val="true"/>
        </w:rPr>
        <w:t>אז</w:t>
      </w:r>
      <w:r>
        <w:rPr>
          <w:rFonts w:eastAsia="Arial TUR;Arial" w:cs="Arial TUR;Arial"/>
          <w:rtl w:val="true"/>
        </w:rPr>
        <w:t xml:space="preserve"> </w:t>
      </w:r>
      <w:r>
        <w:rPr>
          <w:rtl w:val="true"/>
        </w:rPr>
        <w:t>התמוטט</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ונפל</w:t>
      </w:r>
      <w:r>
        <w:rPr>
          <w:rFonts w:eastAsia="Arial TUR;Arial" w:cs="Arial TUR;Arial"/>
          <w:rtl w:val="true"/>
        </w:rPr>
        <w:t xml:space="preserve"> </w:t>
      </w:r>
      <w:r>
        <w:rPr>
          <w:rtl w:val="true"/>
        </w:rPr>
        <w:t>ברחבת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לבית</w:t>
      </w:r>
      <w:r>
        <w:rPr>
          <w:rtl w:val="true"/>
        </w:rPr>
        <w:t xml:space="preserve">. </w:t>
      </w:r>
      <w:r>
        <w:rPr>
          <w:rtl w:val="true"/>
        </w:rPr>
        <w:t>קביעות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נתמכו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המנוח</w:t>
      </w:r>
      <w:r>
        <w:rPr>
          <w:rtl w:val="true"/>
        </w:rPr>
        <w:t xml:space="preserve">. </w:t>
      </w:r>
      <w:r>
        <w:rPr>
          <w:rtl w:val="true"/>
        </w:rPr>
        <w:t>עדות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בנקודה</w:t>
      </w:r>
      <w:r>
        <w:rPr>
          <w:rFonts w:eastAsia="Arial TUR;Arial" w:cs="Arial TUR;Arial"/>
          <w:rtl w:val="true"/>
        </w:rPr>
        <w:t xml:space="preserve"> </w:t>
      </w:r>
      <w:r>
        <w:rPr>
          <w:rtl w:val="true"/>
        </w:rPr>
        <w:t>זו</w:t>
      </w:r>
      <w:r>
        <w:rPr>
          <w:rtl w:val="true"/>
        </w:rPr>
        <w:t xml:space="preserve">, </w:t>
      </w:r>
      <w:r>
        <w:rPr>
          <w:rtl w:val="true"/>
        </w:rPr>
        <w:t>לפיה</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שהשלושה</w:t>
      </w:r>
      <w:r>
        <w:rPr>
          <w:rFonts w:eastAsia="Arial TUR;Arial" w:cs="Arial TUR;Arial"/>
          <w:rtl w:val="true"/>
        </w:rPr>
        <w:t xml:space="preserve"> </w:t>
      </w:r>
      <w:r>
        <w:rPr>
          <w:rtl w:val="true"/>
        </w:rPr>
        <w:t>נמלטו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tl w:val="true"/>
        </w:rPr>
        <w:t>חזק</w:t>
      </w:r>
      <w:r>
        <w:rPr>
          <w:rtl w:val="true"/>
        </w:rPr>
        <w:t xml:space="preserve">" </w:t>
      </w:r>
      <w:r>
        <w:rPr>
          <w:rtl w:val="true"/>
        </w:rPr>
        <w:t>וצעק</w:t>
      </w:r>
      <w:r>
        <w:rPr>
          <w:rFonts w:eastAsia="Arial TUR;Arial" w:cs="Arial TUR;Arial"/>
          <w:rtl w:val="true"/>
        </w:rPr>
        <w:t xml:space="preserve"> </w:t>
      </w:r>
      <w:r>
        <w:rPr>
          <w:rtl w:val="true"/>
        </w:rPr>
        <w:t>"</w:t>
      </w:r>
      <w:r>
        <w:rPr>
          <w:rtl w:val="true"/>
        </w:rPr>
        <w:t>גנבים</w:t>
      </w:r>
      <w:r>
        <w:rPr>
          <w:rtl w:val="true"/>
        </w:rPr>
        <w:t xml:space="preserve">, </w:t>
      </w:r>
      <w:r>
        <w:rPr>
          <w:rtl w:val="true"/>
        </w:rPr>
        <w:t>גנבים</w:t>
      </w:r>
      <w:r>
        <w:rPr>
          <w:rtl w:val="true"/>
        </w:rPr>
        <w:t xml:space="preserve">" </w:t>
      </w:r>
      <w:r>
        <w:rPr>
          <w:rtl w:val="true"/>
        </w:rPr>
        <w:t>נמצאה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אמינה</w:t>
      </w:r>
      <w:r>
        <w:rPr>
          <w:rtl w:val="true"/>
        </w:rPr>
        <w:t xml:space="preserve">, </w:t>
      </w:r>
      <w:r>
        <w:rPr>
          <w:rtl w:val="true"/>
        </w:rPr>
        <w:t>בפרט</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פציעותיו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לאירועים שלאחר ההימלטות מהזירה</w:t>
      </w:r>
      <w:r>
        <w:rPr>
          <w:rtl w:val="true"/>
        </w:rPr>
        <w:t xml:space="preserve">, </w:t>
      </w:r>
      <w:r>
        <w:rPr>
          <w:rtl w:val="true"/>
        </w:rPr>
        <w:t>נקבע כי בזמן הנסיעה ברכב סיפר אכרם למרואן על הדקירה</w:t>
      </w:r>
      <w:r>
        <w:rPr>
          <w:rtl w:val="true"/>
        </w:rPr>
        <w:t xml:space="preserve">, </w:t>
      </w:r>
      <w:r>
        <w:rPr>
          <w:rtl w:val="true"/>
        </w:rPr>
        <w:t>מבלי לנקוב בשם הדוקר</w:t>
      </w:r>
      <w:r>
        <w:rPr>
          <w:rtl w:val="true"/>
        </w:rPr>
        <w:t xml:space="preserve">. </w:t>
      </w:r>
      <w:r>
        <w:rPr>
          <w:rtl w:val="true"/>
        </w:rPr>
        <w:t>בנקודה זו הועדפה עדותו של מרואן על פני זו של אכרם</w:t>
      </w:r>
      <w:r>
        <w:rPr>
          <w:rtl w:val="true"/>
        </w:rPr>
        <w:t xml:space="preserve">, </w:t>
      </w:r>
      <w:r>
        <w:rPr>
          <w:rtl w:val="true"/>
        </w:rPr>
        <w:t>משהראשונה הצטיירה כאמינה וחוזקה בכך שכל השלושה העידו שברכב הם דיברו על מה שאירע בצורה כזו או אחרת</w:t>
      </w:r>
      <w:r>
        <w:rPr>
          <w:rtl w:val="true"/>
        </w:rPr>
        <w:t xml:space="preserve">. </w:t>
      </w:r>
      <w:r>
        <w:rPr>
          <w:rtl w:val="true"/>
        </w:rPr>
        <w:t>כן נקבע כי לא הוכח כי אכרם או האדי ראו דם על חולצתו של המערער או על המברג וכן לא הוכח כי באותן נסיבות הודה המערער בפני מי מהנוכחים כי דקר את המנוח</w:t>
      </w:r>
      <w:r>
        <w:rPr>
          <w:rtl w:val="true"/>
        </w:rPr>
        <w:t xml:space="preserve">. </w:t>
      </w:r>
      <w:r>
        <w:rPr>
          <w:rtl w:val="true"/>
        </w:rPr>
        <w:t>זאת</w:t>
      </w:r>
      <w:r>
        <w:rPr>
          <w:rtl w:val="true"/>
        </w:rPr>
        <w:t xml:space="preserve">, </w:t>
      </w:r>
      <w:r>
        <w:rPr>
          <w:rtl w:val="true"/>
        </w:rPr>
        <w:t>משגרסאותיהם של אכרם והאדי לעניין זה כללו סתירות ונמצאו לא אמינות</w:t>
      </w:r>
      <w:r>
        <w:rPr>
          <w:rtl w:val="true"/>
        </w:rPr>
        <w:t xml:space="preserve">. </w:t>
      </w:r>
      <w:r>
        <w:rPr>
          <w:rtl w:val="true"/>
        </w:rPr>
        <w:t xml:space="preserve">בנקודה זו נדרש בית המשפט קמא בהרחבה לתרגיל החקירה שכונה </w:t>
      </w:r>
      <w:r>
        <w:rPr>
          <w:rtl w:val="true"/>
        </w:rPr>
        <w:t>"</w:t>
      </w:r>
      <w:r>
        <w:rPr>
          <w:rtl w:val="true"/>
        </w:rPr>
        <w:t>תרגיל השריפה</w:t>
      </w:r>
      <w:r>
        <w:rPr>
          <w:rtl w:val="true"/>
        </w:rPr>
        <w:t xml:space="preserve">", </w:t>
      </w:r>
      <w:r>
        <w:rPr>
          <w:rtl w:val="true"/>
        </w:rPr>
        <w:t>שנערך בשלב בו האדי הכחיש את מעורבותו באירוע</w:t>
      </w:r>
      <w:r>
        <w:rPr>
          <w:rtl w:val="true"/>
        </w:rPr>
        <w:t xml:space="preserve">, </w:t>
      </w:r>
      <w:r>
        <w:rPr>
          <w:rtl w:val="true"/>
        </w:rPr>
        <w:t>ומטרתו הייתה להפגיש בין אכרם</w:t>
      </w:r>
      <w:r>
        <w:rPr>
          <w:rtl w:val="true"/>
        </w:rPr>
        <w:t xml:space="preserve">, </w:t>
      </w:r>
      <w:r>
        <w:rPr>
          <w:rtl w:val="true"/>
        </w:rPr>
        <w:t>שפעל בשליחות המשטרה</w:t>
      </w:r>
      <w:r>
        <w:rPr>
          <w:rtl w:val="true"/>
        </w:rPr>
        <w:t xml:space="preserve">, </w:t>
      </w:r>
      <w:r>
        <w:rPr>
          <w:rtl w:val="true"/>
        </w:rPr>
        <w:t>להאדי</w:t>
      </w:r>
      <w:r>
        <w:rPr>
          <w:rtl w:val="true"/>
        </w:rPr>
        <w:t xml:space="preserve">, </w:t>
      </w:r>
      <w:r>
        <w:rPr>
          <w:rtl w:val="true"/>
        </w:rPr>
        <w:t>כך שאכרם ידובב את האדי ויגרום לו להודות בחלקו במעשים</w:t>
      </w:r>
      <w:r>
        <w:rPr>
          <w:rtl w:val="true"/>
        </w:rPr>
        <w:t xml:space="preserve">. </w:t>
      </w:r>
      <w:r>
        <w:rPr>
          <w:rtl w:val="true"/>
        </w:rPr>
        <w:t xml:space="preserve">הצדדים נחלקו בפרשנותם לשיחה שנערכה בין אכרם להאדי במהלך </w:t>
      </w:r>
      <w:r>
        <w:rPr>
          <w:rtl w:val="true"/>
        </w:rPr>
        <w:t>"</w:t>
      </w:r>
      <w:r>
        <w:rPr>
          <w:rtl w:val="true"/>
        </w:rPr>
        <w:t>תרגיל השריפה</w:t>
      </w:r>
      <w:r>
        <w:rPr>
          <w:rtl w:val="true"/>
        </w:rPr>
        <w:t xml:space="preserve">". </w:t>
      </w:r>
      <w:r>
        <w:rPr>
          <w:rtl w:val="true"/>
        </w:rPr>
        <w:t>המשיבה טענה כי אכרם ביצע את המוטל עליו ואילו המערער ביקש לראות בשיחה כהזדמנות לתיאום גרסאות בין האדי לאכרם על מנת להקטין את חלקם בפרשה וטען כי במהלך השיחה ייחס האדי את הדקירה לאכרם</w:t>
      </w:r>
      <w:r>
        <w:rPr>
          <w:rtl w:val="true"/>
        </w:rPr>
        <w:t xml:space="preserve">. </w:t>
      </w:r>
      <w:r>
        <w:rPr>
          <w:rtl w:val="true"/>
        </w:rPr>
        <w:t xml:space="preserve">בית המשפט קמא קבע כי השניים אכן פעלו לתיאום גרסאותיהם בנקודות מסוימות במהלך התרגיל וביקשו </w:t>
      </w:r>
      <w:r>
        <w:rPr>
          <w:rtl w:val="true"/>
        </w:rPr>
        <w:t>"</w:t>
      </w:r>
      <w:r>
        <w:rPr>
          <w:rtl w:val="true"/>
        </w:rPr>
        <w:t>להעשיר</w:t>
      </w:r>
      <w:r>
        <w:rPr>
          <w:rtl w:val="true"/>
        </w:rPr>
        <w:t xml:space="preserve">" </w:t>
      </w:r>
      <w:r>
        <w:rPr>
          <w:rtl w:val="true"/>
        </w:rPr>
        <w:t>את גרסאותיהם בכל הנוגע למערער</w:t>
      </w:r>
      <w:r>
        <w:rPr>
          <w:rtl w:val="true"/>
        </w:rPr>
        <w:t xml:space="preserve">, </w:t>
      </w:r>
      <w:r>
        <w:rPr>
          <w:rtl w:val="true"/>
        </w:rPr>
        <w:t>ועל כן קבע כי הגרסה לפיה השניים ראו דם על המברג בו אחז המערער</w:t>
      </w:r>
      <w:r>
        <w:rPr>
          <w:rtl w:val="true"/>
        </w:rPr>
        <w:t xml:space="preserve">, </w:t>
      </w:r>
      <w:r>
        <w:rPr>
          <w:rtl w:val="true"/>
        </w:rPr>
        <w:t>או כי המערער התוודה בפניהם</w:t>
      </w:r>
      <w:r>
        <w:rPr>
          <w:rtl w:val="true"/>
        </w:rPr>
        <w:t xml:space="preserve">, </w:t>
      </w:r>
      <w:r>
        <w:rPr>
          <w:rtl w:val="true"/>
        </w:rPr>
        <w:t>אינה אמת</w:t>
      </w:r>
      <w:r>
        <w:rPr>
          <w:rtl w:val="true"/>
        </w:rPr>
        <w:t xml:space="preserve">. </w:t>
      </w:r>
      <w:r>
        <w:rPr>
          <w:rtl w:val="true"/>
        </w:rPr>
        <w:t>עם זאת</w:t>
      </w:r>
      <w:r>
        <w:rPr>
          <w:rtl w:val="true"/>
        </w:rPr>
        <w:t xml:space="preserve">, </w:t>
      </w:r>
      <w:r>
        <w:rPr>
          <w:rtl w:val="true"/>
        </w:rPr>
        <w:t>נדחתה טענת ההגנה כי במהלך השיחה ייחס האדי לאכרם את הדקירה</w:t>
      </w:r>
      <w:r>
        <w:rPr>
          <w:rtl w:val="true"/>
        </w:rPr>
        <w:t xml:space="preserve">, </w:t>
      </w:r>
      <w:r>
        <w:rPr>
          <w:rtl w:val="true"/>
        </w:rPr>
        <w:t>משלא נמצא בסיס של ממש לפרשנות זו</w:t>
      </w:r>
      <w:r>
        <w:rPr>
          <w:rtl w:val="true"/>
        </w:rPr>
        <w:t xml:space="preserve">. </w:t>
      </w:r>
      <w:r>
        <w:rPr>
          <w:rtl w:val="true"/>
        </w:rPr>
        <w:t>כמו כן</w:t>
      </w:r>
      <w:r>
        <w:rPr>
          <w:rtl w:val="true"/>
        </w:rPr>
        <w:t xml:space="preserve">, </w:t>
      </w:r>
      <w:r>
        <w:rPr>
          <w:rtl w:val="true"/>
        </w:rPr>
        <w:t>אומצה גרסתו של האדי בכל הנוגע לכך שהמערער ביקש מהאדי להביא לו בקבוק מים ושטף את ידיו</w:t>
      </w:r>
      <w:r>
        <w:rPr>
          <w:rtl w:val="true"/>
        </w:rPr>
        <w:t xml:space="preserve">, </w:t>
      </w:r>
      <w:r>
        <w:rPr>
          <w:rtl w:val="true"/>
        </w:rPr>
        <w:t>מאחר שהאדי דבק בכך גם בטרם תיאום הגרסאות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בית המשפט קמא קבע </w:t>
      </w:r>
      <w:r>
        <w:rPr>
          <w:rFonts w:ascii="Century" w:hAnsi="Century" w:cs="Century"/>
          <w:sz w:val="22"/>
          <w:sz w:val="22"/>
          <w:rtl w:val="true"/>
        </w:rPr>
        <w:t>כי מארג הראיות כולו מוביל למסקנה כי המערער הוא שדקר את המנוח</w:t>
      </w:r>
      <w:r>
        <w:rPr>
          <w:rFonts w:cs="Century" w:ascii="Century" w:hAnsi="Century"/>
          <w:sz w:val="22"/>
          <w:rtl w:val="true"/>
        </w:rPr>
        <w:t xml:space="preserve">. </w:t>
      </w:r>
      <w:r>
        <w:rPr>
          <w:rFonts w:ascii="Century" w:hAnsi="Century" w:cs="Century"/>
          <w:sz w:val="22"/>
          <w:sz w:val="22"/>
          <w:rtl w:val="true"/>
        </w:rPr>
        <w:t>זאת</w:t>
      </w:r>
      <w:r>
        <w:rPr>
          <w:rFonts w:cs="Century" w:ascii="Century" w:hAnsi="Century"/>
          <w:sz w:val="22"/>
          <w:rtl w:val="true"/>
        </w:rPr>
        <w:t xml:space="preserve">, </w:t>
      </w:r>
      <w:r>
        <w:rPr>
          <w:rFonts w:ascii="Century" w:hAnsi="Century" w:cs="Century"/>
          <w:sz w:val="22"/>
          <w:sz w:val="22"/>
          <w:rtl w:val="true"/>
        </w:rPr>
        <w:t>על אף שהתקבלה גרסת המערער לפיה במהלך</w:t>
      </w:r>
      <w:r>
        <w:rPr>
          <w:rtl w:val="true"/>
        </w:rPr>
        <w:t xml:space="preserve"> המאבק בתוך הבית נכח גם אכרם במקום</w:t>
      </w:r>
      <w:r>
        <w:rPr>
          <w:rtl w:val="true"/>
        </w:rPr>
        <w:t xml:space="preserve">, </w:t>
      </w:r>
      <w:r>
        <w:rPr>
          <w:rtl w:val="true"/>
        </w:rPr>
        <w:t>והמערער לא שהה ביחידות עם המנוח</w:t>
      </w:r>
      <w:r>
        <w:rPr>
          <w:rtl w:val="true"/>
        </w:rPr>
        <w:t xml:space="preserve">. </w:t>
      </w:r>
      <w:r>
        <w:rPr>
          <w:rtl w:val="true"/>
        </w:rPr>
        <w:t>מסקנה זו התבססה בין היתר על מיקום הפציעות</w:t>
      </w:r>
      <w:r>
        <w:rPr>
          <w:rtl w:val="true"/>
        </w:rPr>
        <w:t xml:space="preserve">, </w:t>
      </w:r>
      <w:r>
        <w:rPr>
          <w:rtl w:val="true"/>
        </w:rPr>
        <w:t>אותן ניתן להסביר על רקע המאבק בין המערער למנוח</w:t>
      </w:r>
      <w:r>
        <w:rPr>
          <w:rtl w:val="true"/>
        </w:rPr>
        <w:t xml:space="preserve">; </w:t>
      </w:r>
      <w:r>
        <w:rPr>
          <w:rtl w:val="true"/>
        </w:rPr>
        <w:t>על העובדה כי המערער נשא מברג באמצעותו ניתן לבצע את הדקירה שנמצאה בגופו של המנוח ולעומת זאת אכרם לא עמד בחזית אחת עם המנוח ולא היה מצויד בנשק באמצעותו ניתן לגרום לדקירה</w:t>
      </w:r>
      <w:r>
        <w:rPr>
          <w:rtl w:val="true"/>
        </w:rPr>
        <w:t xml:space="preserve">; </w:t>
      </w:r>
      <w:r>
        <w:rPr>
          <w:rtl w:val="true"/>
        </w:rPr>
        <w:t>ובגרסת המערער עצמו</w:t>
      </w:r>
      <w:r>
        <w:rPr>
          <w:rtl w:val="true"/>
        </w:rPr>
        <w:t xml:space="preserve">, </w:t>
      </w:r>
      <w:r>
        <w:rPr>
          <w:rtl w:val="true"/>
        </w:rPr>
        <w:t>שלא טען כי היה מגע פיזי בין אכרם למנוח בעת המאבק בתוך הבית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בהמשך לכך קבע </w:t>
      </w:r>
      <w:r>
        <w:rPr>
          <w:rFonts w:ascii="Century" w:hAnsi="Century" w:cs="Century"/>
          <w:sz w:val="22"/>
          <w:sz w:val="22"/>
          <w:rtl w:val="true"/>
        </w:rPr>
        <w:t>בית המשפט כי המערער לא הצליח להפריך את ההנחה המפלילה העומדת נגדו</w:t>
      </w:r>
      <w:r>
        <w:rPr>
          <w:rFonts w:cs="Century" w:ascii="Century" w:hAnsi="Century"/>
          <w:sz w:val="22"/>
          <w:rtl w:val="true"/>
        </w:rPr>
        <w:t xml:space="preserve">. </w:t>
      </w:r>
      <w:r>
        <w:rPr>
          <w:rFonts w:ascii="Century" w:hAnsi="Century" w:cs="Century"/>
          <w:sz w:val="22"/>
          <w:sz w:val="22"/>
          <w:rtl w:val="true"/>
        </w:rPr>
        <w:t>נקבע</w:t>
      </w:r>
      <w:r>
        <w:rPr>
          <w:rFonts w:cs="Century" w:ascii="Century" w:hAnsi="Century"/>
          <w:sz w:val="22"/>
          <w:rtl w:val="true"/>
        </w:rPr>
        <w:t xml:space="preserve">, </w:t>
      </w:r>
      <w:r>
        <w:rPr>
          <w:rFonts w:ascii="Century" w:hAnsi="Century" w:cs="Century"/>
          <w:sz w:val="22"/>
          <w:sz w:val="22"/>
          <w:rtl w:val="true"/>
        </w:rPr>
        <w:t>כי גרסת המערער</w:t>
      </w:r>
      <w:r>
        <w:rPr>
          <w:rFonts w:cs="Century" w:ascii="Century" w:hAnsi="Century"/>
          <w:sz w:val="22"/>
          <w:rtl w:val="true"/>
        </w:rPr>
        <w:t xml:space="preserve">, </w:t>
      </w:r>
      <w:r>
        <w:rPr>
          <w:rFonts w:ascii="Century" w:hAnsi="Century" w:cs="Century"/>
          <w:sz w:val="22"/>
          <w:sz w:val="22"/>
          <w:rtl w:val="true"/>
        </w:rPr>
        <w:t>לפיה לא דקר את המנוח</w:t>
      </w:r>
      <w:r>
        <w:rPr>
          <w:rtl w:val="true"/>
        </w:rPr>
        <w:t xml:space="preserve">, </w:t>
      </w:r>
      <w:r>
        <w:rPr>
          <w:rtl w:val="true"/>
        </w:rPr>
        <w:t>היא מגמתית</w:t>
      </w:r>
      <w:r>
        <w:rPr>
          <w:rtl w:val="true"/>
        </w:rPr>
        <w:t xml:space="preserve">, </w:t>
      </w:r>
      <w:r>
        <w:rPr>
          <w:rtl w:val="true"/>
        </w:rPr>
        <w:t>כבושה בחלקה</w:t>
      </w:r>
      <w:r>
        <w:rPr>
          <w:rtl w:val="true"/>
        </w:rPr>
        <w:t xml:space="preserve">, </w:t>
      </w:r>
      <w:r>
        <w:rPr>
          <w:rtl w:val="true"/>
        </w:rPr>
        <w:t>וכוללת סתירות מהותיות</w:t>
      </w:r>
      <w:r>
        <w:rPr>
          <w:rtl w:val="true"/>
        </w:rPr>
        <w:t xml:space="preserve">. </w:t>
      </w:r>
      <w:r>
        <w:rPr>
          <w:rtl w:val="true"/>
        </w:rPr>
        <w:t>כך למשל נקבע</w:t>
      </w:r>
      <w:r>
        <w:rPr>
          <w:rtl w:val="true"/>
        </w:rPr>
        <w:t xml:space="preserve">, </w:t>
      </w:r>
      <w:r>
        <w:rPr>
          <w:rtl w:val="true"/>
        </w:rPr>
        <w:t>כי המערער הסתבך בסתירות ובשקרים בתיאור המפגש עם המנוח והמקום בו התרחש המאבק</w:t>
      </w:r>
      <w:r>
        <w:rPr>
          <w:rtl w:val="true"/>
        </w:rPr>
        <w:t xml:space="preserve">. </w:t>
      </w:r>
      <w:r>
        <w:rPr>
          <w:rtl w:val="true"/>
        </w:rPr>
        <w:t>עוד נקבע כי מאחר שגרסתו העקבית של המערער הייתה כי בכל העת הוא עמד מול המנוח</w:t>
      </w:r>
      <w:r>
        <w:rPr>
          <w:rtl w:val="true"/>
        </w:rPr>
        <w:t xml:space="preserve">, </w:t>
      </w:r>
      <w:r>
        <w:rPr>
          <w:rtl w:val="true"/>
        </w:rPr>
        <w:t>הטענה כי לא ראה את המנוח נדקר בחזהו</w:t>
      </w:r>
      <w:r>
        <w:rPr>
          <w:rtl w:val="true"/>
        </w:rPr>
        <w:t xml:space="preserve">, </w:t>
      </w:r>
      <w:r>
        <w:rPr>
          <w:rtl w:val="true"/>
        </w:rPr>
        <w:t>אינה אפשרית</w:t>
      </w:r>
      <w:r>
        <w:rPr>
          <w:rtl w:val="true"/>
        </w:rPr>
        <w:t xml:space="preserve">. </w:t>
      </w:r>
      <w:r>
        <w:rPr>
          <w:rtl w:val="true"/>
        </w:rPr>
        <w:t>כמו כן</w:t>
      </w:r>
      <w:r>
        <w:rPr>
          <w:rtl w:val="true"/>
        </w:rPr>
        <w:t xml:space="preserve">, </w:t>
      </w:r>
      <w:r>
        <w:rPr>
          <w:rtl w:val="true"/>
        </w:rPr>
        <w:t xml:space="preserve">צוין כי המערער אישר שיתכן כי סימני החבלה על פניו של המנוח נגרמו על ידו </w:t>
      </w:r>
      <w:r>
        <w:rPr>
          <w:rtl w:val="true"/>
        </w:rPr>
        <w:t>–</w:t>
      </w:r>
      <w:r>
        <w:rPr>
          <w:rtl w:val="true"/>
        </w:rPr>
        <w:t xml:space="preserve"> באמצעות אגרוף ולא באמצעות מברג </w:t>
      </w:r>
      <w:r>
        <w:rPr>
          <w:rtl w:val="true"/>
        </w:rPr>
        <w:t>–</w:t>
      </w:r>
      <w:r>
        <w:rPr>
          <w:rtl w:val="true"/>
        </w:rPr>
        <w:t xml:space="preserve"> אולם מעדות המומחה עלה כי פצעי החתך והדקירה בפנים נגרמו באמצעות חפץ מושחז</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0"/>
        </w:numPr>
        <w:ind w:hanging="0" w:start="0" w:end="0"/>
        <w:jc w:val="both"/>
        <w:rPr>
          <w:rFonts w:ascii="Century" w:hAnsi="Century" w:cs="Century"/>
          <w:sz w:val="22"/>
        </w:rPr>
      </w:pPr>
      <w:r>
        <w:rPr>
          <w:rtl w:val="true"/>
        </w:rPr>
        <w:tab/>
      </w:r>
      <w:r>
        <w:rPr>
          <w:rtl w:val="true"/>
        </w:rPr>
        <w:t xml:space="preserve">בית המשפט </w:t>
      </w:r>
      <w:r>
        <w:rPr>
          <w:rFonts w:ascii="Century" w:hAnsi="Century" w:cs="Century"/>
          <w:sz w:val="22"/>
          <w:sz w:val="22"/>
          <w:rtl w:val="true"/>
        </w:rPr>
        <w:t>עמד על כך שהמערער לעולם לא טען שאכרם או האדי דקרו את המנוח</w:t>
      </w:r>
      <w:r>
        <w:rPr>
          <w:rFonts w:cs="Century" w:ascii="Century" w:hAnsi="Century"/>
          <w:sz w:val="22"/>
          <w:rtl w:val="true"/>
        </w:rPr>
        <w:t xml:space="preserve">, </w:t>
      </w:r>
      <w:r>
        <w:rPr>
          <w:rFonts w:ascii="Century" w:hAnsi="Century" w:cs="Century"/>
          <w:sz w:val="22"/>
          <w:sz w:val="22"/>
          <w:rtl w:val="true"/>
        </w:rPr>
        <w:t>גם לאחר שידע שאכרם קיבל מעמד של עד מדינה</w:t>
      </w:r>
      <w:r>
        <w:rPr>
          <w:rFonts w:cs="Century" w:ascii="Century" w:hAnsi="Century"/>
          <w:sz w:val="22"/>
          <w:rtl w:val="true"/>
        </w:rPr>
        <w:t xml:space="preserve">, </w:t>
      </w:r>
      <w:r>
        <w:rPr>
          <w:rFonts w:ascii="Century" w:hAnsi="Century" w:cs="Century"/>
          <w:sz w:val="22"/>
          <w:sz w:val="22"/>
          <w:rtl w:val="true"/>
        </w:rPr>
        <w:t>וכל שטען הוא כי אכרם והאדי ניסו לחלצו מידי המנוח</w:t>
      </w:r>
      <w:r>
        <w:rPr>
          <w:rFonts w:cs="Century" w:ascii="Century" w:hAnsi="Century"/>
          <w:sz w:val="22"/>
          <w:rtl w:val="true"/>
        </w:rPr>
        <w:t xml:space="preserve">, </w:t>
      </w:r>
      <w:r>
        <w:rPr>
          <w:rFonts w:ascii="Century" w:hAnsi="Century" w:cs="Century"/>
          <w:sz w:val="22"/>
          <w:sz w:val="22"/>
          <w:rtl w:val="true"/>
        </w:rPr>
        <w:t>ולכל היותר היכו אותו</w:t>
      </w:r>
      <w:r>
        <w:rPr>
          <w:rFonts w:cs="Century" w:ascii="Century" w:hAnsi="Century"/>
          <w:sz w:val="22"/>
          <w:rtl w:val="true"/>
        </w:rPr>
        <w:t xml:space="preserve">. </w:t>
      </w:r>
      <w:r>
        <w:rPr>
          <w:rFonts w:ascii="Century" w:hAnsi="Century" w:cs="Century"/>
          <w:sz w:val="22"/>
          <w:sz w:val="22"/>
          <w:rtl w:val="true"/>
        </w:rPr>
        <w:t xml:space="preserve">בית המשפט קמא עמד על כך שאין די בגרסתו הכבושה של המערער לפיה האדי ואכרם </w:t>
      </w:r>
      <w:r>
        <w:rPr>
          <w:rFonts w:cs="Century" w:ascii="Century" w:hAnsi="Century"/>
          <w:sz w:val="22"/>
          <w:rtl w:val="true"/>
        </w:rPr>
        <w:t>"</w:t>
      </w:r>
      <w:r>
        <w:rPr>
          <w:rFonts w:ascii="Century" w:hAnsi="Century" w:cs="Century"/>
          <w:sz w:val="22"/>
          <w:sz w:val="22"/>
          <w:rtl w:val="true"/>
        </w:rPr>
        <w:t>הפילו</w:t>
      </w:r>
      <w:r>
        <w:rPr>
          <w:rFonts w:cs="Century" w:ascii="Century" w:hAnsi="Century"/>
          <w:sz w:val="22"/>
          <w:rtl w:val="true"/>
        </w:rPr>
        <w:t xml:space="preserve">" </w:t>
      </w:r>
      <w:r>
        <w:rPr>
          <w:rFonts w:ascii="Century" w:hAnsi="Century" w:cs="Century"/>
          <w:sz w:val="22"/>
          <w:sz w:val="22"/>
          <w:rtl w:val="true"/>
        </w:rPr>
        <w:t>עליו את התיק כדי לסייע להגנתו</w:t>
      </w:r>
      <w:r>
        <w:rPr>
          <w:rFonts w:cs="Century" w:ascii="Century" w:hAnsi="Century"/>
          <w:sz w:val="22"/>
          <w:rtl w:val="true"/>
        </w:rPr>
        <w:t xml:space="preserve">, </w:t>
      </w:r>
      <w:r>
        <w:rPr>
          <w:rFonts w:ascii="Century" w:hAnsi="Century" w:cs="Century"/>
          <w:sz w:val="22"/>
          <w:sz w:val="22"/>
          <w:rtl w:val="true"/>
        </w:rPr>
        <w:t>ועליו ליתן הסבר להצטברות הראיות הנסיבתיות</w:t>
      </w:r>
      <w:r>
        <w:rPr>
          <w:rFonts w:cs="Century" w:ascii="Century" w:hAnsi="Century"/>
          <w:sz w:val="22"/>
          <w:rtl w:val="true"/>
        </w:rPr>
        <w:t xml:space="preserve">, </w:t>
      </w:r>
      <w:r>
        <w:rPr>
          <w:rFonts w:ascii="Century" w:hAnsi="Century" w:cs="Century"/>
          <w:sz w:val="22"/>
          <w:sz w:val="22"/>
          <w:rtl w:val="true"/>
        </w:rPr>
        <w:t>נטל בו לא עמד</w:t>
      </w:r>
      <w:r>
        <w:rPr>
          <w:rFonts w:cs="Century" w:ascii="Century" w:hAnsi="Century"/>
          <w:sz w:val="22"/>
          <w:rtl w:val="true"/>
        </w:rPr>
        <w:t xml:space="preserve">. </w:t>
      </w:r>
      <w:r>
        <w:rPr>
          <w:rFonts w:ascii="Century" w:hAnsi="Century" w:cs="Century"/>
          <w:sz w:val="22"/>
          <w:sz w:val="22"/>
          <w:rtl w:val="true"/>
        </w:rPr>
        <w:t>כן נבחנו</w:t>
      </w:r>
      <w:r>
        <w:rPr>
          <w:rtl w:val="true"/>
        </w:rPr>
        <w:t xml:space="preserve"> ונדחו תרחישים חלופיים לפיהם אכרם או האדי דקרו את המנוח</w:t>
      </w:r>
      <w:r>
        <w:rPr>
          <w:rtl w:val="true"/>
        </w:rPr>
        <w:t xml:space="preserve">, </w:t>
      </w:r>
      <w:r>
        <w:rPr>
          <w:rtl w:val="true"/>
        </w:rPr>
        <w:t>או כי המכה שנתן האדי עם קת המברג גרמה למוות</w:t>
      </w:r>
      <w:r>
        <w:rPr>
          <w:rtl w:val="true"/>
        </w:rPr>
        <w:t xml:space="preserve">, </w:t>
      </w:r>
      <w:r>
        <w:rPr>
          <w:rtl w:val="true"/>
        </w:rPr>
        <w:t>משלא הייתה להם אחיזה בחומר הראיות</w:t>
      </w:r>
      <w:r>
        <w:rPr>
          <w:rtl w:val="true"/>
        </w:rPr>
        <w:t xml:space="preserve">. </w:t>
      </w:r>
      <w:r>
        <w:rPr>
          <w:rtl w:val="true"/>
        </w:rPr>
        <w:t>גם האפשרות שאדם אחר דקר את המנוח בטווח הזמן שבין הימלטות השלושה מהזירה ועד שנמצא על</w:t>
      </w:r>
      <w:r>
        <w:rPr>
          <w:rtl w:val="true"/>
        </w:rPr>
        <w:t>-</w:t>
      </w:r>
      <w:r>
        <w:rPr>
          <w:rtl w:val="true"/>
        </w:rPr>
        <w:t>ידי אשתו נדחתה</w:t>
      </w:r>
      <w:r>
        <w:rPr>
          <w:rtl w:val="true"/>
        </w:rPr>
        <w:t xml:space="preserve">, </w:t>
      </w:r>
      <w:r>
        <w:rPr>
          <w:rtl w:val="true"/>
        </w:rPr>
        <w:t>משנקבע כי זו אפשרות תיאורטית בלבד ובלתי סבירה</w:t>
      </w:r>
      <w:r>
        <w:rPr>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pPr>
      <w:r>
        <w:rPr>
          <w:rtl w:val="true"/>
        </w:rPr>
        <w:t xml:space="preserve">בשלב זה ניגש בית </w:t>
      </w:r>
      <w:r>
        <w:rPr>
          <w:rFonts w:ascii="Century" w:hAnsi="Century" w:cs="Century"/>
          <w:rtl w:val="true"/>
        </w:rPr>
        <w:t>המשפט לניתוח עבירת הרצח אגב ביצוע עבירה</w:t>
      </w:r>
      <w:r>
        <w:rPr>
          <w:rFonts w:cs="Century" w:ascii="Century" w:hAnsi="Century"/>
          <w:rtl w:val="true"/>
        </w:rPr>
        <w:t xml:space="preserve">, </w:t>
      </w:r>
      <w:r>
        <w:rPr>
          <w:rFonts w:ascii="Century" w:hAnsi="Century" w:cs="Century"/>
          <w:rtl w:val="true"/>
        </w:rPr>
        <w:t xml:space="preserve">המצויה </w:t>
      </w:r>
      <w:hyperlink r:id="rId32">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3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נקבע</w:t>
      </w:r>
      <w:r>
        <w:rPr>
          <w:rtl w:val="true"/>
        </w:rPr>
        <w:t xml:space="preserve">, </w:t>
      </w:r>
      <w:r>
        <w:rPr>
          <w:rtl w:val="true"/>
        </w:rPr>
        <w:t>כי משהדקירה בוצעה לאחר שהמערער התפרץ יחד עם אחרים לבית מגורים</w:t>
      </w:r>
      <w:r>
        <w:rPr>
          <w:rtl w:val="true"/>
        </w:rPr>
        <w:t xml:space="preserve">, </w:t>
      </w:r>
      <w:r>
        <w:rPr>
          <w:rtl w:val="true"/>
        </w:rPr>
        <w:t>הרי שהיא בוצעה תוך ביצוע עבירה אחרת מסוג פשע</w:t>
      </w:r>
      <w:r>
        <w:rPr>
          <w:rtl w:val="true"/>
        </w:rPr>
        <w:t xml:space="preserve">. </w:t>
      </w:r>
      <w:r>
        <w:rPr>
          <w:rtl w:val="true"/>
        </w:rPr>
        <w:t>באשר ליסוד הנפשי</w:t>
      </w:r>
      <w:r>
        <w:rPr>
          <w:rtl w:val="true"/>
        </w:rPr>
        <w:t xml:space="preserve">, </w:t>
      </w:r>
      <w:r>
        <w:rPr>
          <w:rtl w:val="true"/>
        </w:rPr>
        <w:t>עמד בית המשפט על כך שדי במודעות ליסוד העובדתי של העבירה</w:t>
      </w:r>
      <w:r>
        <w:rPr>
          <w:rtl w:val="true"/>
        </w:rPr>
        <w:t xml:space="preserve">, </w:t>
      </w:r>
      <w:r>
        <w:rPr>
          <w:rtl w:val="true"/>
        </w:rPr>
        <w:t>להתקיימות נסיבותיה</w:t>
      </w:r>
      <w:r>
        <w:rPr>
          <w:rtl w:val="true"/>
        </w:rPr>
        <w:t xml:space="preserve">, </w:t>
      </w:r>
      <w:r>
        <w:rPr>
          <w:rtl w:val="true"/>
        </w:rPr>
        <w:t>ולאפשרות גרימת המוות</w:t>
      </w:r>
      <w:r>
        <w:rPr>
          <w:rtl w:val="true"/>
        </w:rPr>
        <w:t xml:space="preserve">, </w:t>
      </w:r>
      <w:r>
        <w:rPr>
          <w:rtl w:val="true"/>
        </w:rPr>
        <w:t>תוך יחס של פזיזות להתרחשות התוצאה</w:t>
      </w:r>
      <w:r>
        <w:rPr>
          <w:rtl w:val="true"/>
        </w:rPr>
        <w:t xml:space="preserve">. </w:t>
      </w:r>
      <w:r>
        <w:rPr>
          <w:rtl w:val="true"/>
        </w:rPr>
        <w:t>נקבע</w:t>
      </w:r>
      <w:r>
        <w:rPr>
          <w:rtl w:val="true"/>
        </w:rPr>
        <w:t xml:space="preserve">, </w:t>
      </w:r>
      <w:r>
        <w:rPr>
          <w:rtl w:val="true"/>
        </w:rPr>
        <w:t xml:space="preserve">כי מודעות המערער לכך שהוא פעל </w:t>
      </w:r>
      <w:r>
        <w:rPr>
          <w:rtl w:val="true"/>
        </w:rPr>
        <w:t>"</w:t>
      </w:r>
      <w:r>
        <w:rPr>
          <w:rtl w:val="true"/>
        </w:rPr>
        <w:t>תוך ביצוע עבירה</w:t>
      </w:r>
      <w:r>
        <w:rPr>
          <w:rtl w:val="true"/>
        </w:rPr>
        <w:t xml:space="preserve">" </w:t>
      </w:r>
      <w:r>
        <w:rPr>
          <w:rtl w:val="true"/>
        </w:rPr>
        <w:t>נלמדת מכך שהמערער תכנן את ההתפרצות לבית יחד עם האחרים</w:t>
      </w:r>
      <w:r>
        <w:rPr>
          <w:rtl w:val="true"/>
        </w:rPr>
        <w:t xml:space="preserve">, </w:t>
      </w:r>
      <w:r>
        <w:rPr>
          <w:rtl w:val="true"/>
        </w:rPr>
        <w:t>והתפרץ לבית כשהוא מצויד במברג ומשהופתע על ידי המנוח דקר אותו באמצעות המברג וגרם למותו</w:t>
      </w:r>
      <w:r>
        <w:rPr>
          <w:rtl w:val="true"/>
        </w:rPr>
        <w:t xml:space="preserve">. </w:t>
      </w:r>
      <w:r>
        <w:rPr>
          <w:rtl w:val="true"/>
        </w:rPr>
        <w:t>כן נקבע כי מודעותו לאפשרות גרימת מותו של המנוח כתוצאה ממעשיו נלמדת הן מנסיבות המקרה והן מ</w:t>
      </w:r>
      <w:r>
        <w:rPr>
          <w:rtl w:val="true"/>
        </w:rPr>
        <w:t>"</w:t>
      </w:r>
      <w:r>
        <w:rPr>
          <w:rtl w:val="true"/>
        </w:rPr>
        <w:t>חזקת המודעות</w:t>
      </w:r>
      <w:r>
        <w:rPr>
          <w:rtl w:val="true"/>
        </w:rPr>
        <w:t xml:space="preserve">". </w:t>
      </w:r>
      <w:r>
        <w:rPr>
          <w:rtl w:val="true"/>
        </w:rPr>
        <w:t>בעניין זה נקבע כי אמנם לא תוכנן שוד אלים</w:t>
      </w:r>
      <w:r>
        <w:rPr>
          <w:rtl w:val="true"/>
        </w:rPr>
        <w:t xml:space="preserve">, </w:t>
      </w:r>
      <w:r>
        <w:rPr>
          <w:rtl w:val="true"/>
        </w:rPr>
        <w:t>אך המערער היה מודע לאפשרות שיופתע על ידי בעלי הבית בזמן מעשה ועל כן הוצב תצפיתן מחוץ לבית והמערער הותיר את דלת הבית פתוחה כדי לאפשר פתח מילוט מהיר</w:t>
      </w:r>
      <w:r>
        <w:rPr>
          <w:rtl w:val="true"/>
        </w:rPr>
        <w:t xml:space="preserve">. </w:t>
      </w:r>
      <w:r>
        <w:rPr>
          <w:rtl w:val="true"/>
        </w:rPr>
        <w:t>לבסוף</w:t>
      </w:r>
      <w:r>
        <w:rPr>
          <w:rtl w:val="true"/>
        </w:rPr>
        <w:t xml:space="preserve">, </w:t>
      </w:r>
      <w:r>
        <w:rPr>
          <w:rtl w:val="true"/>
        </w:rPr>
        <w:t xml:space="preserve">נקבע כי </w:t>
      </w:r>
      <w:r>
        <w:rPr>
          <w:rFonts w:ascii="Century" w:hAnsi="Century" w:cs="Century"/>
          <w:rtl w:val="true"/>
        </w:rPr>
        <w:t xml:space="preserve">המאבק </w:t>
      </w:r>
      <w:r>
        <w:rPr>
          <w:rtl w:val="true"/>
        </w:rPr>
        <w:t>האלים שהתפתח היה פרי בחירתו של המערער</w:t>
      </w:r>
      <w:r>
        <w:rPr>
          <w:rtl w:val="true"/>
        </w:rPr>
        <w:t xml:space="preserve">, </w:t>
      </w:r>
      <w:r>
        <w:rPr>
          <w:rtl w:val="true"/>
        </w:rPr>
        <w:t>שכן עמדה לו האפשרות לברוח דרך החלון ממנו נכנס לבית</w:t>
      </w:r>
      <w:r>
        <w:rPr>
          <w:rtl w:val="true"/>
        </w:rPr>
        <w:t xml:space="preserve">, </w:t>
      </w:r>
      <w:r>
        <w:rPr>
          <w:rtl w:val="true"/>
        </w:rPr>
        <w:t>או להשלים עם תפיסתו ולהימנע מעימות אלים</w:t>
      </w:r>
      <w:r>
        <w:rPr>
          <w:rtl w:val="true"/>
        </w:rPr>
        <w:t xml:space="preserve">, </w:t>
      </w:r>
      <w:r>
        <w:rPr>
          <w:rtl w:val="true"/>
        </w:rPr>
        <w:t>וכי אופי המאבק</w:t>
      </w:r>
      <w:r>
        <w:rPr>
          <w:rtl w:val="true"/>
        </w:rPr>
        <w:t xml:space="preserve">, </w:t>
      </w:r>
      <w:r>
        <w:rPr>
          <w:rtl w:val="true"/>
        </w:rPr>
        <w:t>תוך שימוש במברג ודקירת המנוח בין היתר בחזהו</w:t>
      </w:r>
      <w:r>
        <w:rPr>
          <w:rtl w:val="true"/>
        </w:rPr>
        <w:t xml:space="preserve">, </w:t>
      </w:r>
      <w:r>
        <w:rPr>
          <w:rtl w:val="true"/>
        </w:rPr>
        <w:t xml:space="preserve">מלמד על מטרת המערער להשתחרר </w:t>
      </w:r>
      <w:r>
        <w:rPr>
          <w:rtl w:val="true"/>
        </w:rPr>
        <w:t>"</w:t>
      </w:r>
      <w:r>
        <w:rPr>
          <w:rtl w:val="true"/>
        </w:rPr>
        <w:t>בכל מחיר</w:t>
      </w:r>
      <w:r>
        <w:rPr>
          <w:rtl w:val="true"/>
        </w:rPr>
        <w:t xml:space="preserve">". </w:t>
      </w:r>
      <w:r>
        <w:rPr>
          <w:rtl w:val="true"/>
        </w:rPr>
        <w:t>בחירתו של המערער להתעמת עם המנוח תחת בריחה מהחלון</w:t>
      </w:r>
      <w:r>
        <w:rPr>
          <w:rtl w:val="true"/>
        </w:rPr>
        <w:t xml:space="preserve">, </w:t>
      </w:r>
      <w:r>
        <w:rPr>
          <w:rtl w:val="true"/>
        </w:rPr>
        <w:t>מצביעה על אדישות וחוסר אכפתיות לתוצאה הצפויה מהעימות עם המנוח</w:t>
      </w:r>
      <w:r>
        <w:rPr>
          <w:rtl w:val="true"/>
        </w:rPr>
        <w:t xml:space="preserve">. </w:t>
      </w:r>
      <w:r>
        <w:rPr>
          <w:rtl w:val="true"/>
        </w:rPr>
        <w:t>יתרה מכך</w:t>
      </w:r>
      <w:r>
        <w:rPr>
          <w:rtl w:val="true"/>
        </w:rPr>
        <w:t xml:space="preserve">, </w:t>
      </w:r>
      <w:r>
        <w:rPr>
          <w:rtl w:val="true"/>
        </w:rPr>
        <w:t>השימוש שעשה המערער במברג באורך של כ</w:t>
      </w:r>
      <w:r>
        <w:rPr>
          <w:rtl w:val="true"/>
        </w:rPr>
        <w:t>-</w:t>
      </w:r>
      <w:r>
        <w:rPr/>
        <w:t>25</w:t>
      </w:r>
      <w:r>
        <w:rPr>
          <w:rtl w:val="true"/>
        </w:rPr>
        <w:t xml:space="preserve"> </w:t>
      </w:r>
      <w:r>
        <w:rPr>
          <w:rtl w:val="true"/>
        </w:rPr>
        <w:t>ס</w:t>
      </w:r>
      <w:r>
        <w:rPr>
          <w:rtl w:val="true"/>
        </w:rPr>
        <w:t>"</w:t>
      </w:r>
      <w:r>
        <w:rPr>
          <w:rtl w:val="true"/>
        </w:rPr>
        <w:t>מ</w:t>
      </w:r>
      <w:r>
        <w:rPr>
          <w:rtl w:val="true"/>
        </w:rPr>
        <w:t xml:space="preserve">, </w:t>
      </w:r>
      <w:r>
        <w:rPr>
          <w:rtl w:val="true"/>
        </w:rPr>
        <w:t xml:space="preserve">כשדקר את המנוח באיבר חיוני בגופו </w:t>
      </w:r>
      <w:r>
        <w:rPr>
          <w:rtl w:val="true"/>
        </w:rPr>
        <w:t>–</w:t>
      </w:r>
      <w:r>
        <w:rPr>
          <w:rtl w:val="true"/>
        </w:rPr>
        <w:t xml:space="preserve"> חזהו</w:t>
      </w:r>
      <w:r>
        <w:rPr>
          <w:rtl w:val="true"/>
        </w:rPr>
        <w:t xml:space="preserve">, </w:t>
      </w:r>
      <w:r>
        <w:rPr>
          <w:rtl w:val="true"/>
        </w:rPr>
        <w:t>והפקרת המנוח מתבוסס בדמו</w:t>
      </w:r>
      <w:r>
        <w:rPr>
          <w:rtl w:val="true"/>
        </w:rPr>
        <w:t xml:space="preserve">, </w:t>
      </w:r>
      <w:r>
        <w:rPr>
          <w:rtl w:val="true"/>
        </w:rPr>
        <w:t>ללא הזעקת עזרה</w:t>
      </w:r>
      <w:r>
        <w:rPr>
          <w:rtl w:val="true"/>
        </w:rPr>
        <w:t xml:space="preserve">, </w:t>
      </w:r>
      <w:r>
        <w:rPr>
          <w:rtl w:val="true"/>
        </w:rPr>
        <w:t>מלמדים כי המערער היה אדיש לאפשרות מותו של המנוח</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לנוכח כל האמור</w:t>
      </w:r>
      <w:r>
        <w:rPr>
          <w:rtl w:val="true"/>
        </w:rPr>
        <w:t xml:space="preserve">, </w:t>
      </w:r>
      <w:r>
        <w:rPr>
          <w:rtl w:val="true"/>
        </w:rPr>
        <w:t>הרשיע בית המשפט את המערער בעבירת הרצח וביתר העבירות שיוחסו לו בכתב האישום</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בעת גזירת הדין עמד בית המשפט על כך שבגין עבירת הרצח יש לגזור על המערער את עונש החובה של מאסר עולם</w:t>
      </w:r>
      <w:r>
        <w:rPr>
          <w:rtl w:val="true"/>
        </w:rPr>
        <w:t xml:space="preserve">, </w:t>
      </w:r>
      <w:r>
        <w:rPr>
          <w:rtl w:val="true"/>
        </w:rPr>
        <w:t>וכי המשיבה לא ביקשה לגזור עונשים נוספים בגין העבירות הנוספות</w:t>
      </w:r>
      <w:r>
        <w:rPr>
          <w:rtl w:val="true"/>
        </w:rPr>
        <w:t xml:space="preserve">. </w:t>
      </w:r>
      <w:r>
        <w:rPr>
          <w:rtl w:val="true"/>
        </w:rPr>
        <w:t>בית המשפט הוסיף כי מכיוון שהעבירות הנוספות כרוכות מבחינה עובדתית בעבירת הרצח</w:t>
      </w:r>
      <w:r>
        <w:rPr>
          <w:rtl w:val="true"/>
        </w:rPr>
        <w:t xml:space="preserve">, </w:t>
      </w:r>
      <w:r>
        <w:rPr>
          <w:rtl w:val="true"/>
        </w:rPr>
        <w:t>יש לראות במקרה כפרשה אחת</w:t>
      </w:r>
      <w:r>
        <w:rPr>
          <w:rtl w:val="true"/>
        </w:rPr>
        <w:t xml:space="preserve">, </w:t>
      </w:r>
      <w:r>
        <w:rPr>
          <w:rtl w:val="true"/>
        </w:rPr>
        <w:t>וממילא לא היה מקום לגזור בגינן עונש נפרד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בקביעת סכום הפיצוי לפי </w:t>
      </w:r>
      <w:hyperlink r:id="rId34">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הובאו בחשבון הצהרות נפגעי העבירה של בני משפחת המנוח והדברים שמסרו בבית המשפט</w:t>
      </w:r>
      <w:r>
        <w:rPr>
          <w:rtl w:val="true"/>
        </w:rPr>
        <w:t xml:space="preserve">. </w:t>
      </w:r>
      <w:r>
        <w:rPr>
          <w:rtl w:val="true"/>
        </w:rPr>
        <w:t xml:space="preserve">בית המשפט קמא עמד על כך </w:t>
      </w:r>
      <w:hyperlink r:id="rId36">
        <w:r>
          <w:rPr>
            <w:rStyle w:val="Hyperlink"/>
            <w:color w:val="0000FF"/>
            <w:u w:val="single"/>
            <w:rtl w:val="true"/>
          </w:rPr>
          <w:t>שסעיף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מסמיך את בית המשפט לפסוק פיצויים לנפגעי עבירה עד תקרה מסוימת</w:t>
      </w:r>
      <w:r>
        <w:rPr>
          <w:rtl w:val="true"/>
        </w:rPr>
        <w:t xml:space="preserve">, </w:t>
      </w:r>
      <w:r>
        <w:rPr>
          <w:rtl w:val="true"/>
        </w:rPr>
        <w:t xml:space="preserve">אולם הגישה הנוהגת היא לראות בתקרה הגבלה על סכום הפיצוי המגיע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tl w:val="true"/>
        </w:rPr>
        <w:t xml:space="preserve"> מן הזכאים</w:t>
      </w:r>
      <w:r>
        <w:rPr>
          <w:rtl w:val="true"/>
        </w:rPr>
        <w:t xml:space="preserve">, </w:t>
      </w:r>
      <w:r>
        <w:rPr>
          <w:rtl w:val="true"/>
        </w:rPr>
        <w:t>ולא על סכום הפיצוי הכולל בו יחויב הנאשם</w:t>
      </w:r>
      <w:r>
        <w:rPr>
          <w:rtl w:val="true"/>
        </w:rPr>
        <w:t xml:space="preserve">, </w:t>
      </w:r>
      <w:r>
        <w:rPr>
          <w:rtl w:val="true"/>
        </w:rPr>
        <w:t>כל עוד הדבר סביר ומידתי</w:t>
      </w:r>
      <w:r>
        <w:rPr>
          <w:rtl w:val="true"/>
        </w:rPr>
        <w:t xml:space="preserve">. </w:t>
      </w:r>
      <w:r>
        <w:rPr>
          <w:rtl w:val="true"/>
        </w:rPr>
        <w:t>במקרה דנן</w:t>
      </w:r>
      <w:r>
        <w:rPr>
          <w:rtl w:val="true"/>
        </w:rPr>
        <w:t xml:space="preserve">, </w:t>
      </w:r>
      <w:r>
        <w:rPr>
          <w:rtl w:val="true"/>
        </w:rPr>
        <w:t>ראה בית המשפט צורך לפצות את אלמנת המנוח</w:t>
      </w:r>
      <w:r>
        <w:rPr>
          <w:rtl w:val="true"/>
        </w:rPr>
        <w:t xml:space="preserve">, </w:t>
      </w:r>
      <w:r>
        <w:rPr>
          <w:rtl w:val="true"/>
        </w:rPr>
        <w:t>את ארבעת ילדיו ואת שלושת נכדיו הקטינים ששהו בבית הסמוך בזמן הרצח</w:t>
      </w:r>
      <w:r>
        <w:rPr>
          <w:rtl w:val="true"/>
        </w:rPr>
        <w:t xml:space="preserve">, </w:t>
      </w:r>
      <w:r>
        <w:rPr>
          <w:rtl w:val="true"/>
        </w:rPr>
        <w:t>תוך ציון כי אבדנו של המנוח השאיר קושי כלכלי בשל היותו המפרנס העיקרי וכי נכדיו נדרשים לטיפול נפשי</w:t>
      </w:r>
      <w:r>
        <w:rPr>
          <w:rtl w:val="true"/>
        </w:rPr>
        <w:t xml:space="preserve">, </w:t>
      </w:r>
      <w:r>
        <w:rPr>
          <w:rtl w:val="true"/>
        </w:rPr>
        <w:t>אשר עלויות לצדו</w:t>
      </w:r>
      <w:r>
        <w:rPr>
          <w:rtl w:val="true"/>
        </w:rPr>
        <w:t xml:space="preserve">. </w:t>
      </w:r>
      <w:r>
        <w:rPr>
          <w:rtl w:val="true"/>
        </w:rPr>
        <w:t>משכך</w:t>
      </w:r>
      <w:r>
        <w:rPr>
          <w:rtl w:val="true"/>
        </w:rPr>
        <w:t xml:space="preserve">, </w:t>
      </w:r>
      <w:r>
        <w:rPr>
          <w:rtl w:val="true"/>
        </w:rPr>
        <w:t xml:space="preserve">פסק בית המשפט פיצוי בסך כולל של </w:t>
      </w:r>
      <w:r>
        <w:rPr/>
        <w:t>688,000</w:t>
      </w:r>
      <w:r>
        <w:rPr>
          <w:rtl w:val="true"/>
        </w:rPr>
        <w:t xml:space="preserve"> </w:t>
      </w:r>
      <w:r>
        <w:rPr>
          <w:rtl w:val="true"/>
        </w:rPr>
        <w:t>ש</w:t>
      </w:r>
      <w:r>
        <w:rPr>
          <w:rtl w:val="true"/>
        </w:rPr>
        <w:t>"</w:t>
      </w:r>
      <w:r>
        <w:rPr>
          <w:rtl w:val="true"/>
        </w:rPr>
        <w:t>ח</w:t>
      </w:r>
      <w:r>
        <w:rPr>
          <w:rtl w:val="true"/>
        </w:rPr>
        <w:t xml:space="preserve">: </w:t>
      </w:r>
      <w:r>
        <w:rPr>
          <w:rtl w:val="true"/>
        </w:rPr>
        <w:t xml:space="preserve">לאלמנת המנוח בסך </w:t>
      </w:r>
      <w:r>
        <w:rPr/>
        <w:t>258,000</w:t>
      </w:r>
      <w:r>
        <w:rPr>
          <w:rtl w:val="true"/>
        </w:rPr>
        <w:t xml:space="preserve"> </w:t>
      </w:r>
      <w:r>
        <w:rPr>
          <w:rtl w:val="true"/>
        </w:rPr>
        <w:t>ש</w:t>
      </w:r>
      <w:r>
        <w:rPr>
          <w:rtl w:val="true"/>
        </w:rPr>
        <w:t>"</w:t>
      </w:r>
      <w:r>
        <w:rPr>
          <w:rtl w:val="true"/>
        </w:rPr>
        <w:t>ח</w:t>
      </w:r>
      <w:r>
        <w:rPr>
          <w:rtl w:val="true"/>
        </w:rPr>
        <w:t xml:space="preserve">, </w:t>
      </w:r>
      <w:r>
        <w:rPr>
          <w:rtl w:val="true"/>
        </w:rPr>
        <w:t xml:space="preserve">לארבעת הילדים בסך </w:t>
      </w:r>
      <w:r>
        <w:rPr/>
        <w:t>100,000</w:t>
      </w:r>
      <w:r>
        <w:rPr>
          <w:rtl w:val="true"/>
        </w:rPr>
        <w:t xml:space="preserve"> </w:t>
      </w:r>
      <w:r>
        <w:rPr>
          <w:rtl w:val="true"/>
        </w:rPr>
        <w:t>ש</w:t>
      </w:r>
      <w:r>
        <w:rPr>
          <w:rtl w:val="true"/>
        </w:rPr>
        <w:t>"</w:t>
      </w:r>
      <w:r>
        <w:rPr>
          <w:rtl w:val="true"/>
        </w:rPr>
        <w:t xml:space="preserve">ח לכל אחד ולשלושת הנכדים בסך </w:t>
      </w:r>
      <w:r>
        <w:rPr/>
        <w:t>10,000</w:t>
      </w:r>
      <w:r>
        <w:rPr>
          <w:rtl w:val="true"/>
        </w:rPr>
        <w:t xml:space="preserve"> </w:t>
      </w:r>
      <w:r>
        <w:rPr>
          <w:rtl w:val="true"/>
        </w:rPr>
        <w:t>ש</w:t>
      </w:r>
      <w:r>
        <w:rPr>
          <w:rtl w:val="true"/>
        </w:rPr>
        <w:t>"</w:t>
      </w:r>
      <w:r>
        <w:rPr>
          <w:rtl w:val="true"/>
        </w:rPr>
        <w:t>ח לכל אחד</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ראשית</w:t>
      </w:r>
      <w:r>
        <w:rPr>
          <w:rtl w:val="true"/>
        </w:rPr>
        <w:t xml:space="preserve">, </w:t>
      </w:r>
      <w:r>
        <w:rPr>
          <w:rtl w:val="true"/>
        </w:rPr>
        <w:t>טען המערער כי בית משפט קמא שגה באופן בו ביסס את התשתית העובדתית</w:t>
      </w:r>
      <w:r>
        <w:rPr>
          <w:rtl w:val="true"/>
        </w:rPr>
        <w:t xml:space="preserve">, </w:t>
      </w:r>
      <w:r>
        <w:rPr>
          <w:rtl w:val="true"/>
        </w:rPr>
        <w:t>בכך שפיצל באופן מלאכותי את רצף האירועים למקטעים וקבע ממצאים עובדתיים ביחס לכל מקטע</w:t>
      </w:r>
      <w:r>
        <w:rPr>
          <w:rtl w:val="true"/>
        </w:rPr>
        <w:t xml:space="preserve">, </w:t>
      </w:r>
      <w:r>
        <w:rPr>
          <w:rtl w:val="true"/>
        </w:rPr>
        <w:t>כך שנוצרה גרסה חדש לחלוטין השונה מגרסאותיהם של כל אחד מהשלושה וגם מכתב האישום</w:t>
      </w:r>
      <w:r>
        <w:rPr>
          <w:rtl w:val="true"/>
        </w:rPr>
        <w:t xml:space="preserve">. </w:t>
      </w:r>
      <w:r>
        <w:rPr>
          <w:rtl w:val="true"/>
        </w:rPr>
        <w:t>נטען</w:t>
      </w:r>
      <w:r>
        <w:rPr>
          <w:rtl w:val="true"/>
        </w:rPr>
        <w:t xml:space="preserve">, </w:t>
      </w:r>
      <w:r>
        <w:rPr>
          <w:rtl w:val="true"/>
        </w:rPr>
        <w:t xml:space="preserve">כי הכלל הפסיקתי של </w:t>
      </w:r>
      <w:r>
        <w:rPr>
          <w:rFonts w:cs="Century" w:ascii="Century" w:hAnsi="Century"/>
          <w:sz w:val="22"/>
          <w:rtl w:val="true"/>
        </w:rPr>
        <w:t>"</w:t>
      </w:r>
      <w:r>
        <w:rPr>
          <w:rFonts w:ascii="Century" w:hAnsi="Century" w:cs="Century"/>
          <w:sz w:val="22"/>
          <w:sz w:val="22"/>
          <w:rtl w:val="true"/>
        </w:rPr>
        <w:t>פלגינן דיבורא</w:t>
      </w:r>
      <w:r>
        <w:rPr>
          <w:rFonts w:cs="Century" w:ascii="Century" w:hAnsi="Century"/>
          <w:sz w:val="22"/>
          <w:rtl w:val="true"/>
        </w:rPr>
        <w:t xml:space="preserve">", </w:t>
      </w:r>
      <w:r>
        <w:rPr>
          <w:rtl w:val="true"/>
        </w:rPr>
        <w:t>עליו הסתמך בית המשפט קמא</w:t>
      </w:r>
      <w:r>
        <w:rPr>
          <w:rtl w:val="true"/>
        </w:rPr>
        <w:t xml:space="preserve">, </w:t>
      </w:r>
      <w:r>
        <w:rPr>
          <w:rtl w:val="true"/>
        </w:rPr>
        <w:t xml:space="preserve">אינו מאפשר את המהלך </w:t>
      </w:r>
      <w:r>
        <w:rPr>
          <w:rtl w:val="true"/>
        </w:rPr>
        <w:t>"</w:t>
      </w:r>
      <w:r>
        <w:rPr>
          <w:rtl w:val="true"/>
        </w:rPr>
        <w:t>הדרמטי ומרחיק הלכת</w:t>
      </w:r>
      <w:r>
        <w:rPr>
          <w:rtl w:val="true"/>
        </w:rPr>
        <w:t xml:space="preserve">" </w:t>
      </w:r>
      <w:r>
        <w:rPr>
          <w:rtl w:val="true"/>
        </w:rPr>
        <w:t>שעשה</w:t>
      </w:r>
      <w:r>
        <w:rPr>
          <w:rtl w:val="true"/>
        </w:rPr>
        <w:t xml:space="preserve">, </w:t>
      </w:r>
      <w:r>
        <w:rPr>
          <w:rtl w:val="true"/>
        </w:rPr>
        <w:t>וכי בכל מקרה השימוש בכלל נעשה בצורה שרירותית ומגמתית ללא נימוקים מספקים</w:t>
      </w:r>
      <w:r>
        <w:rPr>
          <w:rtl w:val="true"/>
        </w:rPr>
        <w:t xml:space="preserve">, </w:t>
      </w:r>
      <w:r>
        <w:rPr>
          <w:rtl w:val="true"/>
        </w:rPr>
        <w:t>בניגוד לדרישת הפסיקה</w:t>
      </w:r>
      <w:r>
        <w:rPr>
          <w:rtl w:val="true"/>
        </w:rPr>
        <w:t xml:space="preserve">. </w:t>
      </w:r>
      <w:r>
        <w:rPr>
          <w:rtl w:val="true"/>
        </w:rPr>
        <w:t>לשיטת המערער</w:t>
      </w:r>
      <w:r>
        <w:rPr>
          <w:rtl w:val="true"/>
        </w:rPr>
        <w:t xml:space="preserve">, </w:t>
      </w:r>
      <w:r>
        <w:rPr>
          <w:rtl w:val="true"/>
        </w:rPr>
        <w:t>משהתברר כי לא ניתן לסמוך על עדותו של אכרם</w:t>
      </w:r>
      <w:r>
        <w:rPr>
          <w:rtl w:val="true"/>
        </w:rPr>
        <w:t xml:space="preserve">, </w:t>
      </w:r>
      <w:r>
        <w:rPr>
          <w:rtl w:val="true"/>
        </w:rPr>
        <w:t>עליה התבססה תזת המשיבה</w:t>
      </w:r>
      <w:r>
        <w:rPr>
          <w:rtl w:val="true"/>
        </w:rPr>
        <w:t xml:space="preserve">, </w:t>
      </w:r>
      <w:r>
        <w:rPr>
          <w:rtl w:val="true"/>
        </w:rPr>
        <w:t>היה על בית משפט קמא לדחות את עדותו כולה</w:t>
      </w:r>
      <w:r>
        <w:rPr>
          <w:rtl w:val="true"/>
        </w:rPr>
        <w:t xml:space="preserve">, </w:t>
      </w:r>
      <w:r>
        <w:rPr>
          <w:rtl w:val="true"/>
        </w:rPr>
        <w:t>ולא לפצל את העדות למקטעים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שנית</w:t>
      </w:r>
      <w:r>
        <w:rPr>
          <w:rtl w:val="true"/>
        </w:rPr>
        <w:t xml:space="preserve">, </w:t>
      </w:r>
      <w:r>
        <w:rPr>
          <w:rtl w:val="true"/>
        </w:rPr>
        <w:t>טען המערער כי מחומר הראיות עולה שכל השלושה נכחו בזירה ונאבקו עם המנוח</w:t>
      </w:r>
      <w:r>
        <w:rPr>
          <w:rtl w:val="true"/>
        </w:rPr>
        <w:t xml:space="preserve">, </w:t>
      </w:r>
      <w:r>
        <w:rPr>
          <w:rtl w:val="true"/>
        </w:rPr>
        <w:t>כאשר לכל אחד מהשלושה הייתה אפשרות לדקור את המנוח</w:t>
      </w:r>
      <w:r>
        <w:rPr>
          <w:rtl w:val="true"/>
        </w:rPr>
        <w:t xml:space="preserve">, </w:t>
      </w:r>
      <w:r>
        <w:rPr>
          <w:rtl w:val="true"/>
        </w:rPr>
        <w:t>גישה למברג</w:t>
      </w:r>
      <w:r>
        <w:rPr>
          <w:rtl w:val="true"/>
        </w:rPr>
        <w:t xml:space="preserve">, </w:t>
      </w:r>
      <w:r>
        <w:rPr>
          <w:rtl w:val="true"/>
        </w:rPr>
        <w:t>מניע ויכולת לדקור</w:t>
      </w:r>
      <w:r>
        <w:rPr>
          <w:rtl w:val="true"/>
        </w:rPr>
        <w:t xml:space="preserve">. </w:t>
      </w:r>
      <w:r>
        <w:rPr>
          <w:rtl w:val="true"/>
        </w:rPr>
        <w:t>המערער לא חלק על כך שלקח חלק משמעותי באירוע</w:t>
      </w:r>
      <w:r>
        <w:rPr>
          <w:rtl w:val="true"/>
        </w:rPr>
        <w:t xml:space="preserve">, </w:t>
      </w:r>
      <w:r>
        <w:rPr>
          <w:rtl w:val="true"/>
        </w:rPr>
        <w:t>אך לטענתו</w:t>
      </w:r>
      <w:r>
        <w:rPr>
          <w:rtl w:val="true"/>
        </w:rPr>
        <w:t xml:space="preserve">, </w:t>
      </w:r>
      <w:r>
        <w:rPr>
          <w:rtl w:val="true"/>
        </w:rPr>
        <w:t>הקביעה לפיה הוא שדקר את המנוח אינה המסקנה האפשרית היחידה</w:t>
      </w:r>
      <w:r>
        <w:rPr>
          <w:rtl w:val="true"/>
        </w:rPr>
        <w:t xml:space="preserve">, </w:t>
      </w:r>
      <w:r>
        <w:rPr>
          <w:rtl w:val="true"/>
        </w:rPr>
        <w:t>אף אם היא הסבירה ביותר</w:t>
      </w:r>
      <w:r>
        <w:rPr>
          <w:rtl w:val="true"/>
        </w:rPr>
        <w:t xml:space="preserve">, </w:t>
      </w:r>
      <w:r>
        <w:rPr>
          <w:rtl w:val="true"/>
        </w:rPr>
        <w:t>ומשכך אשמתו לא הוכחה מעבר לכל ספק סביר</w:t>
      </w:r>
      <w:r>
        <w:rPr>
          <w:rtl w:val="true"/>
        </w:rPr>
        <w:t xml:space="preserve">. </w:t>
      </w:r>
      <w:r>
        <w:rPr>
          <w:rtl w:val="true"/>
        </w:rPr>
        <w:t>זאת</w:t>
      </w:r>
      <w:r>
        <w:rPr>
          <w:rtl w:val="true"/>
        </w:rPr>
        <w:t xml:space="preserve">, </w:t>
      </w:r>
      <w:r>
        <w:rPr>
          <w:rtl w:val="true"/>
        </w:rPr>
        <w:t>במיוחד לאור מסקנתו של בית משפט קמא לפיה אכרם והאדי תיאמו גרסאות ויצרו גרסה שקרית שמפלילה את המערער</w:t>
      </w:r>
      <w:r>
        <w:rPr>
          <w:rtl w:val="true"/>
        </w:rPr>
        <w:t>.</w:t>
      </w:r>
    </w:p>
    <w:p>
      <w:pPr>
        <w:pStyle w:val="Ruller41"/>
        <w:ind w:end="0"/>
        <w:jc w:val="both"/>
        <w:rPr/>
      </w:pPr>
      <w:r>
        <w:rPr>
          <w:rtl w:val="true"/>
        </w:rPr>
      </w:r>
    </w:p>
    <w:p>
      <w:pPr>
        <w:pStyle w:val="Ruller41"/>
        <w:ind w:end="0"/>
        <w:jc w:val="both"/>
        <w:rPr/>
      </w:pPr>
      <w:r>
        <w:rPr>
          <w:rtl w:val="true"/>
        </w:rPr>
        <w:tab/>
      </w:r>
      <w:r>
        <w:rPr>
          <w:rtl w:val="true"/>
        </w:rPr>
        <w:t>בדיון</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התמקד</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בתרחיש</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הדוקר</w:t>
      </w:r>
      <w:r>
        <w:rPr>
          <w:rtl w:val="true"/>
        </w:rPr>
        <w:t xml:space="preserve">. </w:t>
      </w:r>
      <w:r>
        <w:rPr>
          <w:rtl w:val="true"/>
        </w:rPr>
        <w:t>לטענתו</w:t>
      </w:r>
      <w:r>
        <w:rPr>
          <w:rtl w:val="true"/>
        </w:rPr>
        <w:t xml:space="preserve">, </w:t>
      </w:r>
      <w:r>
        <w:rPr>
          <w:rtl w:val="true"/>
        </w:rPr>
        <w:t>עסקינן</w:t>
      </w:r>
      <w:r>
        <w:rPr>
          <w:rFonts w:eastAsia="Arial TUR;Arial" w:cs="Arial TUR;Arial"/>
          <w:rtl w:val="true"/>
        </w:rPr>
        <w:t xml:space="preserve"> </w:t>
      </w:r>
      <w:r>
        <w:rPr>
          <w:rtl w:val="true"/>
        </w:rPr>
        <w:t>במאבק</w:t>
      </w:r>
      <w:r>
        <w:rPr>
          <w:rFonts w:eastAsia="Arial TUR;Arial" w:cs="Arial TUR;Arial"/>
          <w:rtl w:val="true"/>
        </w:rPr>
        <w:t xml:space="preserve"> </w:t>
      </w:r>
      <w:r>
        <w:rPr>
          <w:rtl w:val="true"/>
        </w:rPr>
        <w:t>דינמי</w:t>
      </w:r>
      <w:r>
        <w:rPr>
          <w:rtl w:val="true"/>
        </w:rPr>
        <w:t xml:space="preserve">, </w:t>
      </w:r>
      <w:r>
        <w:rPr>
          <w:rtl w:val="true"/>
        </w:rPr>
        <w:t>שהתרחש</w:t>
      </w:r>
      <w:r>
        <w:rPr>
          <w:rFonts w:eastAsia="Arial TUR;Arial" w:cs="Arial TUR;Arial"/>
          <w:rtl w:val="true"/>
        </w:rPr>
        <w:t xml:space="preserve"> </w:t>
      </w:r>
      <w:r>
        <w:rPr>
          <w:rtl w:val="true"/>
        </w:rPr>
        <w:t>בחושך</w:t>
      </w:r>
      <w:r>
        <w:rPr>
          <w:rtl w:val="true"/>
        </w:rPr>
        <w:t xml:space="preserve">, </w:t>
      </w:r>
      <w:r>
        <w:rPr>
          <w:rtl w:val="true"/>
        </w:rPr>
        <w:t>במהלכו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לדקור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יבחין</w:t>
      </w:r>
      <w:r>
        <w:rPr>
          <w:rFonts w:eastAsia="Arial TUR;Arial" w:cs="Arial TUR;Arial"/>
          <w:rtl w:val="true"/>
        </w:rPr>
        <w:t xml:space="preserve"> </w:t>
      </w:r>
      <w:r>
        <w:rPr>
          <w:rtl w:val="true"/>
        </w:rPr>
        <w:t>בכך</w:t>
      </w:r>
      <w:r>
        <w:rPr>
          <w:rtl w:val="true"/>
        </w:rPr>
        <w:t xml:space="preserve">. </w:t>
      </w:r>
      <w:r>
        <w:rPr>
          <w:rtl w:val="true"/>
        </w:rPr>
        <w:t>הוא</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המברגים</w:t>
      </w:r>
      <w:r>
        <w:rPr>
          <w:rtl w:val="true"/>
        </w:rPr>
        <w:t xml:space="preserve">, </w:t>
      </w:r>
      <w:r>
        <w:rPr>
          <w:rtl w:val="true"/>
        </w:rPr>
        <w:t>המוסכמת</w:t>
      </w:r>
      <w:r>
        <w:rPr>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לפסול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באמצעותו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הדקירה</w:t>
      </w:r>
      <w:r>
        <w:rPr>
          <w:rtl w:val="true"/>
        </w:rPr>
        <w:t xml:space="preserve">. </w:t>
      </w:r>
      <w:r>
        <w:rPr>
          <w:rtl w:val="true"/>
        </w:rPr>
        <w:t>לשיטתו</w:t>
      </w:r>
      <w:r>
        <w:rPr>
          <w:rtl w:val="true"/>
        </w:rPr>
        <w:t xml:space="preserve">, </w:t>
      </w:r>
      <w:r>
        <w:rPr>
          <w:rtl w:val="true"/>
        </w:rPr>
        <w:t>מדובר</w:t>
      </w:r>
      <w:r>
        <w:rPr>
          <w:rFonts w:eastAsia="Arial TUR;Arial" w:cs="Arial TUR;Arial"/>
          <w:rtl w:val="true"/>
        </w:rPr>
        <w:t xml:space="preserve"> </w:t>
      </w:r>
      <w:r>
        <w:rPr>
          <w:rtl w:val="true"/>
        </w:rPr>
        <w:t>בתרחיש</w:t>
      </w:r>
      <w:r>
        <w:rPr>
          <w:rFonts w:eastAsia="Arial TUR;Arial" w:cs="Arial TUR;Arial"/>
          <w:rtl w:val="true"/>
        </w:rPr>
        <w:t xml:space="preserve"> </w:t>
      </w:r>
      <w:r>
        <w:rPr>
          <w:rtl w:val="true"/>
        </w:rPr>
        <w:t>הגיוני</w:t>
      </w:r>
      <w:r>
        <w:rPr>
          <w:rFonts w:eastAsia="Arial TUR;Arial" w:cs="Arial TUR;Arial"/>
          <w:rtl w:val="true"/>
        </w:rPr>
        <w:t xml:space="preserve"> </w:t>
      </w:r>
      <w:r>
        <w:rPr>
          <w:rtl w:val="true"/>
        </w:rPr>
        <w:t>וסביר</w:t>
      </w:r>
      <w:r>
        <w:rPr>
          <w:rFonts w:eastAsia="Arial TUR;Arial" w:cs="Arial TUR;Arial"/>
          <w:rtl w:val="true"/>
        </w:rPr>
        <w:t xml:space="preserve"> </w:t>
      </w:r>
      <w:r>
        <w:rPr>
          <w:rtl w:val="true"/>
        </w:rPr>
        <w:t>שמעורר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בהרשעת</w:t>
      </w:r>
      <w:r>
        <w:rPr>
          <w:rFonts w:eastAsia="Arial TUR;Arial" w:cs="Arial TUR;Arial"/>
          <w:rtl w:val="true"/>
        </w:rPr>
        <w:t xml:space="preserve"> </w:t>
      </w:r>
      <w:r>
        <w:rPr>
          <w:rtl w:val="true"/>
        </w:rPr>
        <w:t>המערער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לחלופין</w:t>
      </w:r>
      <w:r>
        <w:rPr>
          <w:rtl w:val="true"/>
        </w:rPr>
        <w:t xml:space="preserve">, </w:t>
      </w:r>
      <w:r>
        <w:rPr>
          <w:rtl w:val="true"/>
        </w:rPr>
        <w:t xml:space="preserve">טען המערער כי הרשעתו לפי </w:t>
      </w:r>
      <w:hyperlink r:id="rId38">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לא יכולה לעמוד מכיוון שהיחס החפצי של המערער למות המנוח היה של </w:t>
      </w:r>
      <w:r>
        <w:rPr>
          <w:rFonts w:ascii="Century" w:hAnsi="Century" w:cs="Miriam"/>
          <w:b/>
          <w:b/>
          <w:spacing w:val="0"/>
          <w:sz w:val="22"/>
          <w:sz w:val="22"/>
          <w:szCs w:val="24"/>
          <w:rtl w:val="true"/>
        </w:rPr>
        <w:t>קלות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tl w:val="true"/>
        </w:rPr>
        <w:t xml:space="preserve"> ולא של אדישות</w:t>
      </w:r>
      <w:r>
        <w:rPr>
          <w:rtl w:val="true"/>
        </w:rPr>
        <w:t xml:space="preserve">. </w:t>
      </w:r>
      <w:r>
        <w:rPr>
          <w:rtl w:val="true"/>
        </w:rPr>
        <w:t>לשיטתו</w:t>
      </w:r>
      <w:r>
        <w:rPr>
          <w:rtl w:val="true"/>
        </w:rPr>
        <w:t xml:space="preserve">, </w:t>
      </w:r>
      <w:r>
        <w:rPr>
          <w:rtl w:val="true"/>
        </w:rPr>
        <w:t>בהסתמך על פסק דינו של בית משפט זה ב</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6026/11</w:t>
        </w:r>
      </w:hyperlink>
      <w:r>
        <w:rPr>
          <w:rtl w:val="true"/>
        </w:rPr>
        <w:t xml:space="preserve"> ‏</w:t>
      </w:r>
      <w:r>
        <w:rPr>
          <w:rFonts w:ascii="Century" w:hAnsi="Century" w:cs="Miriam"/>
          <w:b/>
          <w:b/>
          <w:spacing w:val="0"/>
          <w:sz w:val="22"/>
          <w:sz w:val="22"/>
          <w:szCs w:val="24"/>
          <w:rtl w:val="true"/>
        </w:rPr>
        <w:t>טמטאווי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b/>
          <w:b/>
          <w:spacing w:val="0"/>
          <w:sz w:val="22"/>
          <w:sz w:val="22"/>
          <w:szCs w:val="24"/>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Fonts w:cs="Times New Roman" w:ascii="Times New Roman" w:hAnsi="Times New Roman"/>
          <w:rtl w:val="true"/>
        </w:rPr>
        <w:t>‏</w:t>
      </w:r>
      <w:r>
        <w:rPr/>
        <w:t>24.8.2015</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טמטאווי</w:t>
      </w:r>
      <w:r>
        <w:rPr>
          <w:rFonts w:cs="Century" w:ascii="Century" w:hAnsi="Century"/>
          <w:sz w:val="22"/>
          <w:rtl w:val="true"/>
        </w:rPr>
        <w:t>)</w:t>
      </w:r>
      <w:r>
        <w:rPr>
          <w:rtl w:val="true"/>
        </w:rPr>
        <w:t xml:space="preserve">, </w:t>
      </w:r>
      <w:r>
        <w:rPr>
          <w:rtl w:val="true"/>
        </w:rPr>
        <w:t xml:space="preserve">אין להרשיע בעבירת הרצח לפי </w:t>
      </w:r>
      <w:hyperlink r:id="rId41">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את מי שלא התקיים בו יחס חפצי של כוונה או אדישות</w:t>
      </w:r>
      <w:r>
        <w:rPr>
          <w:rtl w:val="true"/>
        </w:rPr>
        <w:t xml:space="preserve">. </w:t>
      </w:r>
      <w:r>
        <w:rPr>
          <w:rtl w:val="true"/>
        </w:rPr>
        <w:t>מבחינה עובדתית</w:t>
      </w:r>
      <w:r>
        <w:rPr>
          <w:rtl w:val="true"/>
        </w:rPr>
        <w:t xml:space="preserve">, </w:t>
      </w:r>
      <w:r>
        <w:rPr>
          <w:rtl w:val="true"/>
        </w:rPr>
        <w:t>נטען כי שגה בית המשפט קמא שקבע כי המערער היה אדיש לגרימת מותו של המנוח</w:t>
      </w:r>
      <w:r>
        <w:rPr>
          <w:rtl w:val="true"/>
        </w:rPr>
        <w:t xml:space="preserve">, </w:t>
      </w:r>
      <w:r>
        <w:rPr>
          <w:rtl w:val="true"/>
        </w:rPr>
        <w:t xml:space="preserve">שכן מדובר במקרה </w:t>
      </w:r>
      <w:r>
        <w:rPr>
          <w:rtl w:val="true"/>
        </w:rPr>
        <w:t>"</w:t>
      </w:r>
      <w:r>
        <w:rPr>
          <w:rtl w:val="true"/>
        </w:rPr>
        <w:t>קלאסי ומובהק</w:t>
      </w:r>
      <w:r>
        <w:rPr>
          <w:rtl w:val="true"/>
        </w:rPr>
        <w:t xml:space="preserve">" </w:t>
      </w:r>
      <w:r>
        <w:rPr>
          <w:rtl w:val="true"/>
        </w:rPr>
        <w:t>של קלות דעת</w:t>
      </w:r>
      <w:r>
        <w:rPr>
          <w:rtl w:val="true"/>
        </w:rPr>
        <w:t xml:space="preserve">: </w:t>
      </w:r>
      <w:r>
        <w:rPr>
          <w:rtl w:val="true"/>
        </w:rPr>
        <w:t>המערער לא רצה בתוצאה וכל רצונו היה להימלט מהמקום</w:t>
      </w:r>
      <w:r>
        <w:rPr>
          <w:rtl w:val="true"/>
        </w:rPr>
        <w:t xml:space="preserve">. </w:t>
      </w:r>
      <w:r>
        <w:rPr>
          <w:rtl w:val="true"/>
        </w:rPr>
        <w:t>משכך</w:t>
      </w:r>
      <w:r>
        <w:rPr>
          <w:rtl w:val="true"/>
        </w:rPr>
        <w:t xml:space="preserve">, </w:t>
      </w:r>
      <w:r>
        <w:rPr>
          <w:rtl w:val="true"/>
        </w:rPr>
        <w:t xml:space="preserve">נטען כי לכל היותר יש להרשיע את המערער בעבירת הריגה לפי </w:t>
      </w:r>
      <w:hyperlink r:id="rId42">
        <w:r>
          <w:rPr>
            <w:rStyle w:val="Hyperlink"/>
            <w:color w:val="0000FF"/>
            <w:u w:val="single"/>
            <w:rtl w:val="true"/>
          </w:rPr>
          <w:t>סעיף</w:t>
        </w:r>
        <w:r>
          <w:rPr>
            <w:rStyle w:val="Hyperlink"/>
            <w:color w:val="0000FF"/>
            <w:u w:val="single"/>
            <w:rtl w:val="true"/>
          </w:rPr>
          <w:t xml:space="preserve"> </w:t>
        </w:r>
        <w:r>
          <w:rPr>
            <w:rStyle w:val="Hyperlink"/>
            <w:color w:val="0000FF"/>
            <w:u w:val="single"/>
          </w:rPr>
          <w:t>298</w:t>
        </w:r>
      </w:hyperlink>
      <w:r>
        <w:rPr>
          <w:rtl w:val="true"/>
        </w:rPr>
        <w:t xml:space="preserve"> </w:t>
      </w:r>
      <w:r>
        <w:rPr>
          <w:rtl w:val="true"/>
        </w:rPr>
        <w:t>ל</w:t>
      </w:r>
      <w:hyperlink r:id="rId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באשר לגזר הדין</w:t>
      </w:r>
      <w:r>
        <w:rPr>
          <w:rFonts w:cs="Century" w:ascii="Century" w:hAnsi="Century"/>
          <w:sz w:val="22"/>
          <w:rtl w:val="true"/>
        </w:rPr>
        <w:t xml:space="preserve">, </w:t>
      </w:r>
      <w:r>
        <w:rPr>
          <w:rFonts w:ascii="Century" w:hAnsi="Century" w:cs="Century"/>
          <w:sz w:val="22"/>
          <w:sz w:val="22"/>
          <w:rtl w:val="true"/>
        </w:rPr>
        <w:t xml:space="preserve">טען המערער כי סכום הפיצוי בו חויב חורג מהסכום </w:t>
      </w:r>
      <w:r>
        <w:rPr>
          <w:rtl w:val="true"/>
        </w:rPr>
        <w:t xml:space="preserve">המקסימאלי </w:t>
      </w:r>
      <w:r>
        <w:rPr>
          <w:rFonts w:ascii="Century" w:hAnsi="Century" w:cs="Century"/>
          <w:sz w:val="22"/>
          <w:sz w:val="22"/>
          <w:rtl w:val="true"/>
        </w:rPr>
        <w:t>על פי חוק</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לאחר מתן גזר הדין קבע בית משפט זה</w:t>
      </w:r>
      <w:r>
        <w:rPr>
          <w:rtl w:val="true"/>
        </w:rPr>
        <w:t xml:space="preserve"> כי ניתן לחלק את הפיצוי בין מספר נפגעי עבירה אך הסכום הכולל לא יחרוג מסכום הפיצוי המקסימאלי הקבוע בחוק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1076/15</w:t>
        </w:r>
      </w:hyperlink>
      <w:r>
        <w:rPr>
          <w:rtl w:val="true"/>
        </w:rPr>
        <w:t xml:space="preserve"> </w:t>
      </w:r>
      <w:r>
        <w:rPr>
          <w:rFonts w:ascii="Century" w:hAnsi="Century" w:cs="Miriam"/>
          <w:b/>
          <w:b/>
          <w:spacing w:val="0"/>
          <w:sz w:val="22"/>
          <w:sz w:val="22"/>
          <w:szCs w:val="24"/>
          <w:rtl w:val="true"/>
        </w:rPr>
        <w:t>טווק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7.6.2016</w:t>
      </w:r>
      <w:r>
        <w:rPr>
          <w:rtl w:val="true"/>
        </w:rPr>
        <w:t xml:space="preserve">); </w:t>
      </w:r>
      <w:r>
        <w:rPr>
          <w:rtl w:val="true"/>
        </w:rPr>
        <w:t xml:space="preserve">והדיון הנוסף </w:t>
      </w:r>
      <w:hyperlink r:id="rId45">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5625/16</w:t>
        </w:r>
      </w:hyperlink>
      <w:r>
        <w:rPr>
          <w:rtl w:val="true"/>
        </w:rPr>
        <w:t xml:space="preserve"> </w:t>
      </w:r>
      <w:r>
        <w:rPr>
          <w:rFonts w:ascii="Century" w:hAnsi="Century" w:cs="Miriam"/>
          <w:b/>
          <w:b/>
          <w:spacing w:val="0"/>
          <w:sz w:val="22"/>
          <w:sz w:val="22"/>
          <w:szCs w:val="24"/>
          <w:rtl w:val="true"/>
        </w:rPr>
        <w:t>טווק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13.9.2017</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טווק</w:t>
      </w:r>
      <w:r>
        <w:rPr>
          <w:rFonts w:cs="Century" w:ascii="Century" w:hAnsi="Century"/>
          <w:sz w:val="22"/>
          <w:rtl w:val="true"/>
        </w:rPr>
        <w:t>))</w:t>
      </w:r>
      <w:r>
        <w:rPr>
          <w:rtl w:val="true"/>
        </w:rPr>
        <w:t>.</w:t>
      </w:r>
      <w:r>
        <w:rPr>
          <w:rFonts w:cs="Century" w:ascii="Century" w:hAnsi="Century"/>
          <w:sz w:val="22"/>
          <w:rtl w:val="true"/>
        </w:rPr>
        <w:t xml:space="preserve"> </w:t>
      </w:r>
      <w:r>
        <w:rPr>
          <w:rFonts w:ascii="Century" w:hAnsi="Century" w:cs="Century"/>
          <w:sz w:val="22"/>
          <w:sz w:val="22"/>
          <w:rtl w:val="true"/>
        </w:rPr>
        <w:t>משכך</w:t>
      </w:r>
      <w:r>
        <w:rPr>
          <w:rFonts w:cs="Century" w:ascii="Century" w:hAnsi="Century"/>
          <w:sz w:val="22"/>
          <w:rtl w:val="true"/>
        </w:rPr>
        <w:t xml:space="preserve">, </w:t>
      </w:r>
      <w:r>
        <w:rPr>
          <w:rtl w:val="true"/>
        </w:rPr>
        <w:t>עתר המערער להעמיד את סכום הפיצוי בתוך הגבולות שנקבעו בפסיקה</w:t>
      </w:r>
      <w:r>
        <w:rPr>
          <w:rtl w:val="true"/>
        </w:rPr>
        <w:t xml:space="preserve">, </w:t>
      </w:r>
      <w:r>
        <w:rPr>
          <w:rtl w:val="true"/>
        </w:rPr>
        <w:t xml:space="preserve">תוך התחשבות בכך שהאדי חויב בתשלום פיצוי בסך </w:t>
      </w:r>
      <w:r>
        <w:rPr/>
        <w:t>200,000</w:t>
      </w:r>
      <w:r>
        <w:rPr>
          <w:rtl w:val="true"/>
        </w:rPr>
        <w:t xml:space="preserve"> </w:t>
      </w:r>
      <w:r>
        <w:rPr>
          <w:rtl w:val="true"/>
        </w:rPr>
        <w:t>ש</w:t>
      </w:r>
      <w:r>
        <w:rPr>
          <w:rtl w:val="true"/>
        </w:rPr>
        <w:t>"</w:t>
      </w:r>
      <w:r>
        <w:rPr>
          <w:rtl w:val="true"/>
        </w:rPr>
        <w:t>ח</w:t>
      </w:r>
      <w:r>
        <w:rPr>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המשיבה טענה כי הכרעת הדין יסודית ומנומקת</w:t>
      </w:r>
      <w:r>
        <w:rPr>
          <w:rtl w:val="true"/>
        </w:rPr>
        <w:t xml:space="preserve">, </w:t>
      </w:r>
      <w:r>
        <w:rPr>
          <w:rtl w:val="true"/>
        </w:rPr>
        <w:t>וכי הראיות שהובאו מבססות היטב את המסקנה כי המערער הוא שדקר את המנוח</w:t>
      </w:r>
      <w:r>
        <w:rPr>
          <w:rtl w:val="true"/>
        </w:rPr>
        <w:t xml:space="preserve">. </w:t>
      </w:r>
      <w:r>
        <w:rPr>
          <w:rtl w:val="true"/>
        </w:rPr>
        <w:t>לשיטתה</w:t>
      </w:r>
      <w:r>
        <w:rPr>
          <w:rtl w:val="true"/>
        </w:rPr>
        <w:t xml:space="preserve">, </w:t>
      </w:r>
      <w:r>
        <w:rPr>
          <w:rtl w:val="true"/>
        </w:rPr>
        <w:t>משדחה בית המשפט קמא את התרחישים החלופיים שהציג המערער</w:t>
      </w:r>
      <w:r>
        <w:rPr>
          <w:rtl w:val="true"/>
        </w:rPr>
        <w:t xml:space="preserve">, </w:t>
      </w:r>
      <w:r>
        <w:rPr>
          <w:rtl w:val="true"/>
        </w:rPr>
        <w:t>לפיהם האדי או אכרם דקרו את המנוח וגרמו למותו</w:t>
      </w:r>
      <w:r>
        <w:rPr>
          <w:rtl w:val="true"/>
        </w:rPr>
        <w:t xml:space="preserve">, </w:t>
      </w:r>
      <w:r>
        <w:rPr>
          <w:rtl w:val="true"/>
        </w:rPr>
        <w:t>בהסתמך על ממצאי עובדה ומהימנות</w:t>
      </w:r>
      <w:r>
        <w:rPr>
          <w:rtl w:val="true"/>
        </w:rPr>
        <w:t xml:space="preserve">, </w:t>
      </w:r>
      <w:r>
        <w:rPr>
          <w:rtl w:val="true"/>
        </w:rPr>
        <w:t>אין מקום להתערב בהכרעת הדין</w:t>
      </w:r>
      <w:r>
        <w:rPr>
          <w:rtl w:val="true"/>
        </w:rPr>
        <w:t xml:space="preserve">. </w:t>
      </w:r>
      <w:r>
        <w:rPr>
          <w:rtl w:val="true"/>
        </w:rPr>
        <w:t>המשיבה טענה כי כל תרחיש אלטרנטיבי לפיו אכרם או האדי ביצעו את הדקירה הוא בלתי סביר ואינו יכול להתקבל</w:t>
      </w:r>
      <w:r>
        <w:rPr>
          <w:rtl w:val="true"/>
        </w:rPr>
        <w:t xml:space="preserve">, </w:t>
      </w:r>
      <w:r>
        <w:rPr>
          <w:rtl w:val="true"/>
        </w:rPr>
        <w:t>לנוכח הראיות שמצביעות על כך שהדקירה נעשתה סנטימטרים בודדים מפניו של המערער</w:t>
      </w:r>
      <w:r>
        <w:rPr>
          <w:rtl w:val="true"/>
        </w:rPr>
        <w:t xml:space="preserve">, </w:t>
      </w:r>
      <w:r>
        <w:rPr>
          <w:rtl w:val="true"/>
        </w:rPr>
        <w:t>באופן שמחייב לומר כי אם המערער לא דקר את המנוח</w:t>
      </w:r>
      <w:r>
        <w:rPr>
          <w:rtl w:val="true"/>
        </w:rPr>
        <w:t xml:space="preserve">, </w:t>
      </w:r>
      <w:r>
        <w:rPr>
          <w:rtl w:val="true"/>
        </w:rPr>
        <w:t>אזי הוא לבטח ראה מי כן</w:t>
      </w:r>
      <w:r>
        <w:rPr>
          <w:rtl w:val="true"/>
        </w:rPr>
        <w:t xml:space="preserve">. </w:t>
      </w:r>
      <w:r>
        <w:rPr>
          <w:rtl w:val="true"/>
        </w:rPr>
        <w:t>לטענתה</w:t>
      </w:r>
      <w:r>
        <w:rPr>
          <w:rtl w:val="true"/>
        </w:rPr>
        <w:t xml:space="preserve">, </w:t>
      </w:r>
      <w:r>
        <w:rPr>
          <w:rtl w:val="true"/>
        </w:rPr>
        <w:t>מכיוון שהמערער שלל אפשרות כזו גם לאחר שהופלל בביצוע הרצח על ידי אכרם והאדי</w:t>
      </w:r>
      <w:r>
        <w:rPr>
          <w:rtl w:val="true"/>
        </w:rPr>
        <w:t xml:space="preserve">, </w:t>
      </w:r>
      <w:r>
        <w:rPr>
          <w:rtl w:val="true"/>
        </w:rPr>
        <w:t>המסקנה האפשרית היחידה היא שהמערער הוא שביצע את הרצח</w:t>
      </w:r>
      <w:r>
        <w:rPr>
          <w:rtl w:val="true"/>
        </w:rPr>
        <w:t xml:space="preserve">. </w:t>
      </w:r>
      <w:r>
        <w:rPr>
          <w:rtl w:val="true"/>
        </w:rPr>
        <w:t>המשיבה הוסיפה כי עיון בתמליל השיחה ב</w:t>
      </w:r>
      <w:r>
        <w:rPr>
          <w:rtl w:val="true"/>
        </w:rPr>
        <w:t>"</w:t>
      </w:r>
      <w:r>
        <w:rPr>
          <w:rtl w:val="true"/>
        </w:rPr>
        <w:t>תרגיל השריפה</w:t>
      </w:r>
      <w:r>
        <w:rPr>
          <w:rtl w:val="true"/>
        </w:rPr>
        <w:t xml:space="preserve">" </w:t>
      </w:r>
      <w:r>
        <w:rPr>
          <w:rtl w:val="true"/>
        </w:rPr>
        <w:t>מלמד כי הנחת המוצא של אכרם והאדי היא שהמערער הוא שדקר את המנוח</w:t>
      </w:r>
      <w:r>
        <w:rPr>
          <w:rtl w:val="true"/>
        </w:rPr>
        <w:t xml:space="preserve">, </w:t>
      </w:r>
      <w:r>
        <w:rPr>
          <w:rtl w:val="true"/>
        </w:rPr>
        <w:t>מה שמחזק את מארג הראיות נגד המערער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המשיבה טענה עוד כי קביעתו של בית המשפט קמא בדבר תיאום הגרסאות בין האדי לאכרם ב</w:t>
      </w:r>
      <w:r>
        <w:rPr>
          <w:rtl w:val="true"/>
        </w:rPr>
        <w:t>"</w:t>
      </w:r>
      <w:r>
        <w:rPr>
          <w:rtl w:val="true"/>
        </w:rPr>
        <w:t>תרגיל השריפה</w:t>
      </w:r>
      <w:r>
        <w:rPr>
          <w:rtl w:val="true"/>
        </w:rPr>
        <w:t xml:space="preserve">" </w:t>
      </w:r>
      <w:r>
        <w:rPr>
          <w:rtl w:val="true"/>
        </w:rPr>
        <w:t>אינה מועילה למערער</w:t>
      </w:r>
      <w:r>
        <w:rPr>
          <w:rtl w:val="true"/>
        </w:rPr>
        <w:t xml:space="preserve">. </w:t>
      </w:r>
      <w:r>
        <w:rPr>
          <w:rtl w:val="true"/>
        </w:rPr>
        <w:t>ראשית</w:t>
      </w:r>
      <w:r>
        <w:rPr>
          <w:rtl w:val="true"/>
        </w:rPr>
        <w:t xml:space="preserve">, </w:t>
      </w:r>
      <w:r>
        <w:rPr>
          <w:rtl w:val="true"/>
        </w:rPr>
        <w:t>מכיוון שהשיחה מלמדת על רצונם הטבעי של השניים כי המערער</w:t>
      </w:r>
      <w:r>
        <w:rPr>
          <w:rtl w:val="true"/>
        </w:rPr>
        <w:t xml:space="preserve">, </w:t>
      </w:r>
      <w:r>
        <w:rPr>
          <w:rtl w:val="true"/>
        </w:rPr>
        <w:t>שגרם למותו של המנוח</w:t>
      </w:r>
      <w:r>
        <w:rPr>
          <w:rtl w:val="true"/>
        </w:rPr>
        <w:t xml:space="preserve">, </w:t>
      </w:r>
      <w:r>
        <w:rPr>
          <w:rtl w:val="true"/>
        </w:rPr>
        <w:t>יקח אחריות על מעשיו</w:t>
      </w:r>
      <w:r>
        <w:rPr>
          <w:rtl w:val="true"/>
        </w:rPr>
        <w:t xml:space="preserve">. </w:t>
      </w:r>
      <w:r>
        <w:rPr>
          <w:rtl w:val="true"/>
        </w:rPr>
        <w:t>שנית</w:t>
      </w:r>
      <w:r>
        <w:rPr>
          <w:rtl w:val="true"/>
        </w:rPr>
        <w:t xml:space="preserve">, </w:t>
      </w:r>
      <w:r>
        <w:rPr>
          <w:rtl w:val="true"/>
        </w:rPr>
        <w:t>מאחר שבית המשפט קמא ערך הבחנה ראויה בין הקטעים בהם השיח בין השניים אותנטי וחופשי לבין הקטעים בהם עולה חשד לתיאום הגרסה</w:t>
      </w:r>
      <w:r>
        <w:rPr>
          <w:rtl w:val="true"/>
        </w:rPr>
        <w:t xml:space="preserve">. </w:t>
      </w:r>
      <w:r>
        <w:rPr>
          <w:rtl w:val="true"/>
        </w:rPr>
        <w:t>ושלישית</w:t>
      </w:r>
      <w:r>
        <w:rPr>
          <w:rtl w:val="true"/>
        </w:rPr>
        <w:t xml:space="preserve">, </w:t>
      </w:r>
      <w:r>
        <w:rPr>
          <w:rtl w:val="true"/>
        </w:rPr>
        <w:t xml:space="preserve">מכיוון שלוּ רצו השניים להפליל את המערער היה ניתן לצפות כי יעשו כן באופן ישיר וידבקו בגרסה פשוטה לפיה ראו את המערער דוקר את המנוח </w:t>
      </w:r>
      <w:r>
        <w:rPr>
          <w:rtl w:val="true"/>
        </w:rPr>
        <w:t>–</w:t>
      </w:r>
      <w:r>
        <w:rPr>
          <w:rtl w:val="true"/>
        </w:rPr>
        <w:t xml:space="preserve"> אך לא כך היה</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 xml:space="preserve">אשר לשימוש בכלל </w:t>
      </w:r>
      <w:r>
        <w:rPr>
          <w:rtl w:val="true"/>
        </w:rPr>
        <w:t>"</w:t>
      </w:r>
      <w:r>
        <w:rPr>
          <w:rtl w:val="true"/>
        </w:rPr>
        <w:t>פלגינן דיבורא</w:t>
      </w:r>
      <w:r>
        <w:rPr>
          <w:rtl w:val="true"/>
        </w:rPr>
        <w:t xml:space="preserve">", </w:t>
      </w:r>
      <w:r>
        <w:rPr>
          <w:rtl w:val="true"/>
        </w:rPr>
        <w:t>טענה המשיבה כי לא נפל פגם בפועלו של בית המשפט קמא וכי על פי ההלכה סתירות בעדות אינן מחייבות את המסקנה כי עיקרה אינו אמין</w:t>
      </w:r>
      <w:r>
        <w:rPr>
          <w:rtl w:val="true"/>
        </w:rPr>
        <w:t xml:space="preserve">, </w:t>
      </w:r>
      <w:r>
        <w:rPr>
          <w:rtl w:val="true"/>
        </w:rPr>
        <w:t>בפרט כאשר עסקינן בשותפים לדבר עבירה</w:t>
      </w:r>
      <w:r>
        <w:rPr>
          <w:rtl w:val="true"/>
        </w:rPr>
        <w:t xml:space="preserve">. </w:t>
      </w:r>
      <w:r>
        <w:rPr>
          <w:rtl w:val="true"/>
        </w:rPr>
        <w:t>לשיטתה</w:t>
      </w:r>
      <w:r>
        <w:rPr>
          <w:rtl w:val="true"/>
        </w:rPr>
        <w:t xml:space="preserve">, </w:t>
      </w:r>
      <w:r>
        <w:rPr>
          <w:rtl w:val="true"/>
        </w:rPr>
        <w:t>ניכר כי בית משפט קמא היה ער לקשיים העולים מן העדויות</w:t>
      </w:r>
      <w:r>
        <w:rPr>
          <w:rtl w:val="true"/>
        </w:rPr>
        <w:t xml:space="preserve">, </w:t>
      </w:r>
      <w:r>
        <w:rPr>
          <w:rtl w:val="true"/>
        </w:rPr>
        <w:t>ומשכך אף דחה את גרסתו של אכרם במספר נקודות מהותיות</w:t>
      </w:r>
      <w:r>
        <w:rPr>
          <w:rtl w:val="true"/>
        </w:rPr>
        <w:t xml:space="preserve">, </w:t>
      </w:r>
      <w:r>
        <w:rPr>
          <w:rtl w:val="true"/>
        </w:rPr>
        <w:t>תוך ציון כי ההרשעה אינה מתבססת על עדותו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אשר ליסוד הנפשי הנדרש להרשעה בעבירת רצח לפי </w:t>
      </w:r>
      <w:hyperlink r:id="rId46">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טענה המשיבה כי הגישה המצרה בעניין </w:t>
      </w:r>
      <w:r>
        <w:rPr>
          <w:rFonts w:ascii="Century" w:hAnsi="Century" w:cs="Miriam"/>
          <w:b/>
          <w:b/>
          <w:spacing w:val="0"/>
          <w:sz w:val="22"/>
          <w:sz w:val="22"/>
          <w:szCs w:val="24"/>
          <w:rtl w:val="true"/>
        </w:rPr>
        <w:t>טמטאווי</w:t>
      </w:r>
      <w:r>
        <w:rPr>
          <w:rFonts w:cs="Century" w:ascii="Century" w:hAnsi="Century"/>
          <w:sz w:val="22"/>
          <w:rtl w:val="true"/>
        </w:rPr>
        <w:t xml:space="preserve">, </w:t>
      </w:r>
      <w:r>
        <w:rPr>
          <w:rFonts w:ascii="Century" w:hAnsi="Century" w:cs="Century"/>
          <w:sz w:val="22"/>
          <w:sz w:val="22"/>
          <w:rtl w:val="true"/>
        </w:rPr>
        <w:t>הוצעה בדעת יחיד תוך הותרת העניין בצריך עיון ו</w:t>
      </w:r>
      <w:r>
        <w:rPr>
          <w:rtl w:val="true"/>
        </w:rPr>
        <w:t xml:space="preserve">לא שינתה את ההלכה לפיה די </w:t>
      </w:r>
      <w:r>
        <w:rPr>
          <w:rFonts w:ascii="Century" w:hAnsi="Century" w:cs="Century"/>
          <w:sz w:val="22"/>
          <w:sz w:val="22"/>
          <w:rtl w:val="true"/>
        </w:rPr>
        <w:t>בפזיזות</w:t>
      </w:r>
      <w:r>
        <w:rPr>
          <w:rtl w:val="true"/>
        </w:rPr>
        <w:t xml:space="preserve"> ביחס להתרחשות התוצאה לשם הרשעה</w:t>
      </w:r>
      <w:r>
        <w:rPr>
          <w:rtl w:val="true"/>
        </w:rPr>
        <w:t xml:space="preserve">. </w:t>
      </w:r>
      <w:r>
        <w:rPr>
          <w:rtl w:val="true"/>
        </w:rPr>
        <w:t>מכל מקום</w:t>
      </w:r>
      <w:r>
        <w:rPr>
          <w:rtl w:val="true"/>
        </w:rPr>
        <w:t xml:space="preserve">, </w:t>
      </w:r>
      <w:r>
        <w:rPr>
          <w:rtl w:val="true"/>
        </w:rPr>
        <w:t>טענה המשיבה כי אין צורך להידרש לסוגיה זו</w:t>
      </w:r>
      <w:r>
        <w:rPr>
          <w:rtl w:val="true"/>
        </w:rPr>
        <w:t xml:space="preserve">, </w:t>
      </w:r>
      <w:r>
        <w:rPr>
          <w:rtl w:val="true"/>
        </w:rPr>
        <w:t>מאחר שנקבע כי המערער היה אדיש לאפשרות מותו של המנוח</w:t>
      </w:r>
      <w:r>
        <w:rPr>
          <w:rtl w:val="true"/>
        </w:rPr>
        <w:t xml:space="preserve">, </w:t>
      </w:r>
      <w:r>
        <w:rPr>
          <w:rtl w:val="true"/>
        </w:rPr>
        <w:t>קביעה שבוססה כדבעי בחומר הראיות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אשר לפיצוי בו חויב המערער</w:t>
      </w:r>
      <w:r>
        <w:rPr>
          <w:rtl w:val="true"/>
        </w:rPr>
        <w:t xml:space="preserve">, </w:t>
      </w:r>
      <w:r>
        <w:rPr>
          <w:rtl w:val="true"/>
        </w:rPr>
        <w:t xml:space="preserve">הסכימה המשיבה כי לאור קביעתו של בית משפט זה בעניין </w:t>
      </w:r>
      <w:r>
        <w:rPr>
          <w:rFonts w:ascii="Century" w:hAnsi="Century" w:cs="Miriam"/>
          <w:b/>
          <w:b/>
          <w:spacing w:val="0"/>
          <w:sz w:val="22"/>
          <w:sz w:val="22"/>
          <w:szCs w:val="24"/>
          <w:rtl w:val="true"/>
        </w:rPr>
        <w:t>טווק</w:t>
      </w:r>
      <w:r>
        <w:rPr>
          <w:rtl w:val="true"/>
        </w:rPr>
        <w:t xml:space="preserve">, </w:t>
      </w:r>
      <w:r>
        <w:rPr>
          <w:rtl w:val="true"/>
        </w:rPr>
        <w:t>יש להעמיד את הפיצוי על הסכום המקסימאלי על פי חוק</w:t>
      </w:r>
      <w:r>
        <w:rPr>
          <w:rtl w:val="true"/>
        </w:rPr>
        <w:t xml:space="preserve">, </w:t>
      </w:r>
      <w:r>
        <w:rPr>
          <w:rtl w:val="true"/>
        </w:rPr>
        <w:t>בהתאם למתווה שהציעה משפחת המנוח</w:t>
      </w:r>
      <w:r>
        <w:rPr>
          <w:rtl w:val="true"/>
        </w:rPr>
        <w:t xml:space="preserve">, </w:t>
      </w:r>
      <w:r>
        <w:rPr>
          <w:rtl w:val="true"/>
        </w:rPr>
        <w:t>כפי שיפורט להלן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נפגעי</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משפחת המנוח </w:t>
      </w:r>
      <w:r>
        <w:rPr>
          <w:rtl w:val="true"/>
        </w:rPr>
        <w:t>–</w:t>
      </w:r>
      <w:r>
        <w:rPr>
          <w:rtl w:val="true"/>
        </w:rPr>
        <w:t xml:space="preserve"> נפגעי העבירה </w:t>
      </w:r>
      <w:r>
        <w:rPr>
          <w:rtl w:val="true"/>
        </w:rPr>
        <w:t>–</w:t>
      </w:r>
      <w:r>
        <w:rPr>
          <w:rtl w:val="true"/>
        </w:rPr>
        <w:t xml:space="preserve"> טענה כי המערער טרם שילם דבר</w:t>
      </w:r>
      <w:r>
        <w:rPr>
          <w:rtl w:val="true"/>
        </w:rPr>
        <w:t xml:space="preserve">, </w:t>
      </w:r>
      <w:r>
        <w:rPr>
          <w:rtl w:val="true"/>
        </w:rPr>
        <w:t xml:space="preserve">אולם כל אחד משלושת הנכדים קיבל סכום של </w:t>
      </w:r>
      <w:r>
        <w:rPr/>
        <w:t>10,000</w:t>
      </w:r>
      <w:r>
        <w:rPr>
          <w:rtl w:val="true"/>
        </w:rPr>
        <w:t xml:space="preserve"> </w:t>
      </w:r>
      <w:r>
        <w:rPr>
          <w:rtl w:val="true"/>
        </w:rPr>
        <w:t>ש</w:t>
      </w:r>
      <w:r>
        <w:rPr>
          <w:rtl w:val="true"/>
        </w:rPr>
        <w:t>"</w:t>
      </w:r>
      <w:r>
        <w:rPr>
          <w:rtl w:val="true"/>
        </w:rPr>
        <w:t>ח מהמרכז לגביית קנסות</w:t>
      </w:r>
      <w:r>
        <w:rPr>
          <w:rtl w:val="true"/>
        </w:rPr>
        <w:t xml:space="preserve">. </w:t>
      </w:r>
      <w:r>
        <w:rPr>
          <w:rtl w:val="true"/>
        </w:rPr>
        <w:t xml:space="preserve">המשפחה הסכימה כי עניין </w:t>
      </w:r>
      <w:r>
        <w:rPr>
          <w:rFonts w:ascii="Century" w:hAnsi="Century" w:cs="Miriam"/>
          <w:b/>
          <w:b/>
          <w:spacing w:val="0"/>
          <w:sz w:val="22"/>
          <w:sz w:val="22"/>
          <w:szCs w:val="24"/>
          <w:rtl w:val="true"/>
        </w:rPr>
        <w:t>טווק</w:t>
      </w:r>
      <w:r>
        <w:rPr>
          <w:rtl w:val="true"/>
        </w:rPr>
        <w:t xml:space="preserve"> שינה את ההלכה הנוהגת</w:t>
      </w:r>
      <w:r>
        <w:rPr>
          <w:rtl w:val="true"/>
        </w:rPr>
        <w:t xml:space="preserve">, </w:t>
      </w:r>
      <w:r>
        <w:rPr>
          <w:rtl w:val="true"/>
        </w:rPr>
        <w:t xml:space="preserve">וביקשה כי הפיצוי הכולל בו יחויב המערער לא יפחת מהתקרה המרבית </w:t>
      </w:r>
      <w:hyperlink r:id="rId48">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וכן כי סכום הפיצוי שנפסק לנכדים יוותר על כנו</w:t>
      </w:r>
      <w:r>
        <w:rPr>
          <w:rtl w:val="true"/>
        </w:rPr>
        <w:t xml:space="preserve">, </w:t>
      </w:r>
      <w:r>
        <w:rPr>
          <w:rtl w:val="true"/>
        </w:rPr>
        <w:t>מאחר שהסכום כבר נוצל לטובת טיפולם ושיקומם</w:t>
      </w:r>
      <w:r>
        <w:rPr>
          <w:rtl w:val="true"/>
        </w:rPr>
        <w:t xml:space="preserve">. </w:t>
      </w:r>
      <w:r>
        <w:rPr>
          <w:rtl w:val="true"/>
        </w:rPr>
        <w:t xml:space="preserve">המשפחה הביעה נכונות לוותר על הפיצוי שנפסק לארבעת ילדי המנוח על מנת שהפיצוי שנפסק לטובת האלמנה לא ישתנה בצורה דרסטית ויעמוד על </w:t>
      </w:r>
      <w:r>
        <w:rPr/>
        <w:t>228,000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אקדים ואציין כי לאחר ששבתי ובחנתי את הדברים</w:t>
      </w:r>
      <w:r>
        <w:rPr>
          <w:rtl w:val="true"/>
        </w:rPr>
        <w:t xml:space="preserve">, </w:t>
      </w:r>
      <w:r>
        <w:rPr>
          <w:rtl w:val="true"/>
        </w:rPr>
        <w:t>סבורני כי ההרשעה בדין יסודה</w:t>
      </w:r>
      <w:r>
        <w:rPr>
          <w:rtl w:val="true"/>
        </w:rPr>
        <w:t xml:space="preserve">. </w:t>
      </w:r>
      <w:r>
        <w:rPr>
          <w:rtl w:val="true"/>
        </w:rPr>
        <w:t>להלן אתייחס לטענות המערער כסדרן</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התשתית</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המערער הלין על האופן בו נקבעו ממצאי העובדה וטען כי בית המשפט קמא עשה שימוש </w:t>
      </w:r>
      <w:r>
        <w:rPr>
          <w:rtl w:val="true"/>
        </w:rPr>
        <w:t>"</w:t>
      </w:r>
      <w:r>
        <w:rPr>
          <w:rtl w:val="true"/>
        </w:rPr>
        <w:t>מרחיק לכת</w:t>
      </w:r>
      <w:r>
        <w:rPr>
          <w:rtl w:val="true"/>
        </w:rPr>
        <w:t xml:space="preserve">" </w:t>
      </w:r>
      <w:r>
        <w:rPr>
          <w:rtl w:val="true"/>
        </w:rPr>
        <w:t xml:space="preserve">בכלל </w:t>
      </w:r>
      <w:r>
        <w:rPr>
          <w:rtl w:val="true"/>
        </w:rPr>
        <w:t>"</w:t>
      </w:r>
      <w:r>
        <w:rPr>
          <w:rtl w:val="true"/>
        </w:rPr>
        <w:t>פלגינן דיבורא</w:t>
      </w:r>
      <w:r>
        <w:rPr>
          <w:rtl w:val="true"/>
        </w:rPr>
        <w:t xml:space="preserve">" </w:t>
      </w:r>
      <w:r>
        <w:rPr>
          <w:rtl w:val="true"/>
        </w:rPr>
        <w:t>כשפיצל את השתלשלות העניינים למקטעים וקבע ממצאים עובדתיים לגבי כל מקטע</w:t>
      </w:r>
      <w:r>
        <w:rPr>
          <w:rtl w:val="true"/>
        </w:rPr>
        <w:t xml:space="preserve">, </w:t>
      </w:r>
      <w:r>
        <w:rPr>
          <w:rtl w:val="true"/>
        </w:rPr>
        <w:t>כשהרצף העובדתי שנוצר שונה מכל הגרסאות שהוצגו</w:t>
      </w:r>
      <w:r>
        <w:rPr>
          <w:rtl w:val="true"/>
        </w:rPr>
        <w:t xml:space="preserve">. </w:t>
      </w:r>
      <w:r>
        <w:rPr>
          <w:rtl w:val="true"/>
        </w:rPr>
        <w:t>זאת</w:t>
      </w:r>
      <w:r>
        <w:rPr>
          <w:rtl w:val="true"/>
        </w:rPr>
        <w:t xml:space="preserve">, </w:t>
      </w:r>
      <w:r>
        <w:rPr>
          <w:rtl w:val="true"/>
        </w:rPr>
        <w:t>לשיטתו</w:t>
      </w:r>
      <w:r>
        <w:rPr>
          <w:rtl w:val="true"/>
        </w:rPr>
        <w:t xml:space="preserve">, </w:t>
      </w:r>
      <w:r>
        <w:rPr>
          <w:rtl w:val="true"/>
        </w:rPr>
        <w:t>מבלי לנמק כדבעי קביעות אלו</w:t>
      </w:r>
      <w:r>
        <w:rPr>
          <w:rtl w:val="true"/>
        </w:rPr>
        <w:t>.</w:t>
      </w:r>
    </w:p>
    <w:p>
      <w:pPr>
        <w:pStyle w:val="Ruller41"/>
        <w:ind w:end="0"/>
        <w:jc w:val="both"/>
        <w:rPr/>
      </w:pPr>
      <w:r>
        <w:rPr>
          <w:rtl w:val="true"/>
        </w:rPr>
      </w:r>
    </w:p>
    <w:p>
      <w:pPr>
        <w:pStyle w:val="Ruller42"/>
        <w:numPr>
          <w:ilvl w:val="0"/>
          <w:numId w:val="1"/>
        </w:numPr>
        <w:shd w:fill="FFFFFF" w:val="clear"/>
        <w:ind w:hanging="0" w:start="0" w:end="0"/>
        <w:jc w:val="both"/>
        <w:rPr/>
      </w:pPr>
      <w:r>
        <w:rPr>
          <w:rtl w:val="true"/>
        </w:rPr>
        <w:t xml:space="preserve">לא אחת עמד בית משפט זה על כך שאין לראות עדות בהכרח ותמיד כחטיבה שלמה אחת אשר יש לקבלה או לדחותה באופן כולל </w:t>
      </w:r>
      <w:r>
        <w:rPr>
          <w:rFonts w:cs="Century" w:ascii="Century" w:hAnsi="Century"/>
          <w:sz w:val="22"/>
          <w:rtl w:val="true"/>
        </w:rPr>
        <w:t>(</w:t>
      </w:r>
      <w:hyperlink r:id="rId5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1275/09</w:t>
        </w:r>
      </w:hyperlink>
      <w:r>
        <w:rPr>
          <w:rFonts w:cs="Century" w:ascii="Century" w:hAnsi="Century"/>
          <w:sz w:val="22"/>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44</w:t>
      </w:r>
      <w:r>
        <w:rPr>
          <w:rFonts w:cs="David" w:ascii="Times New Roman" w:hAnsi="Times New Roman"/>
          <w:spacing w:val="0"/>
          <w:sz w:val="22"/>
          <w:szCs w:val="24"/>
          <w:rtl w:val="true"/>
        </w:rPr>
        <w:t xml:space="preserve"> </w:t>
      </w:r>
      <w:r>
        <w:rPr>
          <w:rtl w:val="true"/>
        </w:rPr>
        <w:t>(</w:t>
      </w:r>
      <w:r>
        <w:rPr/>
        <w:t>1.9.2009</w:t>
      </w:r>
      <w:r>
        <w:rPr>
          <w:rtl w:val="true"/>
        </w:rPr>
        <w:t xml:space="preserve">); </w:t>
      </w:r>
      <w:hyperlink r:id="rId5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5762/13</w:t>
        </w:r>
      </w:hyperlink>
      <w:r>
        <w:rPr>
          <w:rFonts w:cs="Century" w:ascii="Century" w:hAnsi="Century"/>
          <w:sz w:val="22"/>
          <w:rtl w:val="true"/>
        </w:rPr>
        <w:t xml:space="preserve"> </w:t>
      </w:r>
      <w:r>
        <w:rPr>
          <w:rFonts w:ascii="Century" w:hAnsi="Century" w:cs="Miriam"/>
          <w:b/>
          <w:b/>
          <w:spacing w:val="0"/>
          <w:sz w:val="22"/>
          <w:sz w:val="22"/>
          <w:szCs w:val="24"/>
          <w:rtl w:val="true"/>
        </w:rPr>
        <w:t>פאעור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46</w:t>
      </w:r>
      <w:r>
        <w:rPr>
          <w:rFonts w:cs="Century" w:ascii="Century" w:hAnsi="Century"/>
          <w:sz w:val="22"/>
          <w:rtl w:val="true"/>
        </w:rPr>
        <w:t xml:space="preserve"> (</w:t>
      </w:r>
      <w:r>
        <w:rPr>
          <w:rFonts w:cs="Century" w:ascii="Century" w:hAnsi="Century"/>
          <w:sz w:val="22"/>
        </w:rPr>
        <w:t>21.10.2014</w:t>
      </w:r>
      <w:r>
        <w:rPr>
          <w:rFonts w:cs="Century" w:ascii="Century" w:hAnsi="Century"/>
          <w:sz w:val="22"/>
          <w:rtl w:val="true"/>
        </w:rPr>
        <w:t>)</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פאעור</w:t>
      </w:r>
      <w:r>
        <w:rPr>
          <w:rFonts w:cs="Century" w:ascii="Century" w:hAnsi="Century"/>
          <w:sz w:val="22"/>
          <w:rtl w:val="true"/>
        </w:rPr>
        <w:t xml:space="preserve">); </w:t>
      </w:r>
      <w:hyperlink r:id="rId52">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10152/17</w:t>
        </w:r>
      </w:hyperlink>
      <w:r>
        <w:rPr>
          <w:rFonts w:cs="FrankRuehl" w:ascii="FrankRuehl" w:hAnsi="FrankRuehl"/>
          <w:color w:val="000000"/>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טיב</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17</w:t>
      </w:r>
      <w:r>
        <w:rPr>
          <w:rtl w:val="true"/>
        </w:rPr>
        <w:t xml:space="preserve"> (‏</w:t>
      </w:r>
      <w:r>
        <w:rPr/>
        <w:t>10.5.2018</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טיב</w:t>
      </w:r>
      <w:r>
        <w:rPr>
          <w:rFonts w:cs="Century" w:ascii="Century" w:hAnsi="Century"/>
          <w:sz w:val="22"/>
          <w:rtl w:val="true"/>
        </w:rPr>
        <w:t>)</w:t>
      </w:r>
      <w:r>
        <w:rPr>
          <w:rtl w:val="true"/>
        </w:rPr>
        <w:t>;</w:t>
      </w:r>
      <w:r>
        <w:rPr>
          <w:rFonts w:cs="Century" w:ascii="Century" w:hAnsi="Century"/>
          <w:sz w:val="22"/>
          <w:rtl w:val="true"/>
        </w:rPr>
        <w:t xml:space="preserve"> </w:t>
      </w:r>
      <w:hyperlink r:id="rId53">
        <w:r>
          <w:rPr>
            <w:rStyle w:val="Hyperlink"/>
            <w:rFonts w:ascii="Century" w:hAnsi="Century" w:cs="Century"/>
            <w:color w:val="0000FF"/>
            <w:sz w:val="22"/>
            <w:sz w:val="22"/>
            <w:u w:val="single"/>
            <w:shd w:fill="FFFFFF" w:val="clear"/>
            <w:rtl w:val="true"/>
          </w:rPr>
          <w:t>סעיף</w:t>
        </w:r>
        <w:r>
          <w:rPr>
            <w:rStyle w:val="Hyperlink"/>
            <w:rFonts w:ascii="Century" w:hAnsi="Century" w:cs="Century"/>
            <w:color w:val="0000FF"/>
            <w:sz w:val="22"/>
            <w:sz w:val="22"/>
            <w:u w:val="single"/>
            <w:shd w:fill="FFFFFF" w:val="clear"/>
            <w:rtl w:val="true"/>
          </w:rPr>
          <w:t xml:space="preserve"> </w:t>
        </w:r>
        <w:r>
          <w:rPr>
            <w:rStyle w:val="Hyperlink"/>
            <w:rFonts w:cs="Century" w:ascii="Century" w:hAnsi="Century"/>
            <w:color w:val="0000FF"/>
            <w:sz w:val="22"/>
            <w:u w:val="single"/>
            <w:shd w:fill="FFFFFF" w:val="clear"/>
          </w:rPr>
          <w:t>57</w:t>
        </w:r>
      </w:hyperlink>
      <w:r>
        <w:rPr>
          <w:rFonts w:cs="Century" w:ascii="Century" w:hAnsi="Century"/>
          <w:sz w:val="22"/>
          <w:shd w:fill="FFFFFF" w:val="clear"/>
          <w:rtl w:val="true"/>
        </w:rPr>
        <w:t xml:space="preserve"> </w:t>
      </w:r>
      <w:r>
        <w:rPr>
          <w:rFonts w:ascii="Century" w:hAnsi="Century" w:cs="Century"/>
          <w:sz w:val="22"/>
          <w:sz w:val="22"/>
          <w:shd w:fill="FFFFFF" w:val="clear"/>
          <w:rtl w:val="true"/>
        </w:rPr>
        <w:t>ל</w:t>
      </w:r>
      <w:hyperlink r:id="rId54">
        <w:r>
          <w:rPr>
            <w:rStyle w:val="Hyperlink"/>
            <w:rFonts w:ascii="Century" w:hAnsi="Century" w:cs="Century"/>
            <w:color w:val="0000FF"/>
            <w:sz w:val="22"/>
            <w:sz w:val="22"/>
            <w:u w:val="single"/>
            <w:shd w:fill="FFFFFF" w:val="clear"/>
            <w:rtl w:val="true"/>
          </w:rPr>
          <w:t>פקודת</w:t>
        </w:r>
        <w:r>
          <w:rPr>
            <w:rStyle w:val="Hyperlink"/>
            <w:rFonts w:ascii="Century" w:hAnsi="Century" w:cs="Century"/>
            <w:color w:val="0000FF"/>
            <w:sz w:val="22"/>
            <w:sz w:val="22"/>
            <w:u w:val="single"/>
            <w:shd w:fill="FFFFFF" w:val="clear"/>
            <w:rtl w:val="true"/>
          </w:rPr>
          <w:t xml:space="preserve"> </w:t>
        </w:r>
        <w:r>
          <w:rPr>
            <w:rStyle w:val="Hyperlink"/>
            <w:rFonts w:ascii="Century" w:hAnsi="Century" w:cs="Century"/>
            <w:color w:val="0000FF"/>
            <w:sz w:val="22"/>
            <w:sz w:val="22"/>
            <w:u w:val="single"/>
            <w:shd w:fill="FFFFFF" w:val="clear"/>
            <w:rtl w:val="true"/>
          </w:rPr>
          <w:t>הראיות</w:t>
        </w:r>
      </w:hyperlink>
      <w:r>
        <w:rPr>
          <w:rFonts w:ascii="Century" w:hAnsi="Century" w:cs="Century"/>
          <w:sz w:val="22"/>
          <w:sz w:val="22"/>
          <w:shd w:fill="FFFFFF" w:val="clear"/>
          <w:rtl w:val="true"/>
        </w:rPr>
        <w:t xml:space="preserve"> </w:t>
      </w:r>
      <w:r>
        <w:rPr>
          <w:rFonts w:cs="Century" w:ascii="Century" w:hAnsi="Century"/>
          <w:sz w:val="22"/>
          <w:shd w:fill="FFFFFF" w:val="clear"/>
          <w:rtl w:val="true"/>
        </w:rPr>
        <w:t>[</w:t>
      </w:r>
      <w:r>
        <w:rPr>
          <w:rFonts w:ascii="Century" w:hAnsi="Century" w:cs="Century"/>
          <w:sz w:val="22"/>
          <w:sz w:val="22"/>
          <w:shd w:fill="FFFFFF" w:val="clear"/>
          <w:rtl w:val="true"/>
        </w:rPr>
        <w:t>נוסח חדש</w:t>
      </w:r>
      <w:r>
        <w:rPr>
          <w:rFonts w:cs="Century" w:ascii="Century" w:hAnsi="Century"/>
          <w:sz w:val="22"/>
          <w:shd w:fill="FFFFFF" w:val="clear"/>
          <w:rtl w:val="true"/>
        </w:rPr>
        <w:t xml:space="preserve">], </w:t>
      </w:r>
      <w:r>
        <w:rPr>
          <w:rFonts w:ascii="Century" w:hAnsi="Century" w:cs="Century"/>
          <w:sz w:val="22"/>
          <w:sz w:val="22"/>
          <w:shd w:fill="FFFFFF" w:val="clear"/>
          <w:rtl w:val="true"/>
        </w:rPr>
        <w:t>התשל</w:t>
      </w:r>
      <w:r>
        <w:rPr>
          <w:rFonts w:cs="Century" w:ascii="Century" w:hAnsi="Century"/>
          <w:sz w:val="22"/>
          <w:shd w:fill="FFFFFF" w:val="clear"/>
          <w:rtl w:val="true"/>
        </w:rPr>
        <w:t>"</w:t>
      </w:r>
      <w:r>
        <w:rPr>
          <w:rFonts w:ascii="Century" w:hAnsi="Century" w:cs="Century"/>
          <w:sz w:val="22"/>
          <w:sz w:val="22"/>
          <w:shd w:fill="FFFFFF" w:val="clear"/>
          <w:rtl w:val="true"/>
        </w:rPr>
        <w:t>א</w:t>
      </w:r>
      <w:r>
        <w:rPr>
          <w:rFonts w:cs="Century" w:ascii="Century" w:hAnsi="Century"/>
          <w:sz w:val="22"/>
          <w:shd w:fill="FFFFFF" w:val="clear"/>
          <w:rtl w:val="true"/>
        </w:rPr>
        <w:t>-</w:t>
      </w:r>
      <w:r>
        <w:rPr>
          <w:rFonts w:cs="Century" w:ascii="Century" w:hAnsi="Century"/>
          <w:sz w:val="22"/>
          <w:shd w:fill="FFFFFF" w:val="clear"/>
        </w:rPr>
        <w:t>1971</w:t>
      </w:r>
      <w:r>
        <w:rPr>
          <w:rFonts w:cs="Century" w:ascii="Century" w:hAnsi="Century"/>
          <w:sz w:val="22"/>
          <w:rtl w:val="true"/>
        </w:rPr>
        <w:t xml:space="preserve">). </w:t>
      </w:r>
      <w:r>
        <w:rPr>
          <w:rFonts w:ascii="Arial TUR;Arial" w:hAnsi="Arial TUR;Arial" w:cs="Arial TUR;Arial"/>
          <w:sz w:val="22"/>
          <w:sz w:val="22"/>
          <w:rtl w:val="true"/>
        </w:rPr>
        <w:t xml:space="preserve">כלל זה רלוונטי ביתר שאת </w:t>
      </w:r>
      <w:r>
        <w:rPr>
          <w:rtl w:val="true"/>
        </w:rPr>
        <w:t>בעת ש</w:t>
      </w:r>
      <w:r>
        <w:rPr>
          <w:rFonts w:ascii="Arial TUR;Arial" w:hAnsi="Arial TUR;Arial" w:cs="Arial TUR;Arial"/>
          <w:sz w:val="22"/>
          <w:sz w:val="22"/>
          <w:rtl w:val="true"/>
        </w:rPr>
        <w:t xml:space="preserve">העדים </w:t>
      </w:r>
      <w:r>
        <w:rPr>
          <w:rtl w:val="true"/>
        </w:rPr>
        <w:t>הם</w:t>
      </w:r>
      <w:r>
        <w:rPr>
          <w:rFonts w:ascii="Arial TUR;Arial" w:hAnsi="Arial TUR;Arial" w:cs="Arial TUR;Arial"/>
          <w:sz w:val="22"/>
          <w:sz w:val="22"/>
          <w:rtl w:val="true"/>
        </w:rPr>
        <w:t xml:space="preserve"> שותפים לדבר עבירה</w:t>
      </w:r>
      <w:r>
        <w:rPr>
          <w:rFonts w:cs="Arial TUR;Arial" w:ascii="Arial TUR;Arial" w:hAnsi="Arial TUR;Arial"/>
          <w:sz w:val="22"/>
          <w:rtl w:val="true"/>
        </w:rPr>
        <w:t xml:space="preserve">, </w:t>
      </w:r>
      <w:r>
        <w:rPr>
          <w:rFonts w:ascii="Arial TUR;Arial" w:hAnsi="Arial TUR;Arial" w:cs="Arial TUR;Arial"/>
          <w:sz w:val="22"/>
          <w:sz w:val="22"/>
          <w:rtl w:val="true"/>
        </w:rPr>
        <w:t>שכן אלו מבקשים</w:t>
      </w:r>
      <w:r>
        <w:rPr>
          <w:rFonts w:cs="Arial TUR;Arial" w:ascii="Arial TUR;Arial" w:hAnsi="Arial TUR;Arial"/>
          <w:sz w:val="22"/>
          <w:rtl w:val="true"/>
        </w:rPr>
        <w:t xml:space="preserve">, </w:t>
      </w:r>
      <w:r>
        <w:rPr>
          <w:rFonts w:ascii="Arial TUR;Arial" w:hAnsi="Arial TUR;Arial" w:cs="Arial TUR;Arial"/>
          <w:sz w:val="22"/>
          <w:sz w:val="22"/>
          <w:rtl w:val="true"/>
        </w:rPr>
        <w:t>על דרך הכלל</w:t>
      </w:r>
      <w:r>
        <w:rPr>
          <w:rFonts w:cs="Arial TUR;Arial" w:ascii="Arial TUR;Arial" w:hAnsi="Arial TUR;Arial"/>
          <w:sz w:val="22"/>
          <w:rtl w:val="true"/>
        </w:rPr>
        <w:t xml:space="preserve">, </w:t>
      </w:r>
      <w:r>
        <w:rPr>
          <w:rFonts w:ascii="Arial TUR;Arial" w:hAnsi="Arial TUR;Arial" w:cs="Arial TUR;Arial"/>
          <w:sz w:val="22"/>
          <w:sz w:val="22"/>
          <w:rtl w:val="true"/>
        </w:rPr>
        <w:t>למזער את חלקם בביצוע העבירות המשותפות</w:t>
      </w:r>
      <w:r>
        <w:rPr>
          <w:rFonts w:cs="Arial TUR;Arial" w:ascii="Arial TUR;Arial" w:hAnsi="Arial TUR;Arial"/>
          <w:sz w:val="22"/>
          <w:rtl w:val="true"/>
        </w:rPr>
        <w:t xml:space="preserve">, </w:t>
      </w:r>
      <w:r>
        <w:rPr>
          <w:rFonts w:ascii="Arial TUR;Arial" w:hAnsi="Arial TUR;Arial" w:cs="Arial TUR;Arial"/>
          <w:sz w:val="22"/>
          <w:sz w:val="22"/>
          <w:rtl w:val="true"/>
        </w:rPr>
        <w:t>ומשום כך עדותם לא תמיד תשקף את האמת העובדתית בשלמותה</w:t>
      </w:r>
      <w:r>
        <w:rPr>
          <w:rFonts w:ascii="Century" w:hAnsi="Century" w:cs="Century"/>
          <w:sz w:val="22"/>
          <w:sz w:val="22"/>
          <w:rtl w:val="true"/>
        </w:rPr>
        <w:t xml:space="preserve"> </w:t>
      </w:r>
      <w:r>
        <w:rPr>
          <w:rFonts w:cs="Century" w:ascii="Century" w:hAnsi="Century"/>
          <w:sz w:val="22"/>
          <w:rtl w:val="true"/>
        </w:rPr>
        <w:t>(</w:t>
      </w:r>
      <w:hyperlink r:id="rId5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5825/97</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שלום</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נה</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933</w:t>
      </w:r>
      <w:r>
        <w:rPr>
          <w:rFonts w:cs="Century" w:ascii="Century" w:hAnsi="Century"/>
          <w:sz w:val="22"/>
          <w:rtl w:val="true"/>
        </w:rPr>
        <w:t xml:space="preserve">, </w:t>
      </w:r>
      <w:r>
        <w:rPr>
          <w:rFonts w:cs="Century" w:ascii="Century" w:hAnsi="Century"/>
          <w:sz w:val="22"/>
        </w:rPr>
        <w:t>950</w:t>
      </w:r>
      <w:r>
        <w:rPr>
          <w:rFonts w:cs="Century" w:ascii="Century" w:hAnsi="Century"/>
          <w:sz w:val="22"/>
          <w:rtl w:val="true"/>
        </w:rPr>
        <w:t xml:space="preserve"> (</w:t>
      </w:r>
      <w:r>
        <w:rPr>
          <w:rFonts w:cs="Century" w:ascii="Century" w:hAnsi="Century"/>
          <w:sz w:val="22"/>
        </w:rPr>
        <w:t>2001</w:t>
      </w:r>
      <w:r>
        <w:rPr>
          <w:rFonts w:cs="Century" w:ascii="Century" w:hAnsi="Century"/>
          <w:sz w:val="22"/>
          <w:rtl w:val="true"/>
        </w:rPr>
        <w:t xml:space="preserve">); </w:t>
      </w:r>
      <w:hyperlink r:id="rId5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2478/12</w:t>
        </w:r>
      </w:hyperlink>
      <w:r>
        <w:rPr>
          <w:rFonts w:cs="Century" w:ascii="Century" w:hAnsi="Century"/>
          <w:sz w:val="22"/>
          <w:rtl w:val="true"/>
        </w:rPr>
        <w:t xml:space="preserve"> </w:t>
      </w:r>
      <w:r>
        <w:rPr>
          <w:rFonts w:ascii="Century" w:hAnsi="Century" w:cs="Miriam"/>
          <w:b/>
          <w:b/>
          <w:spacing w:val="0"/>
          <w:sz w:val="22"/>
          <w:sz w:val="22"/>
          <w:szCs w:val="24"/>
          <w:rtl w:val="true"/>
        </w:rPr>
        <w:t>אגבריה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17</w:t>
      </w:r>
      <w:r>
        <w:rPr>
          <w:rFonts w:cs="Century" w:ascii="Century" w:hAnsi="Century"/>
          <w:sz w:val="22"/>
          <w:rtl w:val="true"/>
        </w:rPr>
        <w:t xml:space="preserve"> </w:t>
      </w:r>
      <w:r>
        <w:rPr>
          <w:rFonts w:cs="Century" w:ascii="Century" w:hAnsi="Century"/>
          <w:sz w:val="22"/>
          <w:rtl w:val="true"/>
        </w:rPr>
        <w:t>(</w:t>
      </w:r>
      <w:r>
        <w:rPr>
          <w:rFonts w:cs="Century" w:ascii="Century" w:hAnsi="Century"/>
          <w:sz w:val="22"/>
        </w:rPr>
        <w:t>13.5.2015</w:t>
      </w:r>
      <w:r>
        <w:rPr>
          <w:rFonts w:cs="Century" w:ascii="Century" w:hAnsi="Century"/>
          <w:sz w:val="22"/>
          <w:rtl w:val="true"/>
        </w:rPr>
        <w:t>)</w:t>
      </w:r>
      <w:r>
        <w:rPr>
          <w:rFonts w:cs="Century" w:ascii="Century" w:hAnsi="Century"/>
          <w:sz w:val="22"/>
          <w:rtl w:val="true"/>
        </w:rPr>
        <w:t>).</w:t>
      </w:r>
    </w:p>
    <w:p>
      <w:pPr>
        <w:pStyle w:val="Ruller42"/>
        <w:numPr>
          <w:ilvl w:val="0"/>
          <w:numId w:val="0"/>
        </w:numPr>
        <w:shd w:fill="FFFFFF" w:val="clear"/>
        <w:ind w:hanging="0" w:start="0" w:end="0"/>
        <w:jc w:val="both"/>
        <w:rPr/>
      </w:pPr>
      <w:r>
        <w:rPr>
          <w:rtl w:val="true"/>
        </w:rPr>
      </w:r>
    </w:p>
    <w:p>
      <w:pPr>
        <w:pStyle w:val="Ruller42"/>
        <w:numPr>
          <w:ilvl w:val="0"/>
          <w:numId w:val="0"/>
        </w:numPr>
        <w:shd w:fill="FFFFFF" w:val="clear"/>
        <w:ind w:hanging="0" w:start="0" w:end="0"/>
        <w:jc w:val="both"/>
        <w:rPr/>
      </w:pPr>
      <w:r>
        <w:rPr>
          <w:rtl w:val="true"/>
        </w:rPr>
        <w:tab/>
      </w:r>
      <w:r>
        <w:rPr>
          <w:rtl w:val="true"/>
        </w:rPr>
        <w:t>במצב דברים זה</w:t>
      </w:r>
      <w:r>
        <w:rPr>
          <w:rtl w:val="true"/>
        </w:rPr>
        <w:t xml:space="preserve">, </w:t>
      </w:r>
      <w:r>
        <w:rPr>
          <w:rtl w:val="true"/>
        </w:rPr>
        <w:t>רשאי בית המשפט לפלג את העדות ולבור מתוכה את גרעין האמת</w:t>
      </w:r>
      <w:r>
        <w:rPr>
          <w:rtl w:val="true"/>
        </w:rPr>
        <w:t xml:space="preserve">, </w:t>
      </w:r>
      <w:r>
        <w:rPr>
          <w:rtl w:val="true"/>
        </w:rPr>
        <w:t>ודחיית יתר חלקיה</w:t>
      </w:r>
      <w:r>
        <w:rPr>
          <w:rFonts w:cs="Century" w:ascii="Century" w:hAnsi="Century"/>
          <w:rtl w:val="true"/>
        </w:rPr>
        <w:t xml:space="preserve">, </w:t>
      </w:r>
      <w:r>
        <w:rPr>
          <w:rFonts w:ascii="Century" w:hAnsi="Century" w:cs="Century"/>
          <w:rtl w:val="true"/>
        </w:rPr>
        <w:t xml:space="preserve">ובתנאי שיש יסוד סביר להבחנה בין החלקים השונים </w:t>
      </w:r>
      <w:r>
        <w:rPr>
          <w:rFonts w:cs="Century" w:ascii="Century" w:hAnsi="Century"/>
          <w:rtl w:val="true"/>
        </w:rPr>
        <w:t>(</w:t>
      </w:r>
      <w:hyperlink r:id="rId5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481/12</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בפסקה </w:t>
      </w:r>
      <w:r>
        <w:rPr>
          <w:rFonts w:cs="Century" w:ascii="Century" w:hAnsi="Century"/>
        </w:rPr>
        <w:t>16</w:t>
      </w:r>
      <w:r>
        <w:rPr>
          <w:rFonts w:cs="Century" w:ascii="Century" w:hAnsi="Century"/>
          <w:rtl w:val="true"/>
        </w:rPr>
        <w:t xml:space="preserve"> (</w:t>
      </w:r>
      <w:r>
        <w:rPr>
          <w:rFonts w:cs="Century" w:ascii="Century" w:hAnsi="Century"/>
        </w:rPr>
        <w:t>30.12.2014</w:t>
      </w:r>
      <w:r>
        <w:rPr>
          <w:rFonts w:cs="Century" w:ascii="Century" w:hAnsi="Century"/>
          <w:rtl w:val="true"/>
        </w:rPr>
        <w:t xml:space="preserve">); </w:t>
      </w:r>
      <w:hyperlink r:id="rId5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9141/10</w:t>
        </w:r>
      </w:hyperlink>
      <w:r>
        <w:rPr>
          <w:rFonts w:cs="Century" w:ascii="Century" w:hAnsi="Century"/>
          <w:rtl w:val="true"/>
        </w:rPr>
        <w:t xml:space="preserve"> </w:t>
      </w:r>
      <w:r>
        <w:rPr>
          <w:rFonts w:ascii="Century" w:hAnsi="Century" w:cs="Miriam"/>
          <w:b/>
          <w:b/>
          <w:spacing w:val="0"/>
          <w:szCs w:val="24"/>
          <w:rtl w:val="true"/>
        </w:rPr>
        <w:t>סטואר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בפסקה ע</w:t>
      </w:r>
      <w:r>
        <w:rPr>
          <w:rFonts w:cs="Century" w:ascii="Century" w:hAnsi="Century"/>
          <w:rtl w:val="true"/>
        </w:rPr>
        <w:t>' (‏</w:t>
      </w:r>
      <w:r>
        <w:rPr>
          <w:rFonts w:cs="Century" w:ascii="Century" w:hAnsi="Century"/>
        </w:rPr>
        <w:t>28.4.2014</w:t>
      </w:r>
      <w:r>
        <w:rPr>
          <w:rFonts w:cs="Century" w:ascii="Century" w:hAnsi="Century"/>
          <w:rtl w:val="true"/>
        </w:rPr>
        <w:t>);</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טיב</w:t>
      </w:r>
      <w:r>
        <w:rPr>
          <w:rFonts w:cs="Century" w:ascii="Century" w:hAnsi="Century"/>
          <w:rtl w:val="true"/>
        </w:rPr>
        <w:t xml:space="preserve">, </w:t>
      </w:r>
      <w:r>
        <w:rPr>
          <w:rFonts w:ascii="Century" w:hAnsi="Century" w:cs="Century"/>
          <w:rtl w:val="true"/>
        </w:rPr>
        <w:t xml:space="preserve">בפסקה </w:t>
      </w:r>
      <w:r>
        <w:rPr>
          <w:rFonts w:cs="Century" w:ascii="Century" w:hAnsi="Century"/>
        </w:rPr>
        <w:t>17</w:t>
      </w:r>
      <w:r>
        <w:rPr>
          <w:rtl w:val="true"/>
        </w:rPr>
        <w:t xml:space="preserve">). </w:t>
      </w:r>
      <w:r>
        <w:rPr>
          <w:rtl w:val="true"/>
        </w:rPr>
        <w:t>הבחנה כזו יכולה להיעשות על</w:t>
      </w:r>
      <w:r>
        <w:rPr>
          <w:rtl w:val="true"/>
        </w:rPr>
        <w:t>-</w:t>
      </w:r>
      <w:r>
        <w:rPr>
          <w:rtl w:val="true"/>
        </w:rPr>
        <w:t>ידי היעזרות בראיות קבילות ואמינות אחרות או על פי מבחני ההיגיון והשכל ה</w:t>
      </w:r>
      <w:r>
        <w:rPr>
          <w:rFonts w:ascii="Century" w:hAnsi="Century" w:cs="Century"/>
          <w:sz w:val="22"/>
          <w:sz w:val="22"/>
          <w:rtl w:val="true"/>
        </w:rPr>
        <w:t>ישר</w:t>
      </w:r>
      <w:r>
        <w:rPr>
          <w:rtl w:val="true"/>
        </w:rPr>
        <w:t xml:space="preserve"> </w:t>
      </w:r>
      <w:r>
        <w:rPr>
          <w:rtl w:val="true"/>
        </w:rPr>
        <w:t>(</w:t>
      </w:r>
      <w:hyperlink r:id="rId5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526/90</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בלזר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מה</w:t>
        </w:r>
      </w:hyperlink>
      <w:r>
        <w:rPr>
          <w:rFonts w:cs="Century" w:ascii="Century" w:hAnsi="Century"/>
          <w:sz w:val="22"/>
          <w:rtl w:val="true"/>
        </w:rPr>
        <w:t>(</w:t>
      </w:r>
      <w:r>
        <w:rPr>
          <w:rFonts w:cs="Century" w:ascii="Century" w:hAnsi="Century"/>
          <w:sz w:val="22"/>
        </w:rPr>
        <w:t>4</w:t>
      </w:r>
      <w:r>
        <w:rPr>
          <w:rFonts w:cs="Century" w:ascii="Century" w:hAnsi="Century"/>
          <w:sz w:val="22"/>
          <w:rtl w:val="true"/>
        </w:rPr>
        <w:t>)</w:t>
      </w:r>
      <w:r>
        <w:rPr>
          <w:sz w:val="28"/>
          <w:rtl w:val="true"/>
        </w:rPr>
        <w:t xml:space="preserve"> </w:t>
      </w:r>
      <w:r>
        <w:rPr>
          <w:sz w:val="28"/>
        </w:rPr>
        <w:t>133</w:t>
      </w:r>
      <w:r>
        <w:rPr>
          <w:sz w:val="28"/>
          <w:rtl w:val="true"/>
        </w:rPr>
        <w:t xml:space="preserve">, </w:t>
      </w:r>
      <w:r>
        <w:rPr>
          <w:sz w:val="28"/>
        </w:rPr>
        <w:t>186-185</w:t>
      </w:r>
      <w:r>
        <w:rPr>
          <w:sz w:val="28"/>
          <w:rtl w:val="true"/>
        </w:rPr>
        <w:t xml:space="preserve"> (</w:t>
      </w:r>
      <w:r>
        <w:rPr>
          <w:sz w:val="28"/>
        </w:rPr>
        <w:t>1991</w:t>
      </w:r>
      <w:r>
        <w:rPr>
          <w:sz w:val="28"/>
          <w:rtl w:val="true"/>
        </w:rPr>
        <w:t xml:space="preserve">); </w:t>
      </w:r>
      <w:r>
        <w:rPr>
          <w:sz w:val="28"/>
          <w:sz w:val="28"/>
          <w:rtl w:val="true"/>
        </w:rPr>
        <w:t xml:space="preserve">עניין </w:t>
      </w:r>
      <w:r>
        <w:rPr>
          <w:rFonts w:ascii="Century" w:hAnsi="Century" w:cs="Miriam"/>
          <w:b/>
          <w:b/>
          <w:spacing w:val="0"/>
          <w:szCs w:val="24"/>
          <w:rtl w:val="true"/>
        </w:rPr>
        <w:t>פאעור</w:t>
      </w:r>
      <w:r>
        <w:rPr>
          <w:rFonts w:cs="Century" w:ascii="Century" w:hAnsi="Century"/>
          <w:rtl w:val="true"/>
        </w:rPr>
        <w:t xml:space="preserve">, </w:t>
      </w:r>
      <w:r>
        <w:rPr>
          <w:rFonts w:ascii="Century" w:hAnsi="Century" w:cs="Century"/>
          <w:rtl w:val="true"/>
        </w:rPr>
        <w:t xml:space="preserve">בפסקה </w:t>
      </w:r>
      <w:r>
        <w:rPr>
          <w:rFonts w:cs="Century" w:ascii="Century" w:hAnsi="Century"/>
        </w:rPr>
        <w:t>46</w:t>
      </w:r>
      <w:r>
        <w:rPr>
          <w:rFonts w:cs="Century" w:ascii="Century" w:hAnsi="Century"/>
          <w:rtl w:val="true"/>
        </w:rPr>
        <w:t>)</w:t>
      </w:r>
      <w:r>
        <w:rPr>
          <w:rtl w:val="true"/>
        </w:rPr>
        <w:t xml:space="preserve">. </w:t>
      </w:r>
      <w:r>
        <w:rPr>
          <w:rtl w:val="true"/>
        </w:rPr>
        <w:t>זאת</w:t>
      </w:r>
      <w:r>
        <w:rPr>
          <w:rtl w:val="true"/>
        </w:rPr>
        <w:t xml:space="preserve">, </w:t>
      </w:r>
      <w:r>
        <w:rPr>
          <w:rtl w:val="true"/>
        </w:rPr>
        <w:t>בשים לב לכך ש</w:t>
      </w:r>
      <w:r>
        <w:rPr>
          <w:rtl w:val="true"/>
        </w:rPr>
        <w:t>"</w:t>
      </w:r>
      <w:r>
        <w:rPr>
          <w:rtl w:val="true"/>
        </w:rPr>
        <w:t>פיצול</w:t>
      </w:r>
      <w:r>
        <w:rPr>
          <w:rtl w:val="true"/>
        </w:rPr>
        <w:t xml:space="preserve"> </w:t>
      </w:r>
      <w:r>
        <w:rPr>
          <w:rtl w:val="true"/>
        </w:rPr>
        <w:t>עדות</w:t>
      </w:r>
      <w:r>
        <w:rPr>
          <w:rtl w:val="true"/>
        </w:rPr>
        <w:t xml:space="preserve"> </w:t>
      </w:r>
      <w:r>
        <w:rPr>
          <w:rtl w:val="true"/>
        </w:rPr>
        <w:t>אסור</w:t>
      </w:r>
      <w:r>
        <w:rPr>
          <w:rtl w:val="true"/>
        </w:rPr>
        <w:t xml:space="preserve"> </w:t>
      </w:r>
      <w:r>
        <w:rPr>
          <w:rtl w:val="true"/>
        </w:rPr>
        <w:t>שייעשה</w:t>
      </w:r>
      <w:r>
        <w:rPr>
          <w:rtl w:val="true"/>
        </w:rPr>
        <w:t xml:space="preserve"> </w:t>
      </w:r>
      <w:r>
        <w:rPr>
          <w:rtl w:val="true"/>
        </w:rPr>
        <w:t>באופן</w:t>
      </w:r>
      <w:r>
        <w:rPr>
          <w:rtl w:val="true"/>
        </w:rPr>
        <w:t xml:space="preserve"> </w:t>
      </w:r>
      <w:r>
        <w:rPr>
          <w:rtl w:val="true"/>
        </w:rPr>
        <w:t>שרירותי</w:t>
      </w:r>
      <w:r>
        <w:rPr>
          <w:rtl w:val="true"/>
        </w:rPr>
        <w:t>...</w:t>
      </w:r>
      <w:r>
        <w:rPr>
          <w:rtl w:val="true"/>
        </w:rPr>
        <w:t xml:space="preserve"> </w:t>
      </w:r>
      <w:r>
        <w:rPr>
          <w:rtl w:val="true"/>
        </w:rPr>
        <w:t>נדרש</w:t>
      </w:r>
      <w:r>
        <w:rPr>
          <w:rtl w:val="true"/>
        </w:rPr>
        <w:t xml:space="preserve"> </w:t>
      </w:r>
      <w:r>
        <w:rPr>
          <w:rtl w:val="true"/>
        </w:rPr>
        <w:t>יסוד</w:t>
      </w:r>
      <w:r>
        <w:rPr>
          <w:rtl w:val="true"/>
        </w:rPr>
        <w:t xml:space="preserve"> </w:t>
      </w:r>
      <w:r>
        <w:rPr>
          <w:rtl w:val="true"/>
        </w:rPr>
        <w:t>סביר</w:t>
      </w:r>
      <w:r>
        <w:rPr>
          <w:rtl w:val="true"/>
        </w:rPr>
        <w:t xml:space="preserve"> </w:t>
      </w:r>
      <w:r>
        <w:rPr>
          <w:rtl w:val="true"/>
        </w:rPr>
        <w:t>לאבחנה</w:t>
      </w:r>
      <w:r>
        <w:rPr>
          <w:rtl w:val="true"/>
        </w:rPr>
        <w:t xml:space="preserve"> </w:t>
      </w:r>
      <w:r>
        <w:rPr>
          <w:rtl w:val="true"/>
        </w:rPr>
        <w:t>בין</w:t>
      </w:r>
      <w:r>
        <w:rPr>
          <w:rtl w:val="true"/>
        </w:rPr>
        <w:t xml:space="preserve"> </w:t>
      </w:r>
      <w:r>
        <w:rPr>
          <w:rtl w:val="true"/>
        </w:rPr>
        <w:t>חלקי</w:t>
      </w:r>
      <w:r>
        <w:rPr>
          <w:rtl w:val="true"/>
        </w:rPr>
        <w:t xml:space="preserve"> </w:t>
      </w:r>
      <w:r>
        <w:rPr>
          <w:rtl w:val="true"/>
        </w:rPr>
        <w:t>העדו</w:t>
      </w:r>
      <w:r>
        <w:rPr>
          <w:rtl w:val="true"/>
        </w:rPr>
        <w:t>ת</w:t>
      </w:r>
      <w:r>
        <w:rPr>
          <w:rtl w:val="true"/>
        </w:rPr>
        <w:t>" (</w:t>
      </w:r>
      <w:hyperlink r:id="rId60">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5875/93</w:t>
        </w:r>
        <w:r>
          <w:rPr>
            <w:rStyle w:val="Hyperlink"/>
            <w:rtl w:val="true"/>
          </w:rPr>
          <w:t xml:space="preserve"> </w:t>
        </w:r>
        <w:r>
          <w:rPr>
            <w:rStyle w:val="Hyperlink"/>
            <w:rFonts w:ascii="Century" w:hAnsi="Century" w:cs="Miriam"/>
            <w:b/>
            <w:b/>
            <w:spacing w:val="0"/>
            <w:szCs w:val="24"/>
            <w:rtl w:val="true"/>
          </w:rPr>
          <w:t>עביט</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w:t>
        </w:r>
      </w:hyperlink>
      <w:r>
        <w:rPr>
          <w:rtl w:val="true"/>
        </w:rPr>
        <w:t>(</w:t>
      </w:r>
      <w:r>
        <w:rPr/>
        <w:t>5</w:t>
      </w:r>
      <w:r>
        <w:rPr>
          <w:rtl w:val="true"/>
        </w:rPr>
        <w:t xml:space="preserve">) </w:t>
      </w:r>
      <w:r>
        <w:rPr/>
        <w:t>801</w:t>
      </w:r>
      <w:r>
        <w:rPr>
          <w:rtl w:val="true"/>
        </w:rPr>
        <w:t xml:space="preserve">, </w:t>
      </w:r>
      <w:r>
        <w:rPr/>
        <w:t>813</w:t>
      </w:r>
      <w:r>
        <w:rPr>
          <w:rtl w:val="true"/>
        </w:rPr>
        <w:t xml:space="preserve"> (</w:t>
      </w:r>
      <w:r>
        <w:rPr/>
        <w:t>1997</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בשים לב לכל האמור</w:t>
      </w:r>
      <w:r>
        <w:rPr>
          <w:rtl w:val="true"/>
        </w:rPr>
        <w:t xml:space="preserve">, </w:t>
      </w:r>
      <w:r>
        <w:rPr>
          <w:rtl w:val="true"/>
        </w:rPr>
        <w:t>לא מצאתי כי נפל פגם בפועלו של בית המשפט קמא</w:t>
      </w:r>
      <w:r>
        <w:rPr>
          <w:rtl w:val="true"/>
        </w:rPr>
        <w:t xml:space="preserve">. </w:t>
      </w:r>
      <w:r>
        <w:rPr>
          <w:rtl w:val="true"/>
        </w:rPr>
        <w:t>אדרבא</w:t>
      </w:r>
      <w:r>
        <w:rPr>
          <w:rtl w:val="true"/>
        </w:rPr>
        <w:t xml:space="preserve">, </w:t>
      </w:r>
      <w:r>
        <w:rPr>
          <w:rtl w:val="true"/>
        </w:rPr>
        <w:t>חלק ניכר מהכרעת הדין מוקדש לדיון מעמיק ומפורט בהשתלשלות העניינים</w:t>
      </w:r>
      <w:r>
        <w:rPr>
          <w:rtl w:val="true"/>
        </w:rPr>
        <w:t xml:space="preserve">, </w:t>
      </w:r>
      <w:r>
        <w:rPr>
          <w:rtl w:val="true"/>
        </w:rPr>
        <w:t>תוך עמידה על הסתירות השונות בין הגרסאות ונימוק מדוקדק של כל צעד ושעל שלקח בית המשפט</w:t>
      </w:r>
      <w:r>
        <w:rPr>
          <w:rtl w:val="true"/>
        </w:rPr>
        <w:t xml:space="preserve">. </w:t>
      </w:r>
      <w:r>
        <w:rPr>
          <w:rtl w:val="true"/>
        </w:rPr>
        <w:t>זאת</w:t>
      </w:r>
      <w:r>
        <w:rPr>
          <w:rtl w:val="true"/>
        </w:rPr>
        <w:t xml:space="preserve">, </w:t>
      </w:r>
      <w:r>
        <w:rPr>
          <w:rtl w:val="true"/>
        </w:rPr>
        <w:t>כאמור</w:t>
      </w:r>
      <w:r>
        <w:rPr>
          <w:rtl w:val="true"/>
        </w:rPr>
        <w:t xml:space="preserve">, </w:t>
      </w:r>
      <w:r>
        <w:rPr>
          <w:rtl w:val="true"/>
        </w:rPr>
        <w:t>על רקע ההבנה כי כל אחד מבין השלושה ירצה להקטין את חלקו בפרשה</w:t>
      </w:r>
      <w:r>
        <w:rPr>
          <w:rtl w:val="true"/>
        </w:rPr>
        <w:t xml:space="preserve">, </w:t>
      </w:r>
      <w:r>
        <w:rPr>
          <w:rtl w:val="true"/>
        </w:rPr>
        <w:t xml:space="preserve">ותוך התייחסות מפורטת לקושי שמעלה </w:t>
      </w:r>
      <w:r>
        <w:rPr>
          <w:rtl w:val="true"/>
        </w:rPr>
        <w:t>"</w:t>
      </w:r>
      <w:r>
        <w:rPr>
          <w:rtl w:val="true"/>
        </w:rPr>
        <w:t>תרגיל השריפה</w:t>
      </w:r>
      <w:r>
        <w:rPr>
          <w:rtl w:val="true"/>
        </w:rPr>
        <w:t xml:space="preserve">" </w:t>
      </w:r>
      <w:r>
        <w:rPr>
          <w:rtl w:val="true"/>
        </w:rPr>
        <w:t>לגבי גרסאותיהם של האדי ואכרם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באופן ספציפי</w:t>
      </w:r>
      <w:r>
        <w:rPr>
          <w:rtl w:val="true"/>
        </w:rPr>
        <w:t xml:space="preserve">, </w:t>
      </w:r>
      <w:r>
        <w:rPr>
          <w:rtl w:val="true"/>
        </w:rPr>
        <w:t>טען המערער כי משמצא בית המשפט קמא לדחות את עדותו של אכרם בנקודות מרכזיות</w:t>
      </w:r>
      <w:r>
        <w:rPr>
          <w:rtl w:val="true"/>
        </w:rPr>
        <w:t xml:space="preserve">, </w:t>
      </w:r>
      <w:r>
        <w:rPr>
          <w:rtl w:val="true"/>
        </w:rPr>
        <w:t>היה עליו לדחות את גרסתו כולה</w:t>
      </w:r>
      <w:r>
        <w:rPr>
          <w:rtl w:val="true"/>
        </w:rPr>
        <w:t xml:space="preserve">. </w:t>
      </w:r>
      <w:r>
        <w:rPr>
          <w:rtl w:val="true"/>
        </w:rPr>
        <w:t>לא מצאתי ממש בטענה זו</w:t>
      </w:r>
      <w:r>
        <w:rPr>
          <w:rtl w:val="true"/>
        </w:rPr>
        <w:t xml:space="preserve">, </w:t>
      </w:r>
      <w:r>
        <w:rPr>
          <w:rtl w:val="true"/>
        </w:rPr>
        <w:t>שכן אין בה כדי לסייע למערער</w:t>
      </w:r>
      <w:r>
        <w:rPr>
          <w:rtl w:val="true"/>
        </w:rPr>
        <w:t xml:space="preserve">, </w:t>
      </w:r>
      <w:r>
        <w:rPr>
          <w:rtl w:val="true"/>
        </w:rPr>
        <w:t xml:space="preserve">משנקבע באופן מפורש </w:t>
      </w:r>
      <w:r>
        <w:rPr>
          <w:rFonts w:ascii="Century" w:hAnsi="Century" w:cs="Century"/>
          <w:sz w:val="22"/>
          <w:sz w:val="22"/>
          <w:rtl w:val="true"/>
        </w:rPr>
        <w:t>כי המסקנה שהמערער הוא שדקר את המנוח אינה נסמכת על עדותו של אכרם</w:t>
      </w:r>
      <w:r>
        <w:rPr>
          <w:rFonts w:cs="Century" w:ascii="Century" w:hAnsi="Century"/>
          <w:sz w:val="22"/>
          <w:rtl w:val="true"/>
        </w:rPr>
        <w:t xml:space="preserve">: </w:t>
      </w:r>
      <w:r>
        <w:rPr>
          <w:rtl w:val="true"/>
        </w:rPr>
        <w:t>באשר לעיקר השתלשלות האירועים שבמחלוקת הועדפה גרסתו של המערער על גרסתו של אכרם</w:t>
      </w:r>
      <w:r>
        <w:rPr>
          <w:rtl w:val="true"/>
        </w:rPr>
        <w:t xml:space="preserve">. </w:t>
      </w:r>
      <w:r>
        <w:rPr>
          <w:rtl w:val="true"/>
        </w:rPr>
        <w:t>כך</w:t>
      </w:r>
      <w:r>
        <w:rPr>
          <w:rtl w:val="true"/>
        </w:rPr>
        <w:t xml:space="preserve">, </w:t>
      </w:r>
      <w:r>
        <w:rPr>
          <w:rtl w:val="true"/>
        </w:rPr>
        <w:t>נקבע</w:t>
      </w:r>
      <w:r>
        <w:rPr>
          <w:rtl w:val="true"/>
        </w:rPr>
        <w:t xml:space="preserve">, </w:t>
      </w:r>
      <w:r>
        <w:rPr>
          <w:rtl w:val="true"/>
        </w:rPr>
        <w:t>בהתאם לגרסת המערער</w:t>
      </w:r>
      <w:r>
        <w:rPr>
          <w:rtl w:val="true"/>
        </w:rPr>
        <w:t xml:space="preserve">, </w:t>
      </w:r>
      <w:r>
        <w:rPr>
          <w:rtl w:val="true"/>
        </w:rPr>
        <w:t>כי הוא ואכרם שהו יחדיו בתוך הבית עת נכנס המנוח</w:t>
      </w:r>
      <w:r>
        <w:rPr>
          <w:rtl w:val="true"/>
        </w:rPr>
        <w:t xml:space="preserve">. </w:t>
      </w:r>
      <w:r>
        <w:rPr>
          <w:rtl w:val="true"/>
        </w:rPr>
        <w:t>באשר להתרחשות המאבק לאחר היציאה מדלת הבית</w:t>
      </w:r>
      <w:r>
        <w:rPr>
          <w:rtl w:val="true"/>
        </w:rPr>
        <w:t xml:space="preserve">, </w:t>
      </w:r>
      <w:r>
        <w:rPr>
          <w:rtl w:val="true"/>
        </w:rPr>
        <w:t>אכרם העיד כי כלל לא ראה את המתחרש</w:t>
      </w:r>
      <w:r>
        <w:rPr>
          <w:rtl w:val="true"/>
        </w:rPr>
        <w:t xml:space="preserve">, </w:t>
      </w:r>
      <w:r>
        <w:rPr>
          <w:rtl w:val="true"/>
        </w:rPr>
        <w:t>ובית המשפט קמא מצא להעדיף את גרסתו של האדי על פני גרסת המערער</w:t>
      </w:r>
      <w:r>
        <w:rPr>
          <w:rtl w:val="true"/>
        </w:rPr>
        <w:t xml:space="preserve">, </w:t>
      </w:r>
      <w:r>
        <w:rPr>
          <w:rtl w:val="true"/>
        </w:rPr>
        <w:t>תוך נימוק קביעותיו כדבעי והסתמכות על ראיות אובייקטיביות ככתמי התזת הדם ומיקומי החבלות</w:t>
      </w:r>
      <w:r>
        <w:rPr>
          <w:rtl w:val="true"/>
        </w:rPr>
        <w:t xml:space="preserve">. </w:t>
      </w:r>
      <w:r>
        <w:rPr>
          <w:rtl w:val="true"/>
        </w:rPr>
        <w:t>גם בנוגע להתרחשות לאחר שהגיעו השלושה למסעדה מצא בית המשפט קמא לדחות את עדותו של אכרם</w:t>
      </w:r>
      <w:r>
        <w:rPr>
          <w:rtl w:val="true"/>
        </w:rPr>
        <w:t xml:space="preserve">, </w:t>
      </w:r>
      <w:r>
        <w:rPr>
          <w:rtl w:val="true"/>
        </w:rPr>
        <w:t>תוך התייחסות לחשש בדבר תיאום הגרסאות</w:t>
      </w:r>
      <w:r>
        <w:rPr>
          <w:rtl w:val="true"/>
        </w:rPr>
        <w:t xml:space="preserve">, </w:t>
      </w:r>
      <w:r>
        <w:rPr>
          <w:rtl w:val="true"/>
        </w:rPr>
        <w:t>וקבע כי לא הוכח שאכרם או האדי ראו דם על המברג שהחזיק המערער או על בגדיו</w:t>
      </w:r>
      <w:r>
        <w:rPr>
          <w:rtl w:val="true"/>
        </w:rPr>
        <w:t xml:space="preserve">, </w:t>
      </w:r>
      <w:r>
        <w:rPr>
          <w:rtl w:val="true"/>
        </w:rPr>
        <w:t>או שהמערער התוודה בפניהם</w:t>
      </w:r>
      <w:r>
        <w:rPr>
          <w:rtl w:val="true"/>
        </w:rPr>
        <w:t>.</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למעשה</w:t>
      </w:r>
      <w:r>
        <w:rPr>
          <w:rtl w:val="true"/>
        </w:rPr>
        <w:t xml:space="preserve">, </w:t>
      </w:r>
      <w:r>
        <w:rPr>
          <w:rtl w:val="true"/>
        </w:rPr>
        <w:t>עדותו של אכרם הועדפה בשתי נקודות להן אין השלכה מהותית על התשתית העובדתית</w:t>
      </w:r>
      <w:r>
        <w:rPr>
          <w:rtl w:val="true"/>
        </w:rPr>
        <w:t xml:space="preserve">: </w:t>
      </w:r>
      <w:r>
        <w:rPr>
          <w:rtl w:val="true"/>
        </w:rPr>
        <w:t>האחת</w:t>
      </w:r>
      <w:r>
        <w:rPr>
          <w:rtl w:val="true"/>
        </w:rPr>
        <w:t xml:space="preserve">, </w:t>
      </w:r>
      <w:r>
        <w:rPr>
          <w:rtl w:val="true"/>
        </w:rPr>
        <w:t>לעניין חלוקת המברגים</w:t>
      </w:r>
      <w:r>
        <w:rPr>
          <w:rtl w:val="true"/>
        </w:rPr>
        <w:t xml:space="preserve">. </w:t>
      </w:r>
      <w:r>
        <w:rPr>
          <w:rtl w:val="true"/>
        </w:rPr>
        <w:t xml:space="preserve">בא כוח המערער טען בדיון לפנינו כי חלוקה זו מקובלת עליו לחלוטין </w:t>
      </w:r>
      <w:r>
        <w:rPr>
          <w:rtl w:val="true"/>
        </w:rPr>
        <w:t>(</w:t>
      </w:r>
      <w:r>
        <w:rPr>
          <w:rtl w:val="true"/>
        </w:rPr>
        <w:t>פרוטוקול עמ</w:t>
      </w:r>
      <w:r>
        <w:rPr>
          <w:rtl w:val="true"/>
        </w:rPr>
        <w:t xml:space="preserve">' </w:t>
      </w:r>
      <w:r>
        <w:rPr/>
        <w:t>10</w:t>
      </w:r>
      <w:r>
        <w:rPr>
          <w:rtl w:val="true"/>
        </w:rPr>
        <w:t xml:space="preserve"> </w:t>
      </w:r>
      <w:r>
        <w:rPr>
          <w:rtl w:val="true"/>
        </w:rPr>
        <w:t>ש</w:t>
      </w:r>
      <w:r>
        <w:rPr>
          <w:rtl w:val="true"/>
        </w:rPr>
        <w:t xml:space="preserve">' </w:t>
      </w:r>
      <w:r>
        <w:rPr/>
        <w:t>2</w:t>
      </w:r>
      <w:r>
        <w:rPr>
          <w:rFonts w:cs="Century" w:ascii="Century" w:hAnsi="Century"/>
          <w:sz w:val="22"/>
          <w:rtl w:val="true"/>
        </w:rPr>
        <w:t xml:space="preserve">), </w:t>
      </w:r>
      <w:r>
        <w:rPr>
          <w:rFonts w:ascii="Century" w:hAnsi="Century" w:cs="Century"/>
          <w:sz w:val="22"/>
          <w:sz w:val="22"/>
          <w:rtl w:val="true"/>
        </w:rPr>
        <w:t>מה שמלמדנו על אמיתות גרסתו של אכרם בנקודה זו</w:t>
      </w:r>
      <w:r>
        <w:rPr>
          <w:rFonts w:cs="Century" w:ascii="Century" w:hAnsi="Century"/>
          <w:sz w:val="22"/>
          <w:rtl w:val="true"/>
        </w:rPr>
        <w:t xml:space="preserve">. </w:t>
      </w:r>
      <w:r>
        <w:rPr>
          <w:rFonts w:ascii="Century" w:hAnsi="Century" w:cs="Century"/>
          <w:sz w:val="22"/>
          <w:sz w:val="22"/>
          <w:rtl w:val="true"/>
        </w:rPr>
        <w:t>השנייה</w:t>
      </w:r>
      <w:r>
        <w:rPr>
          <w:rFonts w:cs="Century" w:ascii="Century" w:hAnsi="Century"/>
          <w:sz w:val="22"/>
          <w:rtl w:val="true"/>
        </w:rPr>
        <w:t xml:space="preserve">, </w:t>
      </w:r>
      <w:r>
        <w:rPr>
          <w:rFonts w:ascii="Century" w:hAnsi="Century" w:cs="Century"/>
          <w:sz w:val="22"/>
          <w:sz w:val="22"/>
          <w:rtl w:val="true"/>
        </w:rPr>
        <w:t>שנתמכה גם בעדותו של האדי</w:t>
      </w:r>
      <w:r>
        <w:rPr>
          <w:rFonts w:cs="Century" w:ascii="Century" w:hAnsi="Century"/>
          <w:sz w:val="22"/>
          <w:rtl w:val="true"/>
        </w:rPr>
        <w:t xml:space="preserve">, </w:t>
      </w:r>
      <w:r>
        <w:rPr>
          <w:rFonts w:ascii="Century" w:hAnsi="Century" w:cs="Century"/>
          <w:sz w:val="22"/>
          <w:sz w:val="22"/>
          <w:rtl w:val="true"/>
        </w:rPr>
        <w:t>כי אכרם שוחח עם המערער ועם האדי על האירוע מספר ימים לאחר שארע</w:t>
      </w:r>
      <w:r>
        <w:rPr>
          <w:rFonts w:cs="Century" w:ascii="Century" w:hAnsi="Century"/>
          <w:sz w:val="22"/>
          <w:rtl w:val="true"/>
        </w:rPr>
        <w:t xml:space="preserve">. </w:t>
      </w:r>
      <w:r>
        <w:rPr>
          <w:rFonts w:ascii="Century" w:hAnsi="Century" w:cs="Century"/>
          <w:sz w:val="22"/>
          <w:sz w:val="22"/>
          <w:rtl w:val="true"/>
        </w:rPr>
        <w:t>לא מצאתי שיש בקביעה זו להשליך באופן מהותי על התשתית העובדתית</w:t>
      </w:r>
      <w:r>
        <w:rPr>
          <w:rFonts w:cs="Century" w:ascii="Century" w:hAnsi="Century"/>
          <w:sz w:val="22"/>
          <w:rtl w:val="true"/>
        </w:rPr>
        <w:t xml:space="preserve">, </w:t>
      </w:r>
      <w:r>
        <w:rPr>
          <w:rFonts w:ascii="Century" w:hAnsi="Century" w:cs="Century"/>
          <w:sz w:val="22"/>
          <w:sz w:val="22"/>
          <w:rtl w:val="true"/>
        </w:rPr>
        <w:t>וכפי שיפורט להלן בהרחבה</w:t>
      </w:r>
      <w:r>
        <w:rPr>
          <w:rFonts w:cs="Century" w:ascii="Century" w:hAnsi="Century"/>
          <w:sz w:val="22"/>
          <w:rtl w:val="true"/>
        </w:rPr>
        <w:t xml:space="preserve">, </w:t>
      </w:r>
      <w:r>
        <w:rPr>
          <w:rFonts w:ascii="Century" w:hAnsi="Century" w:cs="Century"/>
          <w:sz w:val="22"/>
          <w:sz w:val="22"/>
          <w:rtl w:val="true"/>
        </w:rPr>
        <w:t>גם לא על המסקנה כי המערער הוא הדוקר</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הנה כי כן</w:t>
      </w:r>
      <w:r>
        <w:rPr>
          <w:rFonts w:cs="Century" w:ascii="Century" w:hAnsi="Century"/>
          <w:sz w:val="22"/>
          <w:rtl w:val="true"/>
        </w:rPr>
        <w:t xml:space="preserve">, </w:t>
      </w:r>
      <w:r>
        <w:rPr>
          <w:rtl w:val="true"/>
        </w:rPr>
        <w:t>סבורני כי השימוש בעדותו של אכרם נעשה במשורה ובזהירות</w:t>
      </w:r>
      <w:r>
        <w:rPr>
          <w:rtl w:val="true"/>
        </w:rPr>
        <w:t xml:space="preserve">, </w:t>
      </w:r>
      <w:r>
        <w:rPr>
          <w:rtl w:val="true"/>
        </w:rPr>
        <w:t>בנקודות שאינן במרכז המחלוקת</w:t>
      </w:r>
      <w:r>
        <w:rPr>
          <w:rtl w:val="true"/>
        </w:rPr>
        <w:t xml:space="preserve">, </w:t>
      </w:r>
      <w:r>
        <w:rPr>
          <w:rtl w:val="true"/>
        </w:rPr>
        <w:t>ולא מצאתי בכך פגם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המערער הלין עוד על פועלו של בית המשפט קמא ש</w:t>
      </w:r>
      <w:r>
        <w:rPr>
          <w:rtl w:val="true"/>
        </w:rPr>
        <w:t>"</w:t>
      </w:r>
      <w:r>
        <w:rPr>
          <w:rtl w:val="true"/>
        </w:rPr>
        <w:t>מדקדק בכל פרט ופרט משל היה מדובר בסרט שניתן לצפות בו</w:t>
      </w:r>
      <w:r>
        <w:rPr>
          <w:rtl w:val="true"/>
        </w:rPr>
        <w:t xml:space="preserve">, </w:t>
      </w:r>
      <w:r>
        <w:rPr>
          <w:rtl w:val="true"/>
        </w:rPr>
        <w:t>בלחיצת כפתור השלט</w:t>
      </w:r>
      <w:r>
        <w:rPr>
          <w:rtl w:val="true"/>
        </w:rPr>
        <w:t xml:space="preserve">, </w:t>
      </w:r>
      <w:r>
        <w:rPr>
          <w:rtl w:val="true"/>
        </w:rPr>
        <w:t>בהילוך איטי</w:t>
      </w:r>
      <w:r>
        <w:rPr>
          <w:rtl w:val="true"/>
        </w:rPr>
        <w:t xml:space="preserve">" </w:t>
      </w:r>
      <w:r>
        <w:rPr>
          <w:rtl w:val="true"/>
        </w:rPr>
        <w:t xml:space="preserve">וזאת אף </w:t>
      </w:r>
      <w:r>
        <w:rPr>
          <w:rtl w:val="true"/>
        </w:rPr>
        <w:t>"</w:t>
      </w:r>
      <w:r>
        <w:rPr>
          <w:rtl w:val="true"/>
        </w:rPr>
        <w:t>שהיה מדובר באירוע דינאמי</w:t>
      </w:r>
      <w:r>
        <w:rPr>
          <w:rtl w:val="true"/>
        </w:rPr>
        <w:t xml:space="preserve">, </w:t>
      </w:r>
      <w:r>
        <w:rPr>
          <w:rtl w:val="true"/>
        </w:rPr>
        <w:t>מפתיע ומסעיר שהתרחש ב</w:t>
      </w:r>
      <w:r>
        <w:rPr>
          <w:rtl w:val="true"/>
        </w:rPr>
        <w:t>'</w:t>
      </w:r>
      <w:r>
        <w:rPr>
          <w:rtl w:val="true"/>
        </w:rPr>
        <w:t>תנאי קרב</w:t>
      </w:r>
      <w:r>
        <w:rPr>
          <w:rtl w:val="true"/>
        </w:rPr>
        <w:t xml:space="preserve">' </w:t>
      </w:r>
      <w:r>
        <w:rPr>
          <w:rtl w:val="true"/>
        </w:rPr>
        <w:t>ולא ב</w:t>
      </w:r>
      <w:r>
        <w:rPr>
          <w:rtl w:val="true"/>
        </w:rPr>
        <w:t>'</w:t>
      </w:r>
      <w:r>
        <w:rPr>
          <w:rtl w:val="true"/>
        </w:rPr>
        <w:t>תנאי מעבדה</w:t>
      </w:r>
      <w:r>
        <w:rPr>
          <w:rtl w:val="true"/>
        </w:rPr>
        <w:t xml:space="preserve">'". </w:t>
      </w:r>
      <w:r>
        <w:rPr>
          <w:rtl w:val="true"/>
        </w:rPr>
        <w:t>לא מצאתי כל פגם באופן בו פעל בית המשפט קמא</w:t>
      </w:r>
      <w:r>
        <w:rPr>
          <w:rtl w:val="true"/>
        </w:rPr>
        <w:t xml:space="preserve">. </w:t>
      </w:r>
      <w:r>
        <w:rPr>
          <w:rtl w:val="true"/>
        </w:rPr>
        <w:t>מלאכת הכרעת הדין היא מסע שמטרתו להגיע לחקר האמת תוך התחקות אחר אותות האמת בבחינת מארג העדויות והראיות</w:t>
      </w:r>
      <w:r>
        <w:rPr>
          <w:rtl w:val="true"/>
        </w:rPr>
        <w:t xml:space="preserve">. </w:t>
      </w:r>
      <w:r>
        <w:rPr>
          <w:rtl w:val="true"/>
        </w:rPr>
        <w:t>מהכרעת הדין המפורטת עולה כי בית המשפט קמא בחן את הדברים בקפדנות וביסודיות</w:t>
      </w:r>
      <w:r>
        <w:rPr>
          <w:rtl w:val="true"/>
        </w:rPr>
        <w:t xml:space="preserve">, </w:t>
      </w:r>
      <w:r>
        <w:rPr>
          <w:rtl w:val="true"/>
        </w:rPr>
        <w:t>תוך בחינה מדוקדקת של כל שלב ברגעיו הקריטיים של האירוע</w:t>
      </w:r>
      <w:r>
        <w:rPr>
          <w:rtl w:val="true"/>
        </w:rPr>
        <w:t xml:space="preserve">, </w:t>
      </w:r>
      <w:r>
        <w:rPr>
          <w:rtl w:val="true"/>
        </w:rPr>
        <w:t>ולא הותיר אבן לא הפוכה בפועלו לחקר האמת</w:t>
      </w:r>
      <w:r>
        <w:rPr>
          <w:rtl w:val="true"/>
        </w:rPr>
        <w:t xml:space="preserve">. </w:t>
      </w:r>
      <w:r>
        <w:rPr>
          <w:rtl w:val="true"/>
        </w:rPr>
        <w:t>לא מצאתי בכך כל טעם לפגם</w:t>
      </w:r>
      <w:r>
        <w:rPr>
          <w:rtl w:val="true"/>
        </w:rPr>
        <w:t xml:space="preserve">, </w:t>
      </w:r>
      <w:r>
        <w:rPr>
          <w:rtl w:val="true"/>
        </w:rPr>
        <w:t>ההפך הוא הנכון</w:t>
      </w:r>
      <w:r>
        <w:rPr>
          <w:rtl w:val="true"/>
        </w:rPr>
        <w:t xml:space="preserve">. </w:t>
      </w:r>
      <w:r>
        <w:rPr>
          <w:rtl w:val="true"/>
        </w:rPr>
        <w:t>למעלה מכך</w:t>
      </w:r>
      <w:r>
        <w:rPr>
          <w:rtl w:val="true"/>
        </w:rPr>
        <w:t xml:space="preserve">, </w:t>
      </w:r>
      <w:r>
        <w:rPr>
          <w:rtl w:val="true"/>
        </w:rPr>
        <w:t>וכפי שיפורט עוד בהמשך</w:t>
      </w:r>
      <w:r>
        <w:rPr>
          <w:rtl w:val="true"/>
        </w:rPr>
        <w:t xml:space="preserve">, </w:t>
      </w:r>
      <w:r>
        <w:rPr>
          <w:rtl w:val="true"/>
        </w:rPr>
        <w:t>בית המשפט קמא לא פסל על הסף תרחישים אחרים</w:t>
      </w:r>
      <w:r>
        <w:rPr>
          <w:rtl w:val="true"/>
        </w:rPr>
        <w:t xml:space="preserve">, </w:t>
      </w:r>
      <w:r>
        <w:rPr>
          <w:rtl w:val="true"/>
        </w:rPr>
        <w:t>ובחן אותם לפרטי פרטים</w:t>
      </w:r>
      <w:r>
        <w:rPr>
          <w:rtl w:val="true"/>
        </w:rPr>
        <w:t xml:space="preserve">. </w:t>
      </w:r>
      <w:r>
        <w:rPr>
          <w:rtl w:val="true"/>
        </w:rPr>
        <w:t>המערער מבקש למעשה כי בהעדר עדויות אובייקטיביות לתיאור ההתרחשויות</w:t>
      </w:r>
      <w:r>
        <w:rPr>
          <w:rtl w:val="true"/>
        </w:rPr>
        <w:t xml:space="preserve">, </w:t>
      </w:r>
      <w:r>
        <w:rPr>
          <w:rtl w:val="true"/>
        </w:rPr>
        <w:t>ימנע בית המשפט מקביעת ממצאים עובדתיים</w:t>
      </w:r>
      <w:r>
        <w:rPr>
          <w:rtl w:val="true"/>
        </w:rPr>
        <w:t xml:space="preserve">. </w:t>
      </w:r>
      <w:r>
        <w:rPr>
          <w:rtl w:val="true"/>
        </w:rPr>
        <w:t>גישה זו אין לקבל</w:t>
      </w:r>
      <w:r>
        <w:rPr>
          <w:rtl w:val="true"/>
        </w:rPr>
        <w:t xml:space="preserve">. </w:t>
      </w:r>
      <w:r>
        <w:rPr>
          <w:rtl w:val="true"/>
        </w:rPr>
        <w:t xml:space="preserve">יפים לעניין זה דברי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cs="Century" w:ascii="Century" w:hAnsi="Century"/>
          <w:sz w:val="22"/>
          <w:rtl w:val="true"/>
        </w:rPr>
        <w:t>:</w:t>
      </w:r>
    </w:p>
    <w:p>
      <w:pPr>
        <w:pStyle w:val="Ruller42"/>
        <w:numPr>
          <w:ilvl w:val="0"/>
          <w:numId w:val="0"/>
        </w:numPr>
        <w:ind w:hanging="0" w:start="0" w:end="0"/>
        <w:jc w:val="both"/>
        <w:rPr/>
      </w:pPr>
      <w:r>
        <w:rPr>
          <w:rtl w:val="true"/>
        </w:rPr>
      </w:r>
    </w:p>
    <w:p>
      <w:pPr>
        <w:pStyle w:val="Ruller51"/>
        <w:ind w:end="1282"/>
        <w:jc w:val="both"/>
        <w:rPr/>
      </w:pPr>
      <w:r>
        <w:rPr>
          <w:rtl w:val="true"/>
        </w:rPr>
        <w:tab/>
      </w:r>
      <w:r>
        <w:rPr>
          <w:rtl w:val="true"/>
        </w:rPr>
        <w:t>"</w:t>
      </w:r>
      <w:r>
        <w:rPr>
          <w:rtl w:val="true"/>
        </w:rPr>
        <w:t>גם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שעדי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מסרו</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שחלקן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שקרי</w:t>
      </w:r>
      <w:r>
        <w:rPr>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לדרגותיהם</w:t>
      </w:r>
      <w:r>
        <w:rPr>
          <w:rFonts w:eastAsia="Arial TUR;Arial" w:cs="Arial TUR;Arial"/>
          <w:rtl w:val="true"/>
        </w:rPr>
        <w:t xml:space="preserve"> </w:t>
      </w:r>
      <w:r>
        <w:rPr>
          <w:rtl w:val="true"/>
        </w:rPr>
        <w:t>מתמודדים</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ביומו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והודעות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מקשה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אמת</w:t>
      </w:r>
      <w:r>
        <w:rPr>
          <w:rtl w:val="true"/>
        </w:rPr>
        <w:t xml:space="preserve">, </w:t>
      </w:r>
      <w:r>
        <w:rPr>
          <w:rtl w:val="true"/>
        </w:rPr>
        <w:t>ועליהם</w:t>
      </w:r>
      <w:r>
        <w:rPr>
          <w:rFonts w:eastAsia="Arial TUR;Arial" w:cs="Arial TUR;Arial"/>
          <w:rtl w:val="true"/>
        </w:rPr>
        <w:t xml:space="preserve"> </w:t>
      </w:r>
      <w:r>
        <w:rPr>
          <w:rtl w:val="true"/>
        </w:rPr>
        <w:t>לחלץ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אותות</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המוצגות</w:t>
      </w:r>
      <w:r>
        <w:rPr>
          <w:rFonts w:eastAsia="Arial TUR;Arial" w:cs="Arial TUR;Arial"/>
          <w:rtl w:val="true"/>
        </w:rPr>
        <w:t xml:space="preserve"> </w:t>
      </w:r>
      <w:r>
        <w:rPr>
          <w:rtl w:val="true"/>
        </w:rPr>
        <w:t>בפניהם</w:t>
      </w:r>
      <w:r>
        <w:rPr>
          <w:rtl w:val="true"/>
        </w:rPr>
        <w:t xml:space="preserve">. </w:t>
      </w:r>
      <w:r>
        <w:rPr>
          <w:rtl w:val="true"/>
        </w:rPr>
        <w:t>גם</w:t>
      </w:r>
      <w:r>
        <w:rPr>
          <w:rFonts w:eastAsia="Arial TUR;Arial" w:cs="Arial TUR;Arial"/>
          <w:rtl w:val="true"/>
        </w:rPr>
        <w:t xml:space="preserve"> </w:t>
      </w:r>
      <w:r>
        <w:rPr>
          <w:rtl w:val="true"/>
        </w:rPr>
        <w:t>כשעסקינן</w:t>
      </w:r>
      <w:r>
        <w:rPr>
          <w:rFonts w:eastAsia="Arial TUR;Arial" w:cs="Arial TUR;Arial"/>
          <w:rtl w:val="true"/>
        </w:rPr>
        <w:t xml:space="preserve"> </w:t>
      </w:r>
      <w:r>
        <w:rPr>
          <w:rtl w:val="true"/>
        </w:rPr>
        <w:t>בעדים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מל</w:t>
      </w:r>
      <w:r>
        <w:rPr>
          <w:rtl w:val="true"/>
        </w:rPr>
        <w:t>"</w:t>
      </w:r>
      <w:r>
        <w:rPr>
          <w:rtl w:val="true"/>
        </w:rPr>
        <w:t>ו</w:t>
      </w:r>
      <w:r>
        <w:rPr>
          <w:rFonts w:eastAsia="Arial TUR;Arial" w:cs="Arial TUR;Arial"/>
          <w:rtl w:val="true"/>
        </w:rPr>
        <w:t xml:space="preserve"> </w:t>
      </w:r>
      <w:r>
        <w:rPr>
          <w:rtl w:val="true"/>
        </w:rPr>
        <w:t>צדיקים</w:t>
      </w:r>
      <w:r>
        <w:rPr>
          <w:rtl w:val="true"/>
        </w:rPr>
        <w:t xml:space="preserve">, </w:t>
      </w:r>
      <w:r>
        <w:rPr>
          <w:rtl w:val="true"/>
        </w:rPr>
        <w:t>והעולם</w:t>
      </w:r>
      <w:r>
        <w:rPr>
          <w:rFonts w:eastAsia="Arial TUR;Arial" w:cs="Arial TUR;Arial"/>
          <w:rtl w:val="true"/>
        </w:rPr>
        <w:t xml:space="preserve"> </w:t>
      </w:r>
      <w:r>
        <w:rPr>
          <w:rtl w:val="true"/>
        </w:rPr>
        <w:t>העברייני</w:t>
      </w:r>
      <w:r>
        <w:rPr>
          <w:rFonts w:eastAsia="Arial TUR;Arial" w:cs="Arial TUR;Arial"/>
          <w:rtl w:val="true"/>
        </w:rPr>
        <w:t xml:space="preserve"> </w:t>
      </w:r>
      <w:r>
        <w:rPr>
          <w:rtl w:val="true"/>
        </w:rPr>
        <w:t>מצמיח</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מעטים</w:t>
      </w:r>
      <w:r>
        <w:rPr>
          <w:rFonts w:eastAsia="Arial TUR;Arial" w:cs="Arial TUR;Arial"/>
          <w:rtl w:val="true"/>
        </w:rPr>
        <w:t xml:space="preserve"> </w:t>
      </w:r>
      <w:r>
        <w:rPr>
          <w:rtl w:val="true"/>
        </w:rPr>
        <w:t>כאלה</w:t>
      </w:r>
      <w:r>
        <w:rPr>
          <w:rtl w:val="true"/>
        </w:rPr>
        <w:t xml:space="preserve">, </w:t>
      </w:r>
      <w:r>
        <w:rPr>
          <w:rtl w:val="true"/>
        </w:rPr>
        <w:t>אין</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לחסום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אכיפת</w:t>
      </w:r>
      <w:r>
        <w:rPr>
          <w:rFonts w:eastAsia="Arial TUR;Arial" w:cs="Arial TUR;Arial"/>
          <w:rtl w:val="true"/>
        </w:rPr>
        <w:t xml:space="preserve"> </w:t>
      </w:r>
      <w:r>
        <w:rPr>
          <w:rtl w:val="true"/>
        </w:rPr>
        <w:t>החוק</w:t>
      </w:r>
      <w:r>
        <w:rPr>
          <w:rtl w:val="true"/>
        </w:rPr>
        <w:t xml:space="preserve">. </w:t>
      </w:r>
      <w:r>
        <w:rPr>
          <w:rtl w:val="true"/>
        </w:rPr>
        <w:t>לא</w:t>
      </w:r>
      <w:r>
        <w:rPr>
          <w:rFonts w:eastAsia="Arial TUR;Arial" w:cs="Arial TUR;Arial"/>
          <w:rtl w:val="true"/>
        </w:rPr>
        <w:t xml:space="preserve"> </w:t>
      </w:r>
      <w:r>
        <w:rPr>
          <w:rtl w:val="true"/>
        </w:rPr>
        <w:t>בעולם</w:t>
      </w:r>
      <w:r>
        <w:rPr>
          <w:rFonts w:eastAsia="Arial TUR;Arial" w:cs="Arial TUR;Arial"/>
          <w:rtl w:val="true"/>
        </w:rPr>
        <w:t xml:space="preserve"> </w:t>
      </w:r>
      <w:r>
        <w:rPr>
          <w:rtl w:val="true"/>
        </w:rPr>
        <w:t>אידיאלי</w:t>
      </w:r>
      <w:r>
        <w:rPr>
          <w:rFonts w:eastAsia="Arial TUR;Arial" w:cs="Arial TUR;Arial"/>
          <w:rtl w:val="true"/>
        </w:rPr>
        <w:t xml:space="preserve"> </w:t>
      </w:r>
      <w:r>
        <w:rPr>
          <w:rtl w:val="true"/>
        </w:rPr>
        <w:t>עסקינן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במציאות</w:t>
      </w:r>
      <w:r>
        <w:rPr>
          <w:rFonts w:eastAsia="Arial TUR;Arial" w:cs="Arial TUR;Arial"/>
          <w:rtl w:val="true"/>
        </w:rPr>
        <w:t xml:space="preserve"> </w:t>
      </w:r>
      <w:r>
        <w:rPr>
          <w:rtl w:val="true"/>
        </w:rPr>
        <w:t>מורכבת</w:t>
      </w:r>
      <w:r>
        <w:rPr>
          <w:rtl w:val="true"/>
        </w:rPr>
        <w:t>..."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8591/10</w:t>
        </w:r>
      </w:hyperlink>
      <w:r>
        <w:rPr>
          <w:rtl w:val="true"/>
        </w:rPr>
        <w:t xml:space="preserve"> </w:t>
      </w:r>
      <w:r>
        <w:rPr>
          <w:rFonts w:ascii="Century" w:hAnsi="Century" w:cs="Miriam"/>
          <w:b/>
          <w:b/>
          <w:spacing w:val="0"/>
          <w:szCs w:val="24"/>
          <w:rtl w:val="true"/>
        </w:rPr>
        <w:t>נחום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rtl w:val="true"/>
        </w:rPr>
        <w:t>ל</w:t>
      </w:r>
      <w:r>
        <w:rPr>
          <w:rtl w:val="true"/>
        </w:rPr>
        <w:t>' (</w:t>
      </w:r>
      <w:r>
        <w:rPr>
          <w:sz w:val="28"/>
        </w:rPr>
        <w:t>17.7.2011</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מכל האמור עולה כי לא נפל פגם באופן בו קבע בית המשפט קמא את התשתית העובדתית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התרחישים</w:t>
      </w:r>
      <w:r>
        <w:rPr>
          <w:rFonts w:ascii="Century" w:hAnsi="Century" w:eastAsia="Century" w:cs="Century"/>
          <w:b/>
          <w:b/>
          <w:spacing w:val="0"/>
          <w:szCs w:val="24"/>
          <w:rtl w:val="true"/>
        </w:rPr>
        <w:t xml:space="preserve"> </w:t>
      </w:r>
      <w:r>
        <w:rPr>
          <w:rFonts w:ascii="Century" w:hAnsi="Century" w:cs="Miriam"/>
          <w:b/>
          <w:b/>
          <w:spacing w:val="0"/>
          <w:szCs w:val="24"/>
          <w:rtl w:val="true"/>
        </w:rPr>
        <w:t>החלופיים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טען כי אינו חולק על כך שהתרחיש שקבע בית המשפט קמא אפשרי</w:t>
      </w:r>
      <w:r>
        <w:rPr>
          <w:rtl w:val="true"/>
        </w:rPr>
        <w:t xml:space="preserve">, </w:t>
      </w:r>
      <w:r>
        <w:rPr>
          <w:rtl w:val="true"/>
        </w:rPr>
        <w:t>אלא שלטענתו ישנם שלושה תרחישים סבירים אפשריים</w:t>
      </w:r>
      <w:r>
        <w:rPr>
          <w:rtl w:val="true"/>
        </w:rPr>
        <w:t xml:space="preserve">. </w:t>
      </w:r>
      <w:r>
        <w:rPr>
          <w:rtl w:val="true"/>
        </w:rPr>
        <w:t>שכן</w:t>
      </w:r>
      <w:r>
        <w:rPr>
          <w:rtl w:val="true"/>
        </w:rPr>
        <w:t xml:space="preserve">, </w:t>
      </w:r>
      <w:r>
        <w:rPr>
          <w:rtl w:val="true"/>
        </w:rPr>
        <w:t>לשיטתו</w:t>
      </w:r>
      <w:r>
        <w:rPr>
          <w:rtl w:val="true"/>
        </w:rPr>
        <w:t xml:space="preserve">, </w:t>
      </w:r>
      <w:r>
        <w:rPr>
          <w:rtl w:val="true"/>
        </w:rPr>
        <w:t>לא ניתן לפסול את האפשרות שהאדי או אכרם הם שדקרו את המנוח</w:t>
      </w:r>
      <w:r>
        <w:rPr>
          <w:rtl w:val="true"/>
        </w:rPr>
        <w:t xml:space="preserve">, </w:t>
      </w:r>
      <w:r>
        <w:rPr>
          <w:rtl w:val="true"/>
        </w:rPr>
        <w:t>ומשכך</w:t>
      </w:r>
      <w:r>
        <w:rPr>
          <w:rtl w:val="true"/>
        </w:rPr>
        <w:t xml:space="preserve">, </w:t>
      </w:r>
      <w:r>
        <w:rPr>
          <w:rtl w:val="true"/>
        </w:rPr>
        <w:t>לא הוכחה אשמתו מעבר לכל ספק סביר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כידוע</w:t>
      </w:r>
      <w:r>
        <w:rPr>
          <w:rtl w:val="true"/>
        </w:rPr>
        <w:t xml:space="preserve">, </w:t>
      </w:r>
      <w:r>
        <w:rPr>
          <w:rtl w:val="true"/>
        </w:rPr>
        <w:t>מידת ההוכחה הנדרשת במשפט פלילי אינה ודאות מוחלטת</w:t>
      </w:r>
      <w:r>
        <w:rPr>
          <w:rtl w:val="true"/>
        </w:rPr>
        <w:t xml:space="preserve">, </w:t>
      </w:r>
      <w:r>
        <w:rPr>
          <w:rtl w:val="true"/>
        </w:rPr>
        <w:t>אלא שכנוע מע</w:t>
      </w:r>
      <w:r>
        <w:rPr>
          <w:rtl w:val="true"/>
        </w:rPr>
        <w:t>בר ל</w:t>
      </w:r>
      <w:r>
        <w:rPr>
          <w:rtl w:val="true"/>
        </w:rPr>
        <w:t>ספק סביר</w:t>
      </w:r>
      <w:r>
        <w:rPr>
          <w:rtl w:val="true"/>
        </w:rPr>
        <w:t xml:space="preserve">. </w:t>
      </w:r>
      <w:r>
        <w:rPr>
          <w:rtl w:val="true"/>
        </w:rPr>
        <w:t xml:space="preserve">ספק </w:t>
      </w:r>
      <w:r>
        <w:rPr>
          <w:rtl w:val="true"/>
        </w:rPr>
        <w:t>זה</w:t>
      </w:r>
      <w:r>
        <w:rPr>
          <w:rtl w:val="true"/>
        </w:rPr>
        <w:t xml:space="preserve"> </w:t>
      </w:r>
      <w:r>
        <w:rPr>
          <w:rtl w:val="true"/>
        </w:rPr>
        <w:t>מתגבש</w:t>
      </w:r>
      <w:r>
        <w:rPr>
          <w:rtl w:val="true"/>
        </w:rPr>
        <w:t xml:space="preserve"> כאשר ההסתברות לחפות העולה מן הראיות היא ממשית ואינה אך בגדר אפשרות תאורטית רחוקה</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107/08</w:t>
        </w:r>
      </w:hyperlink>
      <w:r>
        <w:rPr>
          <w:rtl w:val="true"/>
        </w:rPr>
        <w:t xml:space="preserve"> </w:t>
      </w:r>
      <w:r>
        <w:rPr>
          <w:rFonts w:cs="Miriam"/>
          <w:b/>
          <w:b/>
          <w:spacing w:val="0"/>
          <w:szCs w:val="24"/>
          <w:rtl w:val="true"/>
        </w:rPr>
        <w:t>אלמהדי</w:t>
      </w:r>
      <w:r>
        <w:rPr>
          <w:rFonts w:eastAsia="Garamond"/>
          <w:b/>
          <w:b/>
          <w:spacing w:val="0"/>
          <w:szCs w:val="24"/>
          <w:rtl w:val="true"/>
        </w:rPr>
        <w:t xml:space="preserve"> </w:t>
      </w:r>
      <w:r>
        <w:rPr>
          <w:rFonts w:cs="Miriam"/>
          <w:b/>
          <w:b/>
          <w:spacing w:val="0"/>
          <w:szCs w:val="24"/>
          <w:rtl w:val="true"/>
        </w:rPr>
        <w:t>ע</w:t>
      </w:r>
      <w:r>
        <w:rPr>
          <w:rFonts w:cs="Miriam"/>
          <w:b/>
          <w:spacing w:val="0"/>
          <w:szCs w:val="24"/>
          <w:rtl w:val="true"/>
        </w:rPr>
        <w:t>'</w:t>
      </w:r>
      <w:r>
        <w:rPr>
          <w:rFonts w:cs="Miriam"/>
          <w:b/>
          <w:b/>
          <w:spacing w:val="0"/>
          <w:szCs w:val="24"/>
          <w:rtl w:val="true"/>
        </w:rPr>
        <w:t>ית</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17</w:t>
      </w:r>
      <w:r>
        <w:rPr>
          <w:rtl w:val="true"/>
        </w:rPr>
        <w:t xml:space="preserve"> </w:t>
      </w:r>
      <w:r>
        <w:rPr>
          <w:rtl w:val="true"/>
        </w:rPr>
        <w:t>והאסמכתאות שם</w:t>
      </w:r>
      <w:r>
        <w:rPr>
          <w:rtl w:val="true"/>
        </w:rPr>
        <w:t xml:space="preserve"> </w:t>
      </w:r>
      <w:r>
        <w:rPr>
          <w:rtl w:val="true"/>
        </w:rPr>
        <w:t>(</w:t>
      </w:r>
      <w:r>
        <w:rPr/>
        <w:t>3.2.2010</w:t>
      </w:r>
      <w:r>
        <w:rPr>
          <w:rtl w:val="true"/>
        </w:rPr>
        <w:t>)</w:t>
      </w:r>
      <w:r>
        <w:rPr>
          <w:rtl w:val="true"/>
        </w:rPr>
        <w:t xml:space="preserve">; </w:t>
      </w:r>
      <w:r>
        <w:rPr>
          <w:rFonts w:ascii="Century" w:hAnsi="Century" w:cs="Century"/>
          <w:sz w:val="22"/>
          <w:sz w:val="22"/>
          <w:rtl w:val="true"/>
        </w:rPr>
        <w:t>ב</w:t>
      </w:r>
      <w:hyperlink r:id="rId6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3834/10</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והבה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rtl w:val="true"/>
        </w:rPr>
        <w:t>(</w:t>
      </w:r>
      <w:r>
        <w:rPr>
          <w:rFonts w:cs="Times New Roman" w:ascii="Times New Roman" w:hAnsi="Times New Roman"/>
        </w:rPr>
        <w:t>6.3.2013</w:t>
      </w:r>
      <w:r>
        <w:rPr>
          <w:rFonts w:cs="Times New Roman" w:ascii="Times New Roman" w:hAnsi="Times New Roman"/>
          <w:rtl w:val="true"/>
        </w:rPr>
        <w:t>))</w:t>
      </w:r>
      <w:r>
        <w:rPr>
          <w:rtl w:val="true"/>
        </w:rPr>
        <w:t xml:space="preserve">. </w:t>
      </w:r>
      <w:r>
        <w:rPr>
          <w:rtl w:val="true"/>
        </w:rPr>
        <w:t>קיומו של ספק סביר</w:t>
      </w:r>
      <w:r>
        <w:rPr>
          <w:rtl w:val="true"/>
        </w:rPr>
        <w:t xml:space="preserve">, </w:t>
      </w:r>
      <w:r>
        <w:rPr>
          <w:rtl w:val="true"/>
        </w:rPr>
        <w:t>ככל שהוא נוגע לראיות נסיבתיות מפלילות</w:t>
      </w:r>
      <w:r>
        <w:rPr>
          <w:rtl w:val="true"/>
        </w:rPr>
        <w:t xml:space="preserve">, </w:t>
      </w:r>
      <w:r>
        <w:rPr>
          <w:rtl w:val="true"/>
        </w:rPr>
        <w:t>כבענייננו</w:t>
      </w:r>
      <w:r>
        <w:rPr>
          <w:rtl w:val="true"/>
        </w:rPr>
        <w:t>, "</w:t>
      </w:r>
      <w:r>
        <w:rPr>
          <w:rtl w:val="true"/>
        </w:rPr>
        <w:t>משמעו כי ניתן להסיק מן הראיות הנסיבתיות הסבר אפשרי אחר השולל אחריות פלילית</w:t>
      </w:r>
      <w:r>
        <w:rPr>
          <w:rtl w:val="true"/>
        </w:rPr>
        <w:t>" (</w:t>
      </w:r>
      <w:hyperlink r:id="rId6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6392/13</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קריאף</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99</w:t>
      </w:r>
      <w:r>
        <w:rPr>
          <w:rFonts w:cs="Century" w:ascii="Century" w:hAnsi="Century"/>
          <w:sz w:val="22"/>
          <w:rtl w:val="true"/>
        </w:rPr>
        <w:t xml:space="preserve"> </w:t>
      </w:r>
      <w:r>
        <w:rPr>
          <w:rFonts w:ascii="Century" w:hAnsi="Century" w:cs="Century"/>
          <w:sz w:val="22"/>
          <w:sz w:val="22"/>
          <w:rtl w:val="true"/>
        </w:rPr>
        <w:t>והאסמכתאות שם</w:t>
      </w:r>
      <w:r>
        <w:rPr>
          <w:rFonts w:ascii="Century" w:hAnsi="Century" w:cs="Century"/>
          <w:sz w:val="22"/>
          <w:sz w:val="22"/>
          <w:rtl w:val="true"/>
        </w:rPr>
        <w:t xml:space="preserve"> </w:t>
      </w:r>
      <w:r>
        <w:rPr>
          <w:rFonts w:cs="Century" w:ascii="Century" w:hAnsi="Century"/>
          <w:sz w:val="22"/>
          <w:rtl w:val="true"/>
        </w:rPr>
        <w:t>(</w:t>
      </w:r>
      <w:r>
        <w:rPr>
          <w:sz w:val="22"/>
        </w:rPr>
        <w:t>21.</w:t>
      </w:r>
      <w:r>
        <w:rPr>
          <w:rFonts w:cs="Century" w:ascii="Century" w:hAnsi="Century"/>
          <w:sz w:val="22"/>
        </w:rPr>
        <w:t>1.2015</w:t>
      </w:r>
      <w:r>
        <w:rPr>
          <w:rFonts w:cs="Century" w:ascii="Century" w:hAnsi="Century"/>
          <w:sz w:val="22"/>
          <w:rtl w:val="true"/>
        </w:rPr>
        <w:t>)</w:t>
      </w:r>
      <w:r>
        <w:rPr>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קריאף</w:t>
      </w:r>
      <w:r>
        <w:rPr>
          <w:rFonts w:cs="Century" w:ascii="Century" w:hAnsi="Century"/>
          <w:sz w:val="22"/>
          <w:rtl w:val="true"/>
        </w:rPr>
        <w:t>))</w:t>
      </w:r>
      <w:r>
        <w:rPr>
          <w:rtl w:val="true"/>
        </w:rPr>
        <w:t xml:space="preserve">. </w:t>
      </w:r>
      <w:r>
        <w:rPr>
          <w:rtl w:val="true"/>
        </w:rPr>
        <w:t>משכך</w:t>
      </w:r>
      <w:r>
        <w:rPr>
          <w:rtl w:val="true"/>
        </w:rPr>
        <w:t xml:space="preserve">, </w:t>
      </w:r>
      <w:r>
        <w:rPr>
          <w:rtl w:val="true"/>
        </w:rPr>
        <w:t xml:space="preserve">עשוי בית המשפט לשלול את קיומו של ספק סביר באמצעות </w:t>
      </w:r>
      <w:r>
        <w:rPr>
          <w:rFonts w:cs="Century" w:ascii="Century" w:hAnsi="Century"/>
          <w:rtl w:val="true"/>
        </w:rPr>
        <w:t>"</w:t>
      </w:r>
      <w:r>
        <w:rPr>
          <w:rFonts w:ascii="Century" w:hAnsi="Century" w:cs="Century"/>
          <w:rtl w:val="true"/>
        </w:rPr>
        <w:t>שלילת הסברים המתיישבים עם חפותו של הנאשם</w:t>
      </w:r>
      <w:r>
        <w:rPr>
          <w:rFonts w:cs="Century" w:ascii="Century" w:hAnsi="Century"/>
          <w:sz w:val="22"/>
          <w:rtl w:val="true"/>
        </w:rPr>
        <w:t>" (</w:t>
      </w:r>
      <w:hyperlink r:id="rId6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6359/99</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קורמן</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נד</w:t>
        </w:r>
      </w:hyperlink>
      <w:r>
        <w:rPr>
          <w:rFonts w:cs="Century" w:ascii="Century" w:hAnsi="Century"/>
          <w:sz w:val="22"/>
          <w:rtl w:val="true"/>
        </w:rPr>
        <w:t>(</w:t>
      </w:r>
      <w:r>
        <w:rPr>
          <w:rFonts w:cs="Century" w:ascii="Century" w:hAnsi="Century"/>
          <w:sz w:val="22"/>
        </w:rPr>
        <w:t>4</w:t>
      </w:r>
      <w:r>
        <w:rPr>
          <w:rFonts w:cs="Century" w:ascii="Century" w:hAnsi="Century"/>
          <w:rtl w:val="true"/>
        </w:rPr>
        <w:t xml:space="preserve">) </w:t>
      </w:r>
      <w:r>
        <w:rPr>
          <w:rFonts w:cs="Century" w:ascii="Century" w:hAnsi="Century"/>
        </w:rPr>
        <w:t>653</w:t>
      </w:r>
      <w:r>
        <w:rPr>
          <w:rFonts w:cs="Century" w:ascii="Century" w:hAnsi="Century"/>
          <w:rtl w:val="true"/>
        </w:rPr>
        <w:t xml:space="preserve">, </w:t>
      </w:r>
      <w:r>
        <w:rPr>
          <w:rFonts w:cs="Century" w:ascii="Century" w:hAnsi="Century"/>
        </w:rPr>
        <w:t>662</w:t>
      </w:r>
      <w:r>
        <w:rPr>
          <w:rFonts w:cs="Century" w:ascii="Century" w:hAnsi="Century"/>
          <w:rtl w:val="true"/>
        </w:rPr>
        <w:t xml:space="preserve"> (</w:t>
      </w:r>
      <w:r>
        <w:rPr>
          <w:rFonts w:cs="Century" w:ascii="Century" w:hAnsi="Century"/>
        </w:rPr>
        <w:t>2000</w:t>
      </w:r>
      <w:r>
        <w:rPr>
          <w:rFonts w:cs="Century" w:ascii="Century" w:hAnsi="Century"/>
          <w:rtl w:val="true"/>
        </w:rPr>
        <w:t xml:space="preserve">)). </w:t>
      </w:r>
      <w:r>
        <w:rPr>
          <w:rFonts w:ascii="Century" w:hAnsi="Century" w:cs="Century"/>
          <w:rtl w:val="true"/>
        </w:rPr>
        <w:t>ובלשון אחר</w:t>
      </w:r>
      <w:r>
        <w:rPr>
          <w:rFonts w:cs="Century" w:ascii="Century" w:hAnsi="Century"/>
          <w:rtl w:val="true"/>
        </w:rPr>
        <w:t xml:space="preserve">, </w:t>
      </w:r>
      <w:r>
        <w:rPr>
          <w:rFonts w:ascii="Century" w:hAnsi="Century" w:cs="Century"/>
          <w:rtl w:val="true"/>
        </w:rPr>
        <w:t xml:space="preserve">באמצעות </w:t>
      </w:r>
      <w:r>
        <w:rPr>
          <w:rFonts w:cs="Century" w:ascii="Century" w:hAnsi="Century"/>
          <w:rtl w:val="true"/>
        </w:rPr>
        <w:t>"...</w:t>
      </w:r>
      <w:r>
        <w:rPr>
          <w:rFonts w:ascii="Century" w:hAnsi="Century" w:cs="Century"/>
          <w:rtl w:val="true"/>
        </w:rPr>
        <w:t>אלימינציה של אפשרויות חלופיות לראיה או ממצא והוכחת המסקנה הסופית כאפשרות היחידה המתקבלת על הדעת</w:t>
      </w:r>
      <w:r>
        <w:rPr>
          <w:rFonts w:cs="Century" w:ascii="Century" w:hAnsi="Century"/>
          <w:rtl w:val="true"/>
        </w:rPr>
        <w:t xml:space="preserve">, </w:t>
      </w:r>
      <w:r>
        <w:rPr>
          <w:rFonts w:ascii="Century" w:hAnsi="Century" w:cs="Century"/>
          <w:rtl w:val="true"/>
        </w:rPr>
        <w:t>כאשר בסופו של תהליך בית המשפט שואל אם קיים תרחיש מזכה</w:t>
      </w:r>
      <w:r>
        <w:rPr>
          <w:rFonts w:cs="Century" w:ascii="Century" w:hAnsi="Century"/>
          <w:rtl w:val="true"/>
        </w:rPr>
        <w:t>" (</w:t>
      </w:r>
      <w:hyperlink r:id="rId6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5459/09</w:t>
        </w:r>
      </w:hyperlink>
      <w:r>
        <w:rPr>
          <w:rFonts w:cs="Century" w:ascii="Century" w:hAnsi="Century"/>
          <w:sz w:val="22"/>
          <w:rtl w:val="true"/>
        </w:rPr>
        <w:t xml:space="preserve"> </w:t>
      </w:r>
      <w:r>
        <w:rPr>
          <w:rFonts w:ascii="Century" w:hAnsi="Century" w:cs="Miriam"/>
          <w:b/>
          <w:b/>
          <w:spacing w:val="0"/>
          <w:sz w:val="22"/>
          <w:sz w:val="22"/>
          <w:szCs w:val="24"/>
          <w:rtl w:val="true"/>
        </w:rPr>
        <w:t>שוורץ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57</w:t>
      </w:r>
      <w:r>
        <w:rPr>
          <w:rFonts w:cs="Century" w:ascii="Century" w:hAnsi="Century"/>
          <w:sz w:val="22"/>
          <w:rtl w:val="true"/>
        </w:rPr>
        <w:t xml:space="preserve"> (</w:t>
      </w:r>
      <w:r>
        <w:rPr>
          <w:rFonts w:cs="Century" w:ascii="Century" w:hAnsi="Century"/>
          <w:sz w:val="22"/>
        </w:rPr>
        <w:t>20.07.2015</w:t>
      </w:r>
      <w:r>
        <w:rPr>
          <w:rFonts w:cs="Century" w:ascii="Century" w:hAnsi="Century"/>
          <w:sz w:val="22"/>
          <w:rtl w:val="true"/>
        </w:rPr>
        <w:t>)</w:t>
      </w:r>
      <w:r>
        <w:rPr>
          <w:rFonts w:cs="Century" w:ascii="Century" w:hAnsi="Century"/>
          <w:rtl w:val="true"/>
        </w:rPr>
        <w:t xml:space="preserve">; </w:t>
      </w:r>
      <w:r>
        <w:rPr>
          <w:rFonts w:ascii="Century" w:hAnsi="Century" w:cs="Century"/>
          <w:rtl w:val="true"/>
        </w:rPr>
        <w:t xml:space="preserve">וראו גם עניין </w:t>
      </w:r>
      <w:r>
        <w:rPr>
          <w:rFonts w:ascii="Century" w:hAnsi="Century" w:cs="Miriam"/>
          <w:b/>
          <w:b/>
          <w:spacing w:val="0"/>
          <w:sz w:val="22"/>
          <w:sz w:val="22"/>
          <w:szCs w:val="24"/>
          <w:rtl w:val="true"/>
        </w:rPr>
        <w:t>קריאף</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102</w:t>
      </w:r>
      <w:r>
        <w:rPr>
          <w:rtl w:val="true"/>
        </w:rPr>
        <w:t xml:space="preserve">). </w:t>
      </w:r>
      <w:r>
        <w:rPr>
          <w:rtl w:val="true"/>
        </w:rPr>
        <w:t>יודגש</w:t>
      </w:r>
      <w:r>
        <w:rPr>
          <w:rtl w:val="true"/>
        </w:rPr>
        <w:t xml:space="preserve">, </w:t>
      </w:r>
      <w:r>
        <w:rPr>
          <w:rtl w:val="true"/>
        </w:rPr>
        <w:t xml:space="preserve">כי </w:t>
      </w:r>
      <w:r>
        <w:rPr>
          <w:rtl w:val="true"/>
        </w:rPr>
        <w:t>"</w:t>
      </w:r>
      <w:r>
        <w:rPr>
          <w:rFonts w:ascii="Century" w:hAnsi="Century" w:cs="Century"/>
          <w:sz w:val="22"/>
          <w:sz w:val="22"/>
          <w:rtl w:val="true"/>
        </w:rPr>
        <w:t>ספק</w:t>
      </w:r>
      <w:r>
        <w:rPr>
          <w:rFonts w:ascii="Century" w:hAnsi="Century" w:cs="Century"/>
          <w:sz w:val="22"/>
          <w:sz w:val="22"/>
          <w:rtl w:val="true"/>
        </w:rPr>
        <w:t xml:space="preserve"> </w:t>
      </w:r>
      <w:r>
        <w:rPr>
          <w:rFonts w:ascii="Century" w:hAnsi="Century" w:cs="Century"/>
          <w:sz w:val="22"/>
          <w:sz w:val="22"/>
          <w:rtl w:val="true"/>
        </w:rPr>
        <w:t>סביר</w:t>
      </w:r>
      <w:r>
        <w:rPr>
          <w:rFonts w:ascii="Century" w:hAnsi="Century" w:cs="Century"/>
          <w:sz w:val="22"/>
          <w:sz w:val="22"/>
          <w:rtl w:val="true"/>
        </w:rPr>
        <w:t xml:space="preserve"> </w:t>
      </w:r>
      <w:r>
        <w:rPr>
          <w:rFonts w:ascii="Century" w:hAnsi="Century" w:cs="Century"/>
          <w:sz w:val="22"/>
          <w:sz w:val="22"/>
          <w:rtl w:val="true"/>
        </w:rPr>
        <w:t>עשוי</w:t>
      </w:r>
      <w:r>
        <w:rPr>
          <w:rFonts w:ascii="Century" w:hAnsi="Century" w:cs="Century"/>
          <w:sz w:val="22"/>
          <w:sz w:val="22"/>
          <w:rtl w:val="true"/>
        </w:rPr>
        <w:t xml:space="preserve"> </w:t>
      </w:r>
      <w:r>
        <w:rPr>
          <w:rFonts w:ascii="Century" w:hAnsi="Century" w:cs="Century"/>
          <w:sz w:val="22"/>
          <w:sz w:val="22"/>
          <w:rtl w:val="true"/>
        </w:rPr>
        <w:t>לעלות</w:t>
      </w:r>
      <w:r>
        <w:rPr>
          <w:rFonts w:ascii="Century" w:hAnsi="Century" w:cs="Century"/>
          <w:sz w:val="22"/>
          <w:sz w:val="22"/>
          <w:rtl w:val="true"/>
        </w:rPr>
        <w:t xml:space="preserve"> </w:t>
      </w:r>
      <w:r>
        <w:rPr>
          <w:rFonts w:ascii="Century" w:hAnsi="Century" w:cs="Century"/>
          <w:sz w:val="22"/>
          <w:sz w:val="22"/>
          <w:rtl w:val="true"/>
        </w:rPr>
        <w:t>מהראיות</w:t>
      </w:r>
      <w:r>
        <w:rPr>
          <w:rFonts w:ascii="Century" w:hAnsi="Century" w:cs="Century"/>
          <w:sz w:val="22"/>
          <w:sz w:val="22"/>
          <w:rtl w:val="true"/>
        </w:rPr>
        <w:t xml:space="preserve"> </w:t>
      </w:r>
      <w:r>
        <w:rPr>
          <w:rFonts w:ascii="Century" w:hAnsi="Century" w:cs="Century"/>
          <w:sz w:val="22"/>
          <w:sz w:val="22"/>
          <w:rtl w:val="true"/>
        </w:rPr>
        <w:t>הנסיבתיות</w:t>
      </w:r>
      <w:r>
        <w:rPr>
          <w:rFonts w:ascii="Century" w:hAnsi="Century" w:cs="Century"/>
          <w:sz w:val="22"/>
          <w:sz w:val="22"/>
          <w:rtl w:val="true"/>
        </w:rPr>
        <w:t xml:space="preserve"> </w:t>
      </w:r>
      <w:r>
        <w:rPr>
          <w:rFonts w:ascii="Century" w:hAnsi="Century" w:cs="Century"/>
          <w:sz w:val="22"/>
          <w:sz w:val="22"/>
          <w:rtl w:val="true"/>
        </w:rPr>
        <w:t>מקום</w:t>
      </w:r>
      <w:r>
        <w:rPr>
          <w:rFonts w:ascii="Century" w:hAnsi="Century" w:cs="Century"/>
          <w:sz w:val="22"/>
          <w:sz w:val="22"/>
          <w:rtl w:val="true"/>
        </w:rPr>
        <w:t xml:space="preserve"> </w:t>
      </w:r>
      <w:r>
        <w:rPr>
          <w:rFonts w:ascii="Century" w:hAnsi="Century" w:cs="Century"/>
          <w:sz w:val="22"/>
          <w:sz w:val="22"/>
          <w:rtl w:val="true"/>
        </w:rPr>
        <w:t>שניתן</w:t>
      </w:r>
      <w:r>
        <w:rPr>
          <w:rFonts w:ascii="Century" w:hAnsi="Century" w:cs="Century"/>
          <w:sz w:val="22"/>
          <w:sz w:val="22"/>
          <w:rtl w:val="true"/>
        </w:rPr>
        <w:t xml:space="preserve"> </w:t>
      </w:r>
      <w:r>
        <w:rPr>
          <w:rFonts w:ascii="Century" w:hAnsi="Century" w:cs="Century"/>
          <w:sz w:val="22"/>
          <w:sz w:val="22"/>
          <w:rtl w:val="true"/>
        </w:rPr>
        <w:t>להסיק</w:t>
      </w:r>
      <w:r>
        <w:rPr>
          <w:rFonts w:ascii="Century" w:hAnsi="Century" w:cs="Century"/>
          <w:sz w:val="22"/>
          <w:sz w:val="22"/>
          <w:rtl w:val="true"/>
        </w:rPr>
        <w:t xml:space="preserve"> </w:t>
      </w:r>
      <w:r>
        <w:rPr>
          <w:rFonts w:ascii="Century" w:hAnsi="Century" w:cs="Century"/>
          <w:sz w:val="22"/>
          <w:sz w:val="22"/>
          <w:rtl w:val="true"/>
        </w:rPr>
        <w:t>מהן</w:t>
      </w:r>
      <w:r>
        <w:rPr>
          <w:rFonts w:ascii="Century" w:hAnsi="Century" w:cs="Century"/>
          <w:sz w:val="22"/>
          <w:sz w:val="22"/>
          <w:rtl w:val="true"/>
        </w:rPr>
        <w:t xml:space="preserve"> </w:t>
      </w:r>
      <w:r>
        <w:rPr>
          <w:rFonts w:ascii="Century" w:hAnsi="Century" w:cs="Century"/>
          <w:sz w:val="22"/>
          <w:sz w:val="22"/>
          <w:rtl w:val="true"/>
        </w:rPr>
        <w:t>מסקנה</w:t>
      </w:r>
      <w:r>
        <w:rPr>
          <w:rFonts w:ascii="Century" w:hAnsi="Century" w:cs="Century"/>
          <w:sz w:val="22"/>
          <w:sz w:val="22"/>
          <w:rtl w:val="true"/>
        </w:rPr>
        <w:t xml:space="preserve"> </w:t>
      </w:r>
      <w:r>
        <w:rPr>
          <w:rFonts w:ascii="Century" w:hAnsi="Century" w:cs="Century"/>
          <w:sz w:val="22"/>
          <w:sz w:val="22"/>
          <w:rtl w:val="true"/>
        </w:rPr>
        <w:t>המתיישבת</w:t>
      </w:r>
      <w:r>
        <w:rPr>
          <w:rFonts w:ascii="Century" w:hAnsi="Century" w:cs="Century"/>
          <w:sz w:val="22"/>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חפות</w:t>
      </w:r>
      <w:r>
        <w:rPr>
          <w:rFonts w:ascii="Century" w:hAnsi="Century" w:cs="Century"/>
          <w:sz w:val="22"/>
          <w:sz w:val="22"/>
          <w:rtl w:val="true"/>
        </w:rPr>
        <w:t xml:space="preserve"> </w:t>
      </w:r>
      <w:r>
        <w:rPr>
          <w:rFonts w:ascii="Century" w:hAnsi="Century" w:cs="Century"/>
          <w:sz w:val="22"/>
          <w:sz w:val="22"/>
          <w:rtl w:val="true"/>
        </w:rPr>
        <w:t>הנאשם</w:t>
      </w:r>
      <w:r>
        <w:rPr>
          <w:rFonts w:cs="Century" w:ascii="Century" w:hAnsi="Century"/>
          <w:sz w:val="22"/>
          <w:rtl w:val="true"/>
        </w:rPr>
        <w:t xml:space="preserve">, </w:t>
      </w:r>
      <w:r>
        <w:rPr>
          <w:rFonts w:ascii="Century" w:hAnsi="Century" w:cs="Century"/>
          <w:sz w:val="22"/>
          <w:sz w:val="22"/>
          <w:rtl w:val="true"/>
        </w:rPr>
        <w:t>שההסתברות</w:t>
      </w:r>
      <w:r>
        <w:rPr>
          <w:rFonts w:ascii="Century" w:hAnsi="Century" w:cs="Century"/>
          <w:sz w:val="22"/>
          <w:sz w:val="22"/>
          <w:rtl w:val="true"/>
        </w:rPr>
        <w:t xml:space="preserve"> </w:t>
      </w:r>
      <w:r>
        <w:rPr>
          <w:rFonts w:ascii="Century" w:hAnsi="Century" w:cs="Century"/>
          <w:sz w:val="22"/>
          <w:sz w:val="22"/>
          <w:rtl w:val="true"/>
        </w:rPr>
        <w:t>לאפשרות</w:t>
      </w:r>
      <w:r>
        <w:rPr>
          <w:rFonts w:ascii="Century" w:hAnsi="Century" w:cs="Century"/>
          <w:sz w:val="22"/>
          <w:sz w:val="22"/>
          <w:rtl w:val="true"/>
        </w:rPr>
        <w:t xml:space="preserve"> </w:t>
      </w:r>
      <w:r>
        <w:rPr>
          <w:rFonts w:ascii="Century" w:hAnsi="Century" w:cs="Century"/>
          <w:sz w:val="22"/>
          <w:sz w:val="22"/>
          <w:rtl w:val="true"/>
        </w:rPr>
        <w:t>קיומה</w:t>
      </w:r>
      <w:r>
        <w:rPr>
          <w:rFonts w:ascii="Century" w:hAnsi="Century" w:cs="Century"/>
          <w:sz w:val="22"/>
          <w:sz w:val="22"/>
          <w:rtl w:val="true"/>
        </w:rPr>
        <w:t xml:space="preserve">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Miriam"/>
          <w:b/>
          <w:b/>
          <w:spacing w:val="0"/>
          <w:sz w:val="22"/>
          <w:sz w:val="22"/>
          <w:szCs w:val="24"/>
          <w:rtl w:val="true"/>
        </w:rPr>
        <w:t>מהותית</w:t>
      </w:r>
      <w:r>
        <w:rPr>
          <w:rFonts w:cs="Century" w:ascii="Century" w:hAnsi="Century"/>
          <w:sz w:val="22"/>
          <w:rtl w:val="true"/>
        </w:rPr>
        <w:t xml:space="preserve">, </w:t>
      </w:r>
      <w:r>
        <w:rPr>
          <w:rFonts w:ascii="Century" w:hAnsi="Century" w:cs="Century"/>
          <w:sz w:val="22"/>
          <w:sz w:val="22"/>
          <w:rtl w:val="true"/>
        </w:rPr>
        <w:t>ואינה</w:t>
      </w:r>
      <w:r>
        <w:rPr>
          <w:rFonts w:ascii="Century" w:hAnsi="Century" w:cs="Century"/>
          <w:sz w:val="22"/>
          <w:sz w:val="22"/>
          <w:rtl w:val="true"/>
        </w:rPr>
        <w:t xml:space="preserve"> </w:t>
      </w:r>
      <w:r>
        <w:rPr>
          <w:rFonts w:ascii="Century" w:hAnsi="Century" w:cs="Century"/>
          <w:sz w:val="22"/>
          <w:sz w:val="22"/>
          <w:rtl w:val="true"/>
        </w:rPr>
        <w:t>זניחה</w:t>
      </w:r>
      <w:r>
        <w:rPr>
          <w:rFonts w:ascii="Century" w:hAnsi="Century" w:cs="Century"/>
          <w:sz w:val="22"/>
          <w:sz w:val="22"/>
          <w:rtl w:val="true"/>
        </w:rPr>
        <w:t xml:space="preserve"> </w:t>
      </w:r>
      <w:r>
        <w:rPr>
          <w:rFonts w:ascii="Century" w:hAnsi="Century" w:cs="Century"/>
          <w:sz w:val="22"/>
          <w:sz w:val="22"/>
          <w:rtl w:val="true"/>
        </w:rPr>
        <w:t>או</w:t>
      </w:r>
      <w:r>
        <w:rPr>
          <w:rFonts w:ascii="Century" w:hAnsi="Century" w:cs="Century"/>
          <w:sz w:val="22"/>
          <w:sz w:val="22"/>
          <w:rtl w:val="true"/>
        </w:rPr>
        <w:t xml:space="preserve"> </w:t>
      </w:r>
      <w:r>
        <w:rPr>
          <w:rFonts w:ascii="Century" w:hAnsi="Century" w:cs="Century"/>
          <w:sz w:val="22"/>
          <w:sz w:val="22"/>
          <w:rtl w:val="true"/>
        </w:rPr>
        <w:t>דמיונית</w:t>
      </w:r>
      <w:r>
        <w:rPr>
          <w:rFonts w:cs="Century" w:ascii="Century" w:hAnsi="Century"/>
          <w:sz w:val="22"/>
          <w:rtl w:val="true"/>
        </w:rPr>
        <w:t xml:space="preserve">. </w:t>
      </w:r>
      <w:r>
        <w:rPr>
          <w:rFonts w:ascii="Century" w:hAnsi="Century" w:cs="Century"/>
          <w:sz w:val="22"/>
          <w:sz w:val="22"/>
          <w:rtl w:val="true"/>
        </w:rPr>
        <w:t>לאפשרות</w:t>
      </w:r>
      <w:r>
        <w:rPr>
          <w:rFonts w:ascii="Century" w:hAnsi="Century" w:cs="Century"/>
          <w:sz w:val="22"/>
          <w:sz w:val="22"/>
          <w:rtl w:val="true"/>
        </w:rPr>
        <w:t xml:space="preserve"> </w:t>
      </w:r>
      <w:r>
        <w:rPr>
          <w:rFonts w:ascii="Century" w:hAnsi="Century" w:cs="Century"/>
          <w:sz w:val="22"/>
          <w:sz w:val="22"/>
          <w:rtl w:val="true"/>
        </w:rPr>
        <w:t>כזו</w:t>
      </w:r>
      <w:r>
        <w:rPr>
          <w:rFonts w:ascii="Century" w:hAnsi="Century" w:cs="Century"/>
          <w:sz w:val="22"/>
          <w:sz w:val="22"/>
          <w:rtl w:val="true"/>
        </w:rPr>
        <w:t xml:space="preserve"> </w:t>
      </w:r>
      <w:r>
        <w:rPr>
          <w:rFonts w:ascii="Century" w:hAnsi="Century" w:cs="Century"/>
          <w:sz w:val="22"/>
          <w:sz w:val="22"/>
          <w:rtl w:val="true"/>
        </w:rPr>
        <w:t>צריכה</w:t>
      </w:r>
      <w:r>
        <w:rPr>
          <w:rFonts w:ascii="Century" w:hAnsi="Century" w:cs="Century"/>
          <w:sz w:val="22"/>
          <w:sz w:val="22"/>
          <w:rtl w:val="true"/>
        </w:rPr>
        <w:t xml:space="preserve"> </w:t>
      </w:r>
      <w:r>
        <w:rPr>
          <w:rFonts w:ascii="Century" w:hAnsi="Century" w:cs="Century"/>
          <w:sz w:val="22"/>
          <w:sz w:val="22"/>
          <w:rtl w:val="true"/>
        </w:rPr>
        <w:t>להיות</w:t>
      </w:r>
      <w:r>
        <w:rPr>
          <w:rFonts w:ascii="Century" w:hAnsi="Century" w:cs="Century"/>
          <w:sz w:val="22"/>
          <w:sz w:val="22"/>
          <w:rtl w:val="true"/>
        </w:rPr>
        <w:t xml:space="preserve"> </w:t>
      </w:r>
      <w:r>
        <w:rPr>
          <w:rFonts w:ascii="Century" w:hAnsi="Century" w:cs="Miriam"/>
          <w:b/>
          <w:b/>
          <w:spacing w:val="0"/>
          <w:sz w:val="22"/>
          <w:sz w:val="22"/>
          <w:szCs w:val="24"/>
          <w:rtl w:val="true"/>
        </w:rPr>
        <w:t>אחיזה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cs="Century" w:ascii="Century" w:hAnsi="Century"/>
          <w:sz w:val="22"/>
          <w:rtl w:val="true"/>
        </w:rPr>
        <w:t xml:space="preserve">, </w:t>
      </w:r>
      <w:r>
        <w:rPr>
          <w:rFonts w:ascii="Century" w:hAnsi="Century" w:cs="Century"/>
          <w:sz w:val="22"/>
          <w:sz w:val="22"/>
          <w:rtl w:val="true"/>
        </w:rPr>
        <w:t>ועליה</w:t>
      </w:r>
      <w:r>
        <w:rPr>
          <w:rFonts w:ascii="Century" w:hAnsi="Century" w:cs="Century"/>
          <w:sz w:val="22"/>
          <w:sz w:val="22"/>
          <w:rtl w:val="true"/>
        </w:rPr>
        <w:t xml:space="preserve"> </w:t>
      </w:r>
      <w:r>
        <w:rPr>
          <w:rFonts w:ascii="Century" w:hAnsi="Century" w:cs="Century"/>
          <w:sz w:val="22"/>
          <w:sz w:val="22"/>
          <w:rtl w:val="true"/>
        </w:rPr>
        <w:t>לעמוד</w:t>
      </w:r>
      <w:r>
        <w:rPr>
          <w:rFonts w:ascii="Century" w:hAnsi="Century" w:cs="Century"/>
          <w:sz w:val="22"/>
          <w:sz w:val="22"/>
          <w:rtl w:val="true"/>
        </w:rPr>
        <w:t xml:space="preserve"> </w:t>
      </w:r>
      <w:r>
        <w:rPr>
          <w:rFonts w:ascii="Century" w:hAnsi="Century" w:cs="Century"/>
          <w:sz w:val="22"/>
          <w:sz w:val="22"/>
          <w:rtl w:val="true"/>
        </w:rPr>
        <w:t>במבחני</w:t>
      </w:r>
      <w:r>
        <w:rPr>
          <w:rFonts w:ascii="Century" w:hAnsi="Century" w:cs="Century"/>
          <w:sz w:val="22"/>
          <w:sz w:val="22"/>
          <w:rtl w:val="true"/>
        </w:rPr>
        <w:t xml:space="preserve"> </w:t>
      </w:r>
      <w:r>
        <w:rPr>
          <w:rFonts w:ascii="Century" w:hAnsi="Century" w:cs="Century"/>
          <w:sz w:val="22"/>
          <w:sz w:val="22"/>
          <w:rtl w:val="true"/>
        </w:rPr>
        <w:t>השכל</w:t>
      </w:r>
      <w:r>
        <w:rPr>
          <w:rFonts w:ascii="Century" w:hAnsi="Century" w:cs="Century"/>
          <w:sz w:val="22"/>
          <w:sz w:val="22"/>
          <w:rtl w:val="true"/>
        </w:rPr>
        <w:t xml:space="preserve"> </w:t>
      </w:r>
      <w:r>
        <w:rPr>
          <w:rFonts w:ascii="Century" w:hAnsi="Century" w:cs="Century"/>
          <w:sz w:val="22"/>
          <w:sz w:val="22"/>
          <w:rtl w:val="true"/>
        </w:rPr>
        <w:t>הישר</w:t>
      </w:r>
      <w:r>
        <w:rPr>
          <w:rFonts w:ascii="Century" w:hAnsi="Century" w:cs="Century"/>
          <w:sz w:val="22"/>
          <w:sz w:val="22"/>
          <w:rtl w:val="true"/>
        </w:rPr>
        <w:t xml:space="preserve"> </w:t>
      </w:r>
      <w:r>
        <w:rPr>
          <w:rFonts w:ascii="Century" w:hAnsi="Century" w:cs="Century"/>
          <w:sz w:val="22"/>
          <w:sz w:val="22"/>
          <w:rtl w:val="true"/>
        </w:rPr>
        <w:t>וניסיון</w:t>
      </w:r>
      <w:r>
        <w:rPr>
          <w:rFonts w:ascii="Century" w:hAnsi="Century" w:cs="Century"/>
          <w:sz w:val="22"/>
          <w:sz w:val="22"/>
          <w:rtl w:val="true"/>
        </w:rPr>
        <w:t xml:space="preserve"> </w:t>
      </w:r>
      <w:r>
        <w:rPr>
          <w:rFonts w:ascii="Century" w:hAnsi="Century" w:cs="Century"/>
          <w:sz w:val="22"/>
          <w:sz w:val="22"/>
          <w:rtl w:val="true"/>
        </w:rPr>
        <w:t>החיים</w:t>
      </w:r>
      <w:r>
        <w:rPr>
          <w:rtl w:val="true"/>
        </w:rPr>
        <w:t>"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2132/04</w:t>
        </w:r>
      </w:hyperlink>
      <w:r>
        <w:rPr>
          <w:rtl w:val="true"/>
        </w:rPr>
        <w:t>‏</w:t>
      </w:r>
      <w:r>
        <w:rPr>
          <w:rtl w:val="true"/>
        </w:rPr>
        <w:t xml:space="preserve"> </w:t>
      </w:r>
      <w:r>
        <w:rPr>
          <w:rFonts w:ascii="Century" w:hAnsi="Century" w:cs="Miriam"/>
          <w:b/>
          <w:b/>
          <w:spacing w:val="0"/>
          <w:sz w:val="22"/>
          <w:sz w:val="22"/>
          <w:szCs w:val="24"/>
          <w:rtl w:val="true"/>
        </w:rPr>
        <w:t>קייס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tl w:val="true"/>
        </w:rPr>
        <w:t>(</w:t>
      </w:r>
      <w:r>
        <w:rPr>
          <w:sz w:val="28"/>
        </w:rPr>
        <w:t>28.5.2007</w:t>
      </w:r>
      <w:r>
        <w:rPr>
          <w:rtl w:val="true"/>
        </w:rPr>
        <w:t>) (</w:t>
      </w:r>
      <w:r>
        <w:rPr>
          <w:rtl w:val="true"/>
        </w:rPr>
        <w:t xml:space="preserve">ההדגשות הוספו </w:t>
      </w:r>
      <w:r>
        <w:rPr>
          <w:rtl w:val="true"/>
        </w:rPr>
        <w:t>–</w:t>
      </w:r>
      <w:r>
        <w:rPr>
          <w:rtl w:val="true"/>
        </w:rPr>
        <w:t xml:space="preserve"> ג</w:t>
      </w:r>
      <w:r>
        <w:rPr>
          <w:rtl w:val="true"/>
        </w:rPr>
        <w:t>'.</w:t>
      </w:r>
      <w:r>
        <w:rPr>
          <w:rtl w:val="true"/>
        </w:rPr>
        <w:t>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המערער טען בערעורו כי ישנם שלושה תרחישים סבירים</w:t>
      </w:r>
      <w:r>
        <w:rPr>
          <w:rtl w:val="true"/>
        </w:rPr>
        <w:t xml:space="preserve">, </w:t>
      </w:r>
      <w:r>
        <w:rPr>
          <w:rtl w:val="true"/>
        </w:rPr>
        <w:t>אלא שחומר הראיות מלמדנו</w:t>
      </w:r>
      <w:r>
        <w:rPr>
          <w:rtl w:val="true"/>
        </w:rPr>
        <w:t xml:space="preserve">, </w:t>
      </w:r>
      <w:r>
        <w:rPr>
          <w:rtl w:val="true"/>
        </w:rPr>
        <w:t>כפי שקבע בית המשפט קמא</w:t>
      </w:r>
      <w:r>
        <w:rPr>
          <w:rtl w:val="true"/>
        </w:rPr>
        <w:t xml:space="preserve">, </w:t>
      </w:r>
      <w:r>
        <w:rPr>
          <w:rtl w:val="true"/>
        </w:rPr>
        <w:t>כי התרחישים החלופיים שהעלה המערער אינם סבירים כלל ועיקר</w:t>
      </w:r>
      <w:r>
        <w:rPr>
          <w:rtl w:val="true"/>
        </w:rPr>
        <w:t>.</w:t>
      </w:r>
    </w:p>
    <w:p>
      <w:pPr>
        <w:pStyle w:val="Ruller42"/>
        <w:numPr>
          <w:ilvl w:val="0"/>
          <w:numId w:val="0"/>
        </w:numPr>
        <w:ind w:hanging="0" w:start="0" w:end="0"/>
        <w:jc w:val="both"/>
        <w:rPr/>
      </w:pPr>
      <w:r>
        <w:rPr>
          <w:rtl w:val="true"/>
        </w:rPr>
        <w:tab/>
      </w:r>
    </w:p>
    <w:p>
      <w:pPr>
        <w:pStyle w:val="Ruller42"/>
        <w:numPr>
          <w:ilvl w:val="0"/>
          <w:numId w:val="1"/>
        </w:numPr>
        <w:ind w:hanging="0" w:start="0" w:end="0"/>
        <w:jc w:val="both"/>
        <w:rPr>
          <w:rFonts w:ascii="Century" w:hAnsi="Century" w:cs="Century"/>
          <w:sz w:val="22"/>
        </w:rPr>
      </w:pPr>
      <w:r>
        <w:rPr>
          <w:rtl w:val="true"/>
        </w:rPr>
        <w:t xml:space="preserve">לתרחיש לפיו </w:t>
      </w:r>
      <w:r>
        <w:rPr>
          <w:rFonts w:ascii="Century" w:hAnsi="Century" w:cs="Miriam"/>
          <w:b/>
          <w:b/>
          <w:spacing w:val="0"/>
          <w:sz w:val="22"/>
          <w:sz w:val="22"/>
          <w:szCs w:val="24"/>
          <w:rtl w:val="true"/>
        </w:rPr>
        <w:t>אכרם</w:t>
      </w:r>
      <w:r>
        <w:rPr>
          <w:rFonts w:ascii="Century" w:hAnsi="Century" w:cs="Century"/>
          <w:sz w:val="22"/>
          <w:sz w:val="22"/>
          <w:rtl w:val="true"/>
        </w:rPr>
        <w:t xml:space="preserve"> הוא הדוקר</w:t>
      </w:r>
      <w:r>
        <w:rPr>
          <w:rFonts w:cs="Century" w:ascii="Century" w:hAnsi="Century"/>
          <w:sz w:val="22"/>
          <w:rtl w:val="true"/>
        </w:rPr>
        <w:t xml:space="preserve">, </w:t>
      </w:r>
      <w:r>
        <w:rPr>
          <w:rFonts w:ascii="Century" w:hAnsi="Century" w:cs="Century"/>
          <w:sz w:val="22"/>
          <w:sz w:val="22"/>
          <w:rtl w:val="true"/>
        </w:rPr>
        <w:t>בו דבק המערער בערעורו</w:t>
      </w:r>
      <w:r>
        <w:rPr>
          <w:rFonts w:cs="Century" w:ascii="Century" w:hAnsi="Century"/>
          <w:sz w:val="22"/>
          <w:rtl w:val="true"/>
        </w:rPr>
        <w:t xml:space="preserve">, </w:t>
      </w:r>
      <w:r>
        <w:rPr>
          <w:rFonts w:ascii="Century" w:hAnsi="Century" w:cs="Century"/>
          <w:sz w:val="22"/>
          <w:sz w:val="22"/>
          <w:rtl w:val="true"/>
        </w:rPr>
        <w:t>לא נמצאה אחיזה ראייתית</w:t>
      </w:r>
      <w:r>
        <w:rPr>
          <w:rFonts w:cs="Century" w:ascii="Century" w:hAnsi="Century"/>
          <w:sz w:val="22"/>
          <w:rtl w:val="true"/>
        </w:rPr>
        <w:t xml:space="preserve">. </w:t>
      </w:r>
      <w:r>
        <w:rPr>
          <w:rFonts w:ascii="Century" w:hAnsi="Century" w:cs="Century"/>
          <w:sz w:val="22"/>
          <w:sz w:val="22"/>
          <w:rtl w:val="true"/>
        </w:rPr>
        <w:t>כזכור</w:t>
      </w:r>
      <w:r>
        <w:rPr>
          <w:rFonts w:cs="Century" w:ascii="Century" w:hAnsi="Century"/>
          <w:sz w:val="22"/>
          <w:rtl w:val="true"/>
        </w:rPr>
        <w:t xml:space="preserve">, </w:t>
      </w:r>
      <w:r>
        <w:rPr>
          <w:rFonts w:ascii="Century" w:hAnsi="Century" w:cs="Century"/>
          <w:sz w:val="22"/>
          <w:sz w:val="22"/>
          <w:rtl w:val="true"/>
        </w:rPr>
        <w:t>בהתבסס על כתמי התזת הדם</w:t>
      </w:r>
      <w:r>
        <w:rPr>
          <w:rFonts w:cs="Century" w:ascii="Century" w:hAnsi="Century"/>
          <w:sz w:val="22"/>
          <w:rtl w:val="true"/>
        </w:rPr>
        <w:t xml:space="preserve">, </w:t>
      </w:r>
      <w:r>
        <w:rPr>
          <w:rFonts w:ascii="Century" w:hAnsi="Century" w:cs="Century"/>
          <w:sz w:val="22"/>
          <w:sz w:val="22"/>
          <w:rtl w:val="true"/>
        </w:rPr>
        <w:t xml:space="preserve">נקבע כי הדקירה התבצעה בזמן המאבק </w:t>
      </w:r>
      <w:r>
        <w:rPr>
          <w:rFonts w:ascii="Century" w:hAnsi="Century" w:cs="Miriam"/>
          <w:b/>
          <w:b/>
          <w:spacing w:val="0"/>
          <w:sz w:val="22"/>
          <w:sz w:val="22"/>
          <w:szCs w:val="24"/>
          <w:rtl w:val="true"/>
        </w:rPr>
        <w:t>בתוך</w:t>
      </w:r>
      <w:r>
        <w:rPr>
          <w:rFonts w:ascii="Century" w:hAnsi="Century" w:eastAsia="Century" w:cs="Century"/>
          <w:b/>
          <w:b/>
          <w:spacing w:val="0"/>
          <w:sz w:val="22"/>
          <w:sz w:val="22"/>
          <w:szCs w:val="24"/>
          <w:rtl w:val="true"/>
        </w:rPr>
        <w:t xml:space="preserve"> </w:t>
      </w:r>
      <w:r>
        <w:rPr>
          <w:rFonts w:ascii="Century" w:hAnsi="Century" w:cs="Century"/>
          <w:sz w:val="22"/>
          <w:sz w:val="22"/>
          <w:rtl w:val="true"/>
        </w:rPr>
        <w:t>הבית</w:t>
      </w:r>
      <w:r>
        <w:rPr>
          <w:rFonts w:cs="Century" w:ascii="Century" w:hAnsi="Century"/>
          <w:sz w:val="22"/>
          <w:rtl w:val="true"/>
        </w:rPr>
        <w:t xml:space="preserve">. </w:t>
      </w:r>
      <w:r>
        <w:rPr>
          <w:rFonts w:ascii="Century" w:hAnsi="Century" w:cs="Century"/>
          <w:sz w:val="22"/>
          <w:sz w:val="22"/>
          <w:rtl w:val="true"/>
        </w:rPr>
        <w:t>לגרסת המערער</w:t>
      </w:r>
      <w:r>
        <w:rPr>
          <w:rFonts w:cs="Century" w:ascii="Century" w:hAnsi="Century"/>
          <w:sz w:val="22"/>
          <w:rtl w:val="true"/>
        </w:rPr>
        <w:t xml:space="preserve">, </w:t>
      </w:r>
      <w:r>
        <w:rPr>
          <w:rFonts w:ascii="Century" w:hAnsi="Century" w:cs="Century"/>
          <w:sz w:val="22"/>
          <w:sz w:val="22"/>
          <w:rtl w:val="true"/>
        </w:rPr>
        <w:t>אותה קיבל בית המשפט קמא</w:t>
      </w:r>
      <w:r>
        <w:rPr>
          <w:rFonts w:cs="Century" w:ascii="Century" w:hAnsi="Century"/>
          <w:sz w:val="22"/>
          <w:rtl w:val="true"/>
        </w:rPr>
        <w:t xml:space="preserve">, </w:t>
      </w:r>
      <w:r>
        <w:rPr>
          <w:rFonts w:ascii="Century" w:hAnsi="Century" w:cs="Century"/>
          <w:sz w:val="22"/>
          <w:sz w:val="22"/>
          <w:rtl w:val="true"/>
        </w:rPr>
        <w:t>בעת המאבק בתוך הבית המנוח לפת את צווארו של המערער כך שהם עמדו צמודים זה מול זה</w:t>
      </w:r>
      <w:r>
        <w:rPr>
          <w:rFonts w:cs="Century" w:ascii="Century" w:hAnsi="Century"/>
          <w:sz w:val="22"/>
          <w:rtl w:val="true"/>
        </w:rPr>
        <w:t xml:space="preserve">. </w:t>
      </w:r>
      <w:r>
        <w:rPr>
          <w:rFonts w:ascii="Century" w:hAnsi="Century" w:cs="Century"/>
          <w:sz w:val="22"/>
          <w:sz w:val="22"/>
          <w:rtl w:val="true"/>
        </w:rPr>
        <w:t xml:space="preserve">אכרם באותו שלב עמד </w:t>
      </w:r>
      <w:r>
        <w:rPr>
          <w:rFonts w:ascii="Century" w:hAnsi="Century" w:cs="Miriam"/>
          <w:b/>
          <w:b/>
          <w:spacing w:val="0"/>
          <w:sz w:val="22"/>
          <w:sz w:val="22"/>
          <w:szCs w:val="24"/>
          <w:rtl w:val="true"/>
        </w:rPr>
        <w:t>מאחורי</w:t>
      </w:r>
      <w:r>
        <w:rPr>
          <w:rFonts w:ascii="Century" w:hAnsi="Century" w:cs="Century"/>
          <w:sz w:val="22"/>
          <w:sz w:val="22"/>
          <w:rtl w:val="true"/>
        </w:rPr>
        <w:t xml:space="preserve"> המערער</w:t>
      </w:r>
      <w:r>
        <w:rPr>
          <w:rFonts w:cs="Century" w:ascii="Century" w:hAnsi="Century"/>
          <w:sz w:val="22"/>
          <w:rtl w:val="true"/>
        </w:rPr>
        <w:t xml:space="preserve">, </w:t>
      </w:r>
      <w:r>
        <w:rPr>
          <w:rFonts w:ascii="Century" w:hAnsi="Century" w:cs="Century"/>
          <w:sz w:val="22"/>
          <w:sz w:val="22"/>
          <w:rtl w:val="true"/>
        </w:rPr>
        <w:t>אחז בו וניסה לחלצו</w:t>
      </w:r>
      <w:r>
        <w:rPr>
          <w:rFonts w:cs="Century" w:ascii="Century" w:hAnsi="Century"/>
          <w:sz w:val="22"/>
          <w:rtl w:val="true"/>
        </w:rPr>
        <w:t xml:space="preserve">. </w:t>
      </w:r>
      <w:r>
        <w:rPr>
          <w:rFonts w:ascii="Century" w:hAnsi="Century" w:cs="Century"/>
          <w:sz w:val="22"/>
          <w:sz w:val="22"/>
          <w:rtl w:val="true"/>
        </w:rPr>
        <w:t>כפי שנקבע</w:t>
      </w:r>
      <w:r>
        <w:rPr>
          <w:rFonts w:cs="Century" w:ascii="Century" w:hAnsi="Century"/>
          <w:sz w:val="22"/>
          <w:rtl w:val="true"/>
        </w:rPr>
        <w:t xml:space="preserve">, </w:t>
      </w:r>
      <w:r>
        <w:rPr>
          <w:rFonts w:ascii="Century" w:hAnsi="Century" w:cs="Century"/>
          <w:sz w:val="22"/>
          <w:sz w:val="22"/>
          <w:rtl w:val="true"/>
        </w:rPr>
        <w:t>ועל כך אין מחלוקת</w:t>
      </w:r>
      <w:r>
        <w:rPr>
          <w:rFonts w:cs="Century" w:ascii="Century" w:hAnsi="Century"/>
          <w:sz w:val="22"/>
          <w:rtl w:val="true"/>
        </w:rPr>
        <w:t xml:space="preserve">, </w:t>
      </w:r>
      <w:r>
        <w:rPr>
          <w:rFonts w:ascii="Century" w:hAnsi="Century" w:cs="Century"/>
          <w:sz w:val="22"/>
          <w:sz w:val="22"/>
          <w:rtl w:val="true"/>
        </w:rPr>
        <w:t>המערער הוא היחיד מבין השניים שהיה מצויד במברג שבאמצעותו היה ניתן לגרום לדקירה העמוקה</w:t>
      </w:r>
      <w:r>
        <w:rPr>
          <w:rFonts w:cs="Century" w:ascii="Century" w:hAnsi="Century"/>
          <w:sz w:val="22"/>
          <w:rtl w:val="true"/>
        </w:rPr>
        <w:t xml:space="preserve">. </w:t>
      </w:r>
      <w:r>
        <w:rPr>
          <w:rFonts w:ascii="Century" w:hAnsi="Century" w:cs="Century"/>
          <w:sz w:val="22"/>
          <w:sz w:val="22"/>
          <w:rtl w:val="true"/>
        </w:rPr>
        <w:t>בערעורו המערער שב והעלה את האפשרות כי אכרם הוציא מתיקו כלי אחר ובאמצעותו ביצע את הדקירה</w:t>
      </w:r>
      <w:r>
        <w:rPr>
          <w:rFonts w:cs="Century" w:ascii="Century" w:hAnsi="Century"/>
          <w:sz w:val="22"/>
          <w:rtl w:val="true"/>
        </w:rPr>
        <w:t xml:space="preserve">. </w:t>
      </w:r>
      <w:r>
        <w:rPr>
          <w:rFonts w:ascii="Century" w:hAnsi="Century" w:cs="Century"/>
          <w:sz w:val="22"/>
          <w:sz w:val="22"/>
          <w:rtl w:val="true"/>
        </w:rPr>
        <w:t>אפשרות זו נדונה ונדחתה על ידי בית המשפט קמא</w:t>
      </w:r>
      <w:r>
        <w:rPr>
          <w:rFonts w:cs="Century" w:ascii="Century" w:hAnsi="Century"/>
          <w:sz w:val="22"/>
          <w:rtl w:val="true"/>
        </w:rPr>
        <w:t>:</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51"/>
        <w:ind w:end="1282"/>
        <w:jc w:val="both"/>
        <w:rPr/>
      </w:pPr>
      <w:r>
        <w:rPr>
          <w:rtl w:val="true"/>
        </w:rPr>
        <w:tab/>
      </w:r>
      <w:r>
        <w:rPr>
          <w:rtl w:val="true"/>
        </w:rPr>
        <w:t>"</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מברגים</w:t>
      </w:r>
      <w:r>
        <w:rPr>
          <w:rFonts w:eastAsia="Arial TUR;Arial" w:cs="Arial TUR;Arial"/>
          <w:rtl w:val="true"/>
        </w:rPr>
        <w:t xml:space="preserve"> </w:t>
      </w:r>
      <w:r>
        <w:rPr>
          <w:rtl w:val="true"/>
        </w:rPr>
        <w:t>נוספים</w:t>
      </w:r>
      <w:r>
        <w:rPr>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סיטואציה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פתח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התיק</w:t>
      </w:r>
      <w:r>
        <w:rPr>
          <w:rFonts w:eastAsia="Arial TUR;Arial" w:cs="Arial TUR;Arial"/>
          <w:rtl w:val="true"/>
        </w:rPr>
        <w:t xml:space="preserve"> </w:t>
      </w:r>
      <w:r>
        <w:rPr>
          <w:rtl w:val="true"/>
        </w:rPr>
        <w:t>הקטן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קר</w:t>
      </w:r>
      <w:r>
        <w:rPr>
          <w:rFonts w:eastAsia="Arial TUR;Arial" w:cs="Arial TUR;Arial"/>
          <w:rtl w:val="true"/>
        </w:rPr>
        <w:t xml:space="preserve"> </w:t>
      </w:r>
      <w:r>
        <w:rPr>
          <w:rtl w:val="true"/>
        </w:rPr>
        <w:t>אחר</w:t>
      </w:r>
      <w:r>
        <w:rPr>
          <w:rtl w:val="true"/>
        </w:rPr>
        <w:t xml:space="preserve">, </w:t>
      </w:r>
      <w:r>
        <w:rPr>
          <w:rtl w:val="true"/>
        </w:rPr>
        <w:t>מה</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שאכרם</w:t>
      </w:r>
      <w:r>
        <w:rPr>
          <w:rFonts w:eastAsia="Arial TUR;Arial" w:cs="Arial TUR;Arial"/>
          <w:rtl w:val="true"/>
        </w:rPr>
        <w:t xml:space="preserve"> </w:t>
      </w:r>
      <w:r>
        <w:rPr>
          <w:rtl w:val="true"/>
        </w:rPr>
        <w:t>והנאשם</w:t>
      </w:r>
      <w:r>
        <w:rPr>
          <w:rFonts w:eastAsia="Arial TUR;Arial" w:cs="Arial TUR;Arial"/>
          <w:rtl w:val="true"/>
        </w:rPr>
        <w:t xml:space="preserve"> </w:t>
      </w:r>
      <w:r>
        <w:rPr>
          <w:rtl w:val="true"/>
        </w:rPr>
        <w:t>הופתעו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המנוח</w:t>
      </w:r>
      <w:r>
        <w:rPr>
          <w:rtl w:val="true"/>
        </w:rPr>
        <w:t xml:space="preserve">, </w:t>
      </w:r>
      <w:r>
        <w:rPr>
          <w:rtl w:val="true"/>
        </w:rPr>
        <w:t>כך</w:t>
      </w:r>
      <w:r>
        <w:rPr>
          <w:rFonts w:eastAsia="Arial TUR;Arial" w:cs="Arial TUR;Arial"/>
          <w:rtl w:val="true"/>
        </w:rPr>
        <w:t xml:space="preserve"> </w:t>
      </w:r>
      <w:r>
        <w:rPr>
          <w:rtl w:val="true"/>
        </w:rPr>
        <w:t>שספק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כך</w:t>
      </w:r>
      <w:r>
        <w:rPr>
          <w:rtl w:val="true"/>
        </w:rPr>
        <w:t>" (</w:t>
      </w:r>
      <w:r>
        <w:rPr>
          <w:rtl w:val="true"/>
        </w:rPr>
        <w:t>פסקה</w:t>
      </w:r>
      <w:r>
        <w:rPr>
          <w:rFonts w:eastAsia="Arial TUR;Arial" w:cs="Arial TUR;Arial"/>
          <w:rtl w:val="true"/>
        </w:rPr>
        <w:t xml:space="preserve"> </w:t>
      </w:r>
      <w:r>
        <w:rPr/>
        <w:t>336</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לכך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tl w:val="true"/>
        </w:rPr>
        <w:t xml:space="preserve">, </w:t>
      </w:r>
      <w:r>
        <w:rPr>
          <w:rtl w:val="true"/>
        </w:rPr>
        <w:t>כי</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אפשרי</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תיאר</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אפשרי</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שראה</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זאת</w:t>
      </w:r>
      <w:r>
        <w:rPr>
          <w:rFonts w:eastAsia="Arial TUR;Arial" w:cs="Arial TUR;Arial"/>
          <w:rtl w:val="true"/>
        </w:rPr>
        <w:t xml:space="preserve"> </w:t>
      </w:r>
      <w:r>
        <w:rPr>
          <w:rtl w:val="true"/>
        </w:rPr>
        <w:t>ועוד</w:t>
      </w:r>
      <w:r>
        <w:rPr>
          <w:rtl w:val="true"/>
        </w:rPr>
        <w:t xml:space="preserve">, </w:t>
      </w:r>
      <w:r>
        <w:rPr>
          <w:rtl w:val="true"/>
        </w:rPr>
        <w:t>המערער</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והאדי</w:t>
      </w:r>
      <w:r>
        <w:rPr>
          <w:rFonts w:eastAsia="Arial TUR;Arial" w:cs="Arial TUR;Arial"/>
          <w:rtl w:val="true"/>
        </w:rPr>
        <w:t xml:space="preserve"> </w:t>
      </w:r>
      <w:r>
        <w:rPr>
          <w:rtl w:val="true"/>
        </w:rPr>
        <w:t>נטלו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בהיותם</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מברג</w:t>
      </w:r>
      <w:r>
        <w:rPr>
          <w:rFonts w:eastAsia="Arial TUR;Arial" w:cs="Arial TUR;Arial"/>
          <w:rtl w:val="true"/>
        </w:rPr>
        <w:t xml:space="preserve"> </w:t>
      </w:r>
      <w:r>
        <w:rPr>
          <w:rtl w:val="true"/>
        </w:rPr>
        <w:t>שאורכו</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ל</w:t>
      </w:r>
      <w:r>
        <w:rPr>
          <w:rtl w:val="true"/>
        </w:rPr>
        <w:t>-</w:t>
      </w:r>
      <w:r>
        <w:rPr/>
        <w:t>25</w:t>
      </w:r>
      <w:r>
        <w:rPr>
          <w:rtl w:val="true"/>
        </w:rPr>
        <w:t xml:space="preserve"> </w:t>
      </w:r>
      <w:r>
        <w:rPr>
          <w:rtl w:val="true"/>
        </w:rPr>
        <w:t>ס</w:t>
      </w:r>
      <w:r>
        <w:rPr>
          <w:rtl w:val="true"/>
        </w:rPr>
        <w:t>"</w:t>
      </w:r>
      <w:r>
        <w:rPr>
          <w:rtl w:val="true"/>
        </w:rPr>
        <w:t>מ</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שאלו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נכנסו</w:t>
      </w:r>
      <w:r>
        <w:rPr>
          <w:rFonts w:eastAsia="Arial TUR;Arial" w:cs="Arial TUR;Arial"/>
          <w:rtl w:val="true"/>
        </w:rPr>
        <w:t xml:space="preserve"> </w:t>
      </w:r>
      <w:r>
        <w:rPr>
          <w:rtl w:val="true"/>
        </w:rPr>
        <w:t>לתיק</w:t>
      </w:r>
      <w:r>
        <w:rPr>
          <w:rFonts w:eastAsia="Arial TUR;Arial" w:cs="Arial TUR;Arial"/>
          <w:rtl w:val="true"/>
        </w:rPr>
        <w:t xml:space="preserve"> </w:t>
      </w:r>
      <w:r>
        <w:rPr>
          <w:rtl w:val="true"/>
        </w:rPr>
        <w:t>הקטן</w:t>
      </w:r>
      <w:r>
        <w:rPr>
          <w:rFonts w:eastAsia="Arial TUR;Arial" w:cs="Arial TUR;Arial"/>
          <w:rtl w:val="true"/>
        </w:rPr>
        <w:t xml:space="preserve"> </w:t>
      </w:r>
      <w:r>
        <w:rPr>
          <w:rtl w:val="true"/>
        </w:rPr>
        <w:t>שנשא</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w:t>
      </w:r>
      <w:r>
        <w:rPr>
          <w:rtl w:val="true"/>
        </w:rPr>
        <w:t>שמתואר</w:t>
      </w:r>
      <w:r>
        <w:rPr>
          <w:rFonts w:eastAsia="Arial TUR;Arial" w:cs="Arial TUR;Arial"/>
          <w:rtl w:val="true"/>
        </w:rPr>
        <w:t xml:space="preserve"> </w:t>
      </w:r>
      <w:r>
        <w:rPr>
          <w:rtl w:val="true"/>
        </w:rPr>
        <w:t>כפאוץ</w:t>
      </w:r>
      <w:r>
        <w:rPr>
          <w:rtl w:val="true"/>
        </w:rPr>
        <w:t xml:space="preserve">', </w:t>
      </w:r>
      <w:r>
        <w:rPr>
          <w:rtl w:val="true"/>
        </w:rPr>
        <w:t>פרוטוקול</w:t>
      </w:r>
      <w:r>
        <w:rPr>
          <w:rFonts w:eastAsia="Arial TUR;Arial" w:cs="Arial TUR;Arial"/>
          <w:rtl w:val="true"/>
        </w:rPr>
        <w:t xml:space="preserve"> </w:t>
      </w:r>
      <w:r>
        <w:rPr>
          <w:rtl w:val="true"/>
        </w:rPr>
        <w:t>עמ</w:t>
      </w:r>
      <w:r>
        <w:rPr>
          <w:rtl w:val="true"/>
        </w:rPr>
        <w:t xml:space="preserve">' </w:t>
      </w:r>
      <w:r>
        <w:rPr/>
        <w:t>941</w:t>
      </w:r>
      <w:r>
        <w:rPr>
          <w:rtl w:val="true"/>
        </w:rPr>
        <w:t xml:space="preserve"> </w:t>
      </w:r>
      <w:r>
        <w:rPr>
          <w:rtl w:val="true"/>
        </w:rPr>
        <w:t>ש</w:t>
      </w:r>
      <w:r>
        <w:rPr>
          <w:rtl w:val="true"/>
        </w:rPr>
        <w:t xml:space="preserve">' </w:t>
      </w:r>
      <w:r>
        <w:rPr/>
        <w:t>13-12</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לא</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נשא</w:t>
      </w:r>
      <w:r>
        <w:rPr>
          <w:rFonts w:eastAsia="Arial TUR;Arial" w:cs="Arial TUR;Arial"/>
          <w:rtl w:val="true"/>
        </w:rPr>
        <w:t xml:space="preserve"> </w:t>
      </w:r>
      <w:r>
        <w:rPr>
          <w:rtl w:val="true"/>
        </w:rPr>
        <w:t>בתיקו</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לדקירה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שאורכה</w:t>
      </w:r>
      <w:r>
        <w:rPr>
          <w:rFonts w:eastAsia="Arial TUR;Arial" w:cs="Arial TUR;Arial"/>
          <w:rtl w:val="true"/>
        </w:rPr>
        <w:t xml:space="preserve"> </w:t>
      </w:r>
      <w:r>
        <w:rPr/>
        <w:t>12-11</w:t>
      </w:r>
      <w:r>
        <w:rPr>
          <w:rtl w:val="true"/>
        </w:rPr>
        <w:t xml:space="preserve"> </w:t>
      </w:r>
      <w:r>
        <w:rPr>
          <w:rtl w:val="true"/>
        </w:rPr>
        <w:t>ס</w:t>
      </w:r>
      <w:r>
        <w:rPr>
          <w:rtl w:val="true"/>
        </w:rPr>
        <w:t>"</w:t>
      </w:r>
      <w:r>
        <w:rPr>
          <w:rtl w:val="true"/>
        </w:rPr>
        <w:t>מ</w:t>
      </w:r>
      <w:r>
        <w:rPr>
          <w:rFonts w:eastAsia="Arial TUR;Arial" w:cs="Arial TUR;Arial"/>
          <w:rtl w:val="true"/>
        </w:rPr>
        <w:t xml:space="preserve"> </w:t>
      </w:r>
      <w:r>
        <w:rPr>
          <w:rtl w:val="true"/>
        </w:rPr>
        <w:t>–</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tl w:val="true"/>
        </w:rPr>
        <w:t xml:space="preserve">. </w:t>
      </w:r>
    </w:p>
    <w:p>
      <w:pPr>
        <w:pStyle w:val="Ruller41"/>
        <w:ind w:end="0"/>
        <w:jc w:val="both"/>
        <w:rPr>
          <w:highlight w:val="green"/>
        </w:rPr>
      </w:pPr>
      <w:r>
        <w:rPr>
          <w:highlight w:val="green"/>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על פי חוות דעת המומחה</w:t>
      </w:r>
      <w:r>
        <w:rPr>
          <w:rtl w:val="true"/>
        </w:rPr>
        <w:t xml:space="preserve">, </w:t>
      </w:r>
      <w:r>
        <w:rPr>
          <w:rtl w:val="true"/>
        </w:rPr>
        <w:t>מרבית החבלות שנגרמו למנוח</w:t>
      </w:r>
      <w:r>
        <w:rPr>
          <w:rtl w:val="true"/>
        </w:rPr>
        <w:t xml:space="preserve">, </w:t>
      </w:r>
      <w:r>
        <w:rPr>
          <w:rtl w:val="true"/>
        </w:rPr>
        <w:t>ובהן הדקירה הקטלנית</w:t>
      </w:r>
      <w:r>
        <w:rPr>
          <w:rtl w:val="true"/>
        </w:rPr>
        <w:t xml:space="preserve">, </w:t>
      </w:r>
      <w:r>
        <w:rPr>
          <w:rtl w:val="true"/>
        </w:rPr>
        <w:t>נמצאו בחלק הקדמי של גופו</w:t>
      </w:r>
      <w:r>
        <w:rPr>
          <w:rtl w:val="true"/>
        </w:rPr>
        <w:t xml:space="preserve">. </w:t>
      </w:r>
      <w:r>
        <w:rPr>
          <w:rtl w:val="true"/>
        </w:rPr>
        <w:t>מכאן</w:t>
      </w:r>
      <w:r>
        <w:rPr>
          <w:rtl w:val="true"/>
        </w:rPr>
        <w:t xml:space="preserve">, </w:t>
      </w:r>
      <w:r>
        <w:rPr>
          <w:rtl w:val="true"/>
        </w:rPr>
        <w:t>ברי כי מי שביצע את הדקירה היה צריך לעמוד מול המנוח</w:t>
      </w:r>
      <w:r>
        <w:rPr>
          <w:rtl w:val="true"/>
        </w:rPr>
        <w:t xml:space="preserve">. </w:t>
      </w:r>
      <w:r>
        <w:rPr>
          <w:rtl w:val="true"/>
        </w:rPr>
        <w:t>בא כוח המערער טען כי מדובר במאבק דינמי במהלכו ייתכן כי השתנו המיקומים של כלל המעורבים</w:t>
      </w:r>
      <w:r>
        <w:rPr>
          <w:rtl w:val="true"/>
        </w:rPr>
        <w:t xml:space="preserve">, </w:t>
      </w:r>
      <w:r>
        <w:rPr>
          <w:rtl w:val="true"/>
        </w:rPr>
        <w:t>באופן שאיפשר לאכרם לבצע את הדקירה</w:t>
      </w:r>
      <w:r>
        <w:rPr>
          <w:rtl w:val="true"/>
        </w:rPr>
        <w:t xml:space="preserve">. </w:t>
      </w:r>
      <w:r>
        <w:rPr>
          <w:rtl w:val="true"/>
        </w:rPr>
        <w:t>אולם לא כך לפי גרסת המערער</w:t>
      </w:r>
      <w:r>
        <w:rPr>
          <w:rtl w:val="true"/>
        </w:rPr>
        <w:t xml:space="preserve">, </w:t>
      </w:r>
      <w:r>
        <w:rPr>
          <w:rtl w:val="true"/>
        </w:rPr>
        <w:t>לפיה במהלך כל המאבק אחז בו המנוח בצווארו</w:t>
      </w:r>
      <w:r>
        <w:rPr>
          <w:rtl w:val="true"/>
        </w:rPr>
        <w:t xml:space="preserve">. </w:t>
      </w:r>
      <w:r>
        <w:rPr>
          <w:rtl w:val="true"/>
        </w:rPr>
        <w:t>אכרם</w:t>
      </w:r>
      <w:r>
        <w:rPr>
          <w:rtl w:val="true"/>
        </w:rPr>
        <w:t xml:space="preserve">, </w:t>
      </w:r>
      <w:r>
        <w:rPr>
          <w:rtl w:val="true"/>
        </w:rPr>
        <w:t>לגרסת המערער</w:t>
      </w:r>
      <w:r>
        <w:rPr>
          <w:rtl w:val="true"/>
        </w:rPr>
        <w:t xml:space="preserve">, </w:t>
      </w:r>
      <w:r>
        <w:rPr>
          <w:rtl w:val="true"/>
        </w:rPr>
        <w:t>עמד תחילה מאחוריו</w:t>
      </w:r>
      <w:r>
        <w:rPr>
          <w:rtl w:val="true"/>
        </w:rPr>
        <w:t xml:space="preserve">, </w:t>
      </w:r>
      <w:r>
        <w:rPr>
          <w:rtl w:val="true"/>
        </w:rPr>
        <w:t xml:space="preserve">ובהמשך </w:t>
      </w:r>
      <w:r>
        <w:rPr>
          <w:rtl w:val="true"/>
        </w:rPr>
        <w:t>"</w:t>
      </w:r>
      <w:r>
        <w:rPr>
          <w:rtl w:val="true"/>
        </w:rPr>
        <w:t>עקף</w:t>
      </w:r>
      <w:r>
        <w:rPr>
          <w:rtl w:val="true"/>
        </w:rPr>
        <w:t xml:space="preserve">" </w:t>
      </w:r>
      <w:r>
        <w:rPr>
          <w:rtl w:val="true"/>
        </w:rPr>
        <w:t>את המנוח והמערער</w:t>
      </w:r>
      <w:r>
        <w:rPr>
          <w:rtl w:val="true"/>
        </w:rPr>
        <w:t xml:space="preserve">, </w:t>
      </w:r>
      <w:r>
        <w:rPr>
          <w:rtl w:val="true"/>
        </w:rPr>
        <w:t>שנאבקו זה מול זה</w:t>
      </w:r>
      <w:r>
        <w:rPr>
          <w:rtl w:val="true"/>
        </w:rPr>
        <w:t xml:space="preserve">, </w:t>
      </w:r>
      <w:r>
        <w:rPr>
          <w:rtl w:val="true"/>
        </w:rPr>
        <w:t>ועמד מאחורי המנוח</w:t>
      </w:r>
      <w:r>
        <w:rPr>
          <w:rtl w:val="true"/>
        </w:rPr>
        <w:t xml:space="preserve">. </w:t>
      </w:r>
      <w:r>
        <w:rPr>
          <w:rtl w:val="true"/>
        </w:rPr>
        <w:t>מכאן עולה כי במהלך כל המאבק אכרם לא עמד מול המנוח</w:t>
      </w:r>
      <w:r>
        <w:rPr>
          <w:rtl w:val="true"/>
        </w:rPr>
        <w:t xml:space="preserve">, </w:t>
      </w:r>
      <w:r>
        <w:rPr>
          <w:rtl w:val="true"/>
        </w:rPr>
        <w:t xml:space="preserve">ואזור הפציעות היה </w:t>
      </w:r>
      <w:r>
        <w:rPr>
          <w:rtl w:val="true"/>
        </w:rPr>
        <w:t>"</w:t>
      </w:r>
      <w:r>
        <w:rPr>
          <w:rtl w:val="true"/>
        </w:rPr>
        <w:t>כלוא</w:t>
      </w:r>
      <w:r>
        <w:rPr>
          <w:rtl w:val="true"/>
        </w:rPr>
        <w:t xml:space="preserve">" </w:t>
      </w:r>
      <w:r>
        <w:rPr>
          <w:rtl w:val="true"/>
        </w:rPr>
        <w:t>בין המערער לבין המנוח</w:t>
      </w:r>
      <w:r>
        <w:rPr>
          <w:rtl w:val="true"/>
        </w:rPr>
        <w:t xml:space="preserve">, </w:t>
      </w:r>
      <w:r>
        <w:rPr>
          <w:rtl w:val="true"/>
        </w:rPr>
        <w:t>מה שמקשה מאוד על האפשרות כי אכרם הוא שביצע את הדקירה</w:t>
      </w:r>
      <w:r>
        <w:rPr>
          <w:rtl w:val="true"/>
        </w:rPr>
        <w:t>.</w:t>
      </w:r>
    </w:p>
    <w:p>
      <w:pPr>
        <w:pStyle w:val="Ruller42"/>
        <w:numPr>
          <w:ilvl w:val="0"/>
          <w:numId w:val="0"/>
        </w:numPr>
        <w:ind w:hanging="0" w:start="0" w:end="0"/>
        <w:jc w:val="both"/>
        <w:rPr>
          <w:highlight w:val="yellow"/>
        </w:rPr>
      </w:pPr>
      <w:r>
        <w:rPr>
          <w:highlight w:val="yellow"/>
          <w:rtl w:val="true"/>
        </w:rPr>
      </w:r>
    </w:p>
    <w:p>
      <w:pPr>
        <w:pStyle w:val="Ruller42"/>
        <w:numPr>
          <w:ilvl w:val="0"/>
          <w:numId w:val="0"/>
        </w:numPr>
        <w:ind w:hanging="0" w:start="0" w:end="0"/>
        <w:jc w:val="both"/>
        <w:rPr/>
      </w:pPr>
      <w:r>
        <w:rPr>
          <w:rtl w:val="true"/>
        </w:rPr>
        <w:tab/>
      </w:r>
      <w:r>
        <w:rPr>
          <w:rtl w:val="true"/>
        </w:rPr>
        <w:t>לבסוף יצוין</w:t>
      </w:r>
      <w:r>
        <w:rPr>
          <w:rtl w:val="true"/>
        </w:rPr>
        <w:t xml:space="preserve">, </w:t>
      </w:r>
      <w:r>
        <w:rPr>
          <w:rtl w:val="true"/>
        </w:rPr>
        <w:t xml:space="preserve">כי נוכח קרבתו של המערער למנוח במהלך המאבק ומיד לאחריו </w:t>
      </w:r>
      <w:r>
        <w:rPr>
          <w:rtl w:val="true"/>
        </w:rPr>
        <w:t>–</w:t>
      </w:r>
      <w:r>
        <w:rPr>
          <w:rtl w:val="true"/>
        </w:rPr>
        <w:t xml:space="preserve"> סביר היה כי ככל שאכרם דקר את המנוח היה המערער מבחין בכך</w:t>
      </w:r>
      <w:r>
        <w:rPr>
          <w:rtl w:val="true"/>
        </w:rPr>
        <w:t xml:space="preserve">. </w:t>
      </w:r>
      <w:r>
        <w:rPr>
          <w:rtl w:val="true"/>
        </w:rPr>
        <w:t>עם זאת</w:t>
      </w:r>
      <w:r>
        <w:rPr>
          <w:rtl w:val="true"/>
        </w:rPr>
        <w:t xml:space="preserve">, </w:t>
      </w:r>
      <w:r>
        <w:rPr>
          <w:rtl w:val="true"/>
        </w:rPr>
        <w:t>המערער העיד כי כלל לא הבחין בהנפה של חפץ חד לעברו של המנוח</w:t>
      </w:r>
      <w:r>
        <w:rPr>
          <w:rtl w:val="true"/>
        </w:rPr>
        <w:t xml:space="preserve">, </w:t>
      </w:r>
      <w:r>
        <w:rPr>
          <w:rtl w:val="true"/>
        </w:rPr>
        <w:t>לא ראה את הדקירה</w:t>
      </w:r>
      <w:r>
        <w:rPr>
          <w:rtl w:val="true"/>
        </w:rPr>
        <w:t xml:space="preserve">, </w:t>
      </w:r>
      <w:r>
        <w:rPr>
          <w:rtl w:val="true"/>
        </w:rPr>
        <w:t xml:space="preserve">ולא שמע את רעש החבטות במנוח או את צעקות הכאב </w:t>
      </w:r>
      <w:r>
        <w:rPr>
          <w:rtl w:val="true"/>
        </w:rPr>
        <w:t>(</w:t>
      </w:r>
      <w:r>
        <w:rPr>
          <w:rtl w:val="true"/>
        </w:rPr>
        <w:t>פרוטוקול עמ</w:t>
      </w:r>
      <w:r>
        <w:rPr>
          <w:rtl w:val="true"/>
        </w:rPr>
        <w:t xml:space="preserve">' </w:t>
      </w:r>
      <w:r>
        <w:rPr/>
        <w:t>834</w:t>
      </w:r>
      <w:r>
        <w:rPr>
          <w:rtl w:val="true"/>
        </w:rPr>
        <w:t xml:space="preserve">). </w:t>
      </w:r>
      <w:r>
        <w:rPr>
          <w:rtl w:val="true"/>
        </w:rPr>
        <w:t>לטענתו</w:t>
      </w:r>
      <w:r>
        <w:rPr>
          <w:rtl w:val="true"/>
        </w:rPr>
        <w:t xml:space="preserve">, </w:t>
      </w:r>
      <w:r>
        <w:rPr>
          <w:rtl w:val="true"/>
        </w:rPr>
        <w:t>בשל החושך ששרר במקום</w:t>
      </w:r>
      <w:r>
        <w:rPr>
          <w:rtl w:val="true"/>
        </w:rPr>
        <w:t xml:space="preserve">, </w:t>
      </w:r>
      <w:r>
        <w:rPr>
          <w:rtl w:val="true"/>
        </w:rPr>
        <w:t>ייתכן שאכרם דקר את המנוח מבלי ששם לב</w:t>
      </w:r>
      <w:r>
        <w:rPr>
          <w:rtl w:val="true"/>
        </w:rPr>
        <w:t xml:space="preserve">. </w:t>
      </w:r>
      <w:r>
        <w:rPr>
          <w:rtl w:val="true"/>
        </w:rPr>
        <w:t>גם טענה זו נדחתה על ידי בית המשפט קמא</w:t>
      </w:r>
      <w:r>
        <w:rPr>
          <w:rtl w:val="true"/>
        </w:rPr>
        <w:t xml:space="preserve">, </w:t>
      </w:r>
      <w:r>
        <w:rPr>
          <w:rtl w:val="true"/>
        </w:rPr>
        <w:t>ובדין כך</w:t>
      </w:r>
      <w:r>
        <w:rPr>
          <w:rtl w:val="true"/>
        </w:rPr>
        <w:t>:</w:t>
      </w:r>
    </w:p>
    <w:p>
      <w:pPr>
        <w:pStyle w:val="Ruller41"/>
        <w:ind w:end="0"/>
        <w:jc w:val="both"/>
        <w:rPr/>
      </w:pPr>
      <w:r>
        <w:rPr>
          <w:rtl w:val="true"/>
        </w:rPr>
      </w:r>
    </w:p>
    <w:p>
      <w:pPr>
        <w:pStyle w:val="Ruller51"/>
        <w:ind w:end="1282"/>
        <w:jc w:val="both"/>
        <w:rPr/>
      </w:pPr>
      <w:r>
        <w:rPr>
          <w:rtl w:val="true"/>
        </w:rPr>
        <w:t>"</w:t>
      </w:r>
      <w:r>
        <w:rPr>
          <w:rtl w:val="true"/>
        </w:rPr>
        <w:t>לפי</w:t>
      </w:r>
      <w:r>
        <w:rPr>
          <w:rFonts w:eastAsia="Arial TUR;Arial" w:cs="Arial TUR;Arial"/>
          <w:rtl w:val="true"/>
        </w:rPr>
        <w:t xml:space="preserve"> </w:t>
      </w:r>
      <w:r>
        <w:rPr>
          <w:rtl w:val="true"/>
        </w:rPr>
        <w:t>הסיטואציה</w:t>
      </w:r>
      <w:r>
        <w:rPr>
          <w:rFonts w:eastAsia="Arial TUR;Arial" w:cs="Arial TUR;Arial"/>
          <w:rtl w:val="true"/>
        </w:rPr>
        <w:t xml:space="preserve"> </w:t>
      </w:r>
      <w:r>
        <w:rPr>
          <w:rtl w:val="true"/>
        </w:rPr>
        <w:t>שתיאר</w:t>
      </w:r>
      <w:r>
        <w:rPr>
          <w:rFonts w:eastAsia="Arial TUR;Arial" w:cs="Arial TUR;Arial"/>
          <w:rtl w:val="true"/>
        </w:rPr>
        <w:t xml:space="preserve"> </w:t>
      </w:r>
      <w:r>
        <w:rPr>
          <w:rtl w:val="true"/>
        </w:rPr>
        <w:t>הנאשם</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חייץ</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המנוח</w:t>
      </w:r>
      <w:r>
        <w:rPr>
          <w:rtl w:val="true"/>
        </w:rPr>
        <w:t xml:space="preserve">, </w:t>
      </w:r>
      <w:r>
        <w:rPr>
          <w:rtl w:val="true"/>
        </w:rPr>
        <w:t>כך</w:t>
      </w:r>
      <w:r>
        <w:rPr>
          <w:rFonts w:eastAsia="Arial TUR;Arial" w:cs="Arial TUR;Arial"/>
          <w:rtl w:val="true"/>
        </w:rPr>
        <w:t xml:space="preserve"> </w:t>
      </w:r>
      <w:r>
        <w:rPr>
          <w:rtl w:val="true"/>
        </w:rPr>
        <w:t>שאילו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שדקר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וחתך</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בפלג</w:t>
      </w:r>
      <w:r>
        <w:rPr>
          <w:rFonts w:eastAsia="Arial TUR;Arial" w:cs="Arial TUR;Arial"/>
          <w:rtl w:val="true"/>
        </w:rPr>
        <w:t xml:space="preserve"> </w:t>
      </w:r>
      <w:r>
        <w:rPr>
          <w:rtl w:val="true"/>
        </w:rPr>
        <w:t>הגוף</w:t>
      </w:r>
      <w:r>
        <w:rPr>
          <w:rFonts w:eastAsia="Arial TUR;Arial" w:cs="Arial TUR;Arial"/>
          <w:rtl w:val="true"/>
        </w:rPr>
        <w:t xml:space="preserve"> </w:t>
      </w:r>
      <w:r>
        <w:rPr>
          <w:rtl w:val="true"/>
        </w:rPr>
        <w:t>הקדמי</w:t>
      </w:r>
      <w:r>
        <w:rPr>
          <w:rtl w:val="true"/>
        </w:rPr>
        <w:t xml:space="preserve">, </w:t>
      </w:r>
      <w:r>
        <w:rPr>
          <w:rtl w:val="true"/>
        </w:rPr>
        <w:t>היה</w:t>
      </w:r>
      <w:r>
        <w:rPr>
          <w:rFonts w:eastAsia="Arial TUR;Arial" w:cs="Arial TUR;Arial"/>
          <w:rtl w:val="true"/>
        </w:rPr>
        <w:t xml:space="preserve"> </w:t>
      </w:r>
      <w:r>
        <w:rPr>
          <w:rtl w:val="true"/>
        </w:rPr>
        <w:t>הנאשם</w:t>
      </w:r>
      <w:r>
        <w:rPr>
          <w:rtl w:val="true"/>
        </w:rPr>
        <w:t xml:space="preserve">, </w:t>
      </w:r>
      <w:r>
        <w:rPr>
          <w:rtl w:val="true"/>
        </w:rPr>
        <w:t>גם</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החשיכה</w:t>
      </w:r>
      <w:r>
        <w:rPr>
          <w:rtl w:val="true"/>
        </w:rPr>
        <w:t xml:space="preserve">, </w:t>
      </w:r>
      <w:r>
        <w:rPr>
          <w:rtl w:val="true"/>
        </w:rPr>
        <w:t>חייב</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זאת</w:t>
      </w:r>
      <w:r>
        <w:rPr>
          <w:rtl w:val="true"/>
        </w:rPr>
        <w:t xml:space="preserve">, </w:t>
      </w:r>
      <w:r>
        <w:rPr>
          <w:rtl w:val="true"/>
        </w:rPr>
        <w:t>או</w:t>
      </w:r>
      <w:r>
        <w:rPr>
          <w:rFonts w:eastAsia="Arial TUR;Arial" w:cs="Arial TUR;Arial"/>
          <w:rtl w:val="true"/>
        </w:rPr>
        <w:t xml:space="preserve"> </w:t>
      </w:r>
      <w:r>
        <w:rPr>
          <w:rtl w:val="true"/>
        </w:rPr>
        <w:t>לפחות</w:t>
      </w:r>
      <w:r>
        <w:rPr>
          <w:rFonts w:eastAsia="Arial TUR;Arial" w:cs="Arial TUR;Arial"/>
          <w:rtl w:val="true"/>
        </w:rPr>
        <w:t xml:space="preserve"> </w:t>
      </w:r>
      <w:r>
        <w:rPr>
          <w:rtl w:val="true"/>
        </w:rPr>
        <w:t>לחוש</w:t>
      </w:r>
      <w:r>
        <w:rPr>
          <w:rFonts w:eastAsia="Arial TUR;Arial" w:cs="Arial TUR;Arial"/>
          <w:rtl w:val="true"/>
        </w:rPr>
        <w:t xml:space="preserve"> </w:t>
      </w:r>
      <w:r>
        <w:rPr>
          <w:rtl w:val="true"/>
        </w:rPr>
        <w:t>בתנועה</w:t>
      </w:r>
      <w:r>
        <w:rPr>
          <w:rFonts w:eastAsia="Arial TUR;Arial" w:cs="Arial TUR;Arial"/>
          <w:rtl w:val="true"/>
        </w:rPr>
        <w:t xml:space="preserve"> </w:t>
      </w:r>
      <w:r>
        <w:rPr>
          <w:rtl w:val="true"/>
        </w:rPr>
        <w:t>חריגה</w:t>
      </w:r>
      <w:r>
        <w:rPr>
          <w:rtl w:val="true"/>
        </w:rPr>
        <w:t>" (</w:t>
      </w:r>
      <w:r>
        <w:rPr>
          <w:rtl w:val="true"/>
        </w:rPr>
        <w:t>שם</w:t>
      </w:r>
      <w:r>
        <w:rPr>
          <w:rtl w:val="true"/>
        </w:rPr>
        <w:t>).</w:t>
      </w:r>
    </w:p>
    <w:p>
      <w:pPr>
        <w:pStyle w:val="Ruller41"/>
        <w:ind w:end="0"/>
        <w:jc w:val="both"/>
        <w:rPr>
          <w:highlight w:val="green"/>
        </w:rPr>
      </w:pPr>
      <w:r>
        <w:rPr>
          <w:highlight w:val="green"/>
          <w:rtl w:val="true"/>
        </w:rPr>
      </w:r>
    </w:p>
    <w:p>
      <w:pPr>
        <w:pStyle w:val="Ruller41"/>
        <w:ind w:end="0"/>
        <w:jc w:val="both"/>
        <w:rPr/>
      </w:pPr>
      <w:r>
        <w:rPr>
          <w:rtl w:val="true"/>
        </w:rPr>
        <w:tab/>
      </w:r>
      <w:r>
        <w:rPr>
          <w:rtl w:val="true"/>
        </w:rPr>
        <w:t>יתרה</w:t>
      </w:r>
      <w:r>
        <w:rPr>
          <w:rFonts w:eastAsia="Arial TUR;Arial" w:cs="Arial TUR;Arial"/>
          <w:rtl w:val="true"/>
        </w:rPr>
        <w:t xml:space="preserve"> </w:t>
      </w:r>
      <w:r>
        <w:rPr>
          <w:rtl w:val="true"/>
        </w:rPr>
        <w:t>מכך</w:t>
      </w:r>
      <w:r>
        <w:rPr>
          <w:rtl w:val="true"/>
        </w:rPr>
        <w:t xml:space="preserve">, </w:t>
      </w:r>
      <w:r>
        <w:rPr>
          <w:rtl w:val="true"/>
        </w:rPr>
        <w:t>המערער</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שררה</w:t>
      </w:r>
      <w:r>
        <w:rPr>
          <w:rFonts w:eastAsia="Arial TUR;Arial" w:cs="Arial TUR;Arial"/>
          <w:rtl w:val="true"/>
        </w:rPr>
        <w:t xml:space="preserve"> </w:t>
      </w:r>
      <w:r>
        <w:rPr>
          <w:rtl w:val="true"/>
        </w:rPr>
        <w:t>עלטה</w:t>
      </w:r>
      <w:r>
        <w:rPr>
          <w:rFonts w:eastAsia="Arial TUR;Arial" w:cs="Arial TUR;Arial"/>
          <w:rtl w:val="true"/>
        </w:rPr>
        <w:t xml:space="preserve"> </w:t>
      </w:r>
      <w:r>
        <w:rPr>
          <w:rtl w:val="true"/>
        </w:rPr>
        <w:t>מוחלטת</w:t>
      </w:r>
      <w:r>
        <w:rPr>
          <w:rFonts w:eastAsia="Arial TUR;Arial" w:cs="Arial TUR;Arial"/>
          <w:rtl w:val="true"/>
        </w:rPr>
        <w:t xml:space="preserve"> </w:t>
      </w:r>
      <w:r>
        <w:rPr>
          <w:rtl w:val="true"/>
        </w:rPr>
        <w:t>ואור</w:t>
      </w:r>
      <w:r>
        <w:rPr>
          <w:rFonts w:eastAsia="Arial TUR;Arial" w:cs="Arial TUR;Arial"/>
          <w:rtl w:val="true"/>
        </w:rPr>
        <w:t xml:space="preserve"> </w:t>
      </w:r>
      <w:r>
        <w:rPr>
          <w:rtl w:val="true"/>
        </w:rPr>
        <w:t>מבחוץ</w:t>
      </w:r>
      <w:r>
        <w:rPr>
          <w:rFonts w:eastAsia="Arial TUR;Arial" w:cs="Arial TUR;Arial"/>
          <w:rtl w:val="true"/>
        </w:rPr>
        <w:t xml:space="preserve"> </w:t>
      </w:r>
      <w:r>
        <w:rPr>
          <w:rtl w:val="true"/>
        </w:rPr>
        <w:t>חדר</w:t>
      </w:r>
      <w:r>
        <w:rPr>
          <w:rFonts w:eastAsia="Arial TUR;Arial" w:cs="Arial TUR;Arial"/>
          <w:rtl w:val="true"/>
        </w:rPr>
        <w:t xml:space="preserve"> </w:t>
      </w:r>
      <w:r>
        <w:rPr>
          <w:rtl w:val="true"/>
        </w:rPr>
        <w:t>פנימה</w:t>
      </w:r>
      <w:r>
        <w:rPr>
          <w:rFonts w:eastAsia="Arial TUR;Arial" w:cs="Arial TUR;Arial"/>
          <w:rtl w:val="true"/>
        </w:rPr>
        <w:t xml:space="preserve"> </w:t>
      </w:r>
      <w:r>
        <w:rPr>
          <w:rtl w:val="true"/>
        </w:rPr>
        <w:t>והאיר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אזור</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w:t>
      </w:r>
      <w:r>
        <w:rPr>
          <w:rtl w:val="true"/>
        </w:rPr>
        <w:t>פרוטוקול</w:t>
      </w:r>
      <w:r>
        <w:rPr>
          <w:rFonts w:eastAsia="Arial TUR;Arial" w:cs="Arial TUR;Arial"/>
          <w:rtl w:val="true"/>
        </w:rPr>
        <w:t xml:space="preserve"> </w:t>
      </w:r>
      <w:r>
        <w:rPr>
          <w:rtl w:val="true"/>
        </w:rPr>
        <w:t>עמ</w:t>
      </w:r>
      <w:r>
        <w:rPr>
          <w:rtl w:val="true"/>
        </w:rPr>
        <w:t xml:space="preserve">' </w:t>
      </w:r>
      <w:r>
        <w:rPr/>
        <w:t>844-843</w:t>
      </w:r>
      <w:r>
        <w:rPr>
          <w:rtl w:val="true"/>
        </w:rPr>
        <w:t xml:space="preserve">). </w:t>
      </w:r>
      <w:r>
        <w:rPr>
          <w:rtl w:val="true"/>
        </w:rPr>
        <w:t>בתנאים</w:t>
      </w:r>
      <w:r>
        <w:rPr>
          <w:rFonts w:eastAsia="Arial TUR;Arial" w:cs="Arial TUR;Arial"/>
          <w:rtl w:val="true"/>
        </w:rPr>
        <w:t xml:space="preserve"> </w:t>
      </w:r>
      <w:r>
        <w:rPr>
          <w:rtl w:val="true"/>
        </w:rPr>
        <w:t>אלו</w:t>
      </w:r>
      <w:r>
        <w:rPr>
          <w:rtl w:val="true"/>
        </w:rPr>
        <w:t xml:space="preserve">, </w:t>
      </w:r>
      <w:r>
        <w:rPr>
          <w:rtl w:val="true"/>
        </w:rPr>
        <w:t>לא</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במרחק</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קצר</w:t>
      </w:r>
      <w:r>
        <w:rPr>
          <w:rtl w:val="true"/>
        </w:rPr>
        <w:t xml:space="preserve">, </w:t>
      </w:r>
      <w:r>
        <w:rPr>
          <w:rtl w:val="true"/>
        </w:rPr>
        <w:t>סנטימטרים</w:t>
      </w:r>
      <w:r>
        <w:rPr>
          <w:rFonts w:eastAsia="Arial TUR;Arial" w:cs="Arial TUR;Arial"/>
          <w:rtl w:val="true"/>
        </w:rPr>
        <w:t xml:space="preserve"> </w:t>
      </w:r>
      <w:r>
        <w:rPr>
          <w:rtl w:val="true"/>
        </w:rPr>
        <w:t>ספורים</w:t>
      </w:r>
      <w:r>
        <w:rPr>
          <w:rtl w:val="true"/>
        </w:rPr>
        <w:t xml:space="preserve">, </w:t>
      </w:r>
      <w:r>
        <w:rPr>
          <w:rtl w:val="true"/>
        </w:rPr>
        <w:t>לא</w:t>
      </w:r>
      <w:r>
        <w:rPr>
          <w:rFonts w:eastAsia="Arial TUR;Arial" w:cs="Arial TUR;Arial"/>
          <w:rtl w:val="true"/>
        </w:rPr>
        <w:t xml:space="preserve"> </w:t>
      </w:r>
      <w:r>
        <w:rPr>
          <w:rtl w:val="true"/>
        </w:rPr>
        <w:t>יבחין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במתרחש</w:t>
      </w:r>
      <w:r>
        <w:rPr>
          <w:rtl w:val="true"/>
        </w:rPr>
        <w:t xml:space="preserve">. </w:t>
      </w:r>
      <w:r>
        <w:rPr>
          <w:rtl w:val="true"/>
        </w:rPr>
        <w:t>לכך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שדקירה</w:t>
      </w:r>
      <w:r>
        <w:rPr>
          <w:rFonts w:eastAsia="Arial TUR;Arial" w:cs="Arial TUR;Arial"/>
          <w:rtl w:val="true"/>
        </w:rPr>
        <w:t xml:space="preserve"> </w:t>
      </w:r>
      <w:r>
        <w:rPr>
          <w:rtl w:val="true"/>
        </w:rPr>
        <w:t>משמעותית</w:t>
      </w:r>
      <w:r>
        <w:rPr>
          <w:rFonts w:eastAsia="Arial TUR;Arial" w:cs="Arial TUR;Arial"/>
          <w:rtl w:val="true"/>
        </w:rPr>
        <w:t xml:space="preserve"> </w:t>
      </w:r>
      <w:r>
        <w:rPr>
          <w:rtl w:val="true"/>
        </w:rPr>
        <w:t>שכזו</w:t>
      </w:r>
      <w:r>
        <w:rPr>
          <w:rFonts w:eastAsia="Arial TUR;Arial" w:cs="Arial TUR;Arial"/>
          <w:rtl w:val="true"/>
        </w:rPr>
        <w:t xml:space="preserve"> </w:t>
      </w:r>
      <w:r>
        <w:rPr>
          <w:rtl w:val="true"/>
        </w:rPr>
        <w:t>עוררה</w:t>
      </w:r>
      <w:r>
        <w:rPr>
          <w:rFonts w:eastAsia="Arial TUR;Arial" w:cs="Arial TUR;Arial"/>
          <w:rtl w:val="true"/>
        </w:rPr>
        <w:t xml:space="preserve"> </w:t>
      </w:r>
      <w:r>
        <w:rPr>
          <w:rtl w:val="true"/>
        </w:rPr>
        <w:t>תגובות</w:t>
      </w:r>
      <w:r>
        <w:rPr>
          <w:rFonts w:eastAsia="Arial TUR;Arial" w:cs="Arial TUR;Arial"/>
          <w:rtl w:val="true"/>
        </w:rPr>
        <w:t xml:space="preserve"> </w:t>
      </w:r>
      <w:r>
        <w:rPr>
          <w:rtl w:val="true"/>
        </w:rPr>
        <w:t>פיזיות</w:t>
      </w:r>
      <w:r>
        <w:rPr>
          <w:rFonts w:eastAsia="Arial TUR;Arial" w:cs="Arial TUR;Arial"/>
          <w:rtl w:val="true"/>
        </w:rPr>
        <w:t xml:space="preserve"> </w:t>
      </w:r>
      <w:r>
        <w:rPr>
          <w:rtl w:val="true"/>
        </w:rPr>
        <w:t>כלשהן</w:t>
      </w:r>
      <w:r>
        <w:rPr>
          <w:rtl w:val="true"/>
        </w:rPr>
        <w:t xml:space="preserve">, </w:t>
      </w:r>
      <w:r>
        <w:rPr>
          <w:rtl w:val="true"/>
        </w:rPr>
        <w:t>או</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תנועה</w:t>
      </w:r>
      <w:r>
        <w:rPr>
          <w:rFonts w:eastAsia="Arial TUR;Arial" w:cs="Arial TUR;Arial"/>
          <w:rtl w:val="true"/>
        </w:rPr>
        <w:t xml:space="preserve"> </w:t>
      </w:r>
      <w:r>
        <w:rPr>
          <w:rtl w:val="true"/>
        </w:rPr>
        <w:t>חריגה</w:t>
      </w:r>
      <w:r>
        <w:rPr>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הרגיש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הדקירה</w:t>
      </w:r>
      <w:r>
        <w:rPr>
          <w:rtl w:val="true"/>
        </w:rPr>
        <w:t>.</w:t>
      </w:r>
    </w:p>
    <w:p>
      <w:pPr>
        <w:pStyle w:val="Ruller41"/>
        <w:ind w:end="0"/>
        <w:jc w:val="both"/>
        <w:rPr/>
      </w:pPr>
      <w:r>
        <w:rPr>
          <w:rtl w:val="true"/>
        </w:rPr>
        <w:tab/>
      </w:r>
    </w:p>
    <w:p>
      <w:pPr>
        <w:pStyle w:val="Ruller41"/>
        <w:ind w:end="0"/>
        <w:jc w:val="both"/>
        <w:rPr/>
      </w:pPr>
      <w:r>
        <w:rPr>
          <w:rtl w:val="true"/>
        </w:rPr>
        <w:tab/>
      </w:r>
      <w:r>
        <w:rPr>
          <w:rtl w:val="true"/>
        </w:rPr>
        <w:t>נוכח</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tl w:val="true"/>
        </w:rPr>
        <w:t xml:space="preserve">, </w:t>
      </w:r>
      <w:r>
        <w:rPr>
          <w:rtl w:val="true"/>
        </w:rPr>
        <w:t>לא</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כי</w:t>
      </w:r>
      <w:r>
        <w:rPr>
          <w:rFonts w:eastAsia="Arial TUR;Arial" w:cs="Arial TUR;Arial"/>
          <w:rtl w:val="true"/>
        </w:rPr>
        <w:t xml:space="preserve"> </w:t>
      </w:r>
      <w:r>
        <w:rPr>
          <w:rtl w:val="true"/>
        </w:rPr>
        <w:t>לתרחיש</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אכרם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הדוקר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rFonts w:ascii="Century" w:hAnsi="Century" w:cs="Century"/>
          <w:sz w:val="22"/>
        </w:rPr>
      </w:pPr>
      <w:r>
        <w:rPr>
          <w:rtl w:val="true"/>
        </w:rPr>
        <w:t xml:space="preserve">אשר לתרחיש לפיו </w:t>
      </w:r>
      <w:r>
        <w:rPr>
          <w:rFonts w:ascii="Century" w:hAnsi="Century" w:cs="Miriam"/>
          <w:b/>
          <w:b/>
          <w:spacing w:val="0"/>
          <w:sz w:val="22"/>
          <w:sz w:val="22"/>
          <w:szCs w:val="24"/>
          <w:rtl w:val="true"/>
        </w:rPr>
        <w:t>האדי</w:t>
      </w:r>
      <w:r>
        <w:rPr>
          <w:rFonts w:ascii="Century" w:hAnsi="Century" w:cs="Century"/>
          <w:sz w:val="22"/>
          <w:sz w:val="22"/>
          <w:rtl w:val="true"/>
        </w:rPr>
        <w:t xml:space="preserve"> דקר את המנוח</w:t>
      </w:r>
      <w:r>
        <w:rPr>
          <w:rFonts w:cs="Century" w:ascii="Century" w:hAnsi="Century"/>
          <w:sz w:val="22"/>
          <w:rtl w:val="true"/>
        </w:rPr>
        <w:t xml:space="preserve">, </w:t>
      </w:r>
      <w:r>
        <w:rPr>
          <w:rFonts w:ascii="Century" w:hAnsi="Century" w:cs="Century"/>
          <w:sz w:val="22"/>
          <w:sz w:val="22"/>
          <w:rtl w:val="true"/>
        </w:rPr>
        <w:t>הרי ש</w:t>
      </w:r>
      <w:r>
        <w:rPr>
          <w:rtl w:val="true"/>
        </w:rPr>
        <w:t xml:space="preserve">הראיות האובייקטיביות שנמצאו במקום </w:t>
      </w:r>
      <w:r>
        <w:rPr>
          <w:rtl w:val="true"/>
        </w:rPr>
        <w:t>–</w:t>
      </w:r>
      <w:r>
        <w:rPr>
          <w:rtl w:val="true"/>
        </w:rPr>
        <w:t xml:space="preserve"> כתמי התזת הדם </w:t>
      </w:r>
      <w:r>
        <w:rPr>
          <w:rtl w:val="true"/>
        </w:rPr>
        <w:t>–</w:t>
      </w:r>
      <w:r>
        <w:rPr>
          <w:rtl w:val="true"/>
        </w:rPr>
        <w:t xml:space="preserve"> מצביעות על כך שהמנוח נדקר </w:t>
      </w:r>
      <w:r>
        <w:rPr>
          <w:rFonts w:ascii="Century" w:hAnsi="Century" w:cs="Miriam"/>
          <w:b/>
          <w:b/>
          <w:spacing w:val="0"/>
          <w:sz w:val="22"/>
          <w:sz w:val="22"/>
          <w:szCs w:val="24"/>
          <w:rtl w:val="true"/>
        </w:rPr>
        <w:t>בתוך</w:t>
      </w:r>
      <w:r>
        <w:rPr>
          <w:rtl w:val="true"/>
        </w:rPr>
        <w:t xml:space="preserve"> הבית </w:t>
      </w:r>
      <w:r>
        <w:rPr>
          <w:rtl w:val="true"/>
        </w:rPr>
        <w:t>(</w:t>
      </w:r>
      <w:r>
        <w:rPr>
          <w:rtl w:val="true"/>
        </w:rPr>
        <w:t xml:space="preserve">פסקה </w:t>
      </w:r>
      <w:r>
        <w:rPr/>
        <w:t>76</w:t>
      </w:r>
      <w:r>
        <w:rPr>
          <w:rtl w:val="true"/>
        </w:rPr>
        <w:t xml:space="preserve"> </w:t>
      </w:r>
      <w:r>
        <w:rPr>
          <w:rtl w:val="true"/>
        </w:rPr>
        <w:t>להכרעת הדין</w:t>
      </w:r>
      <w:r>
        <w:rPr>
          <w:rtl w:val="true"/>
        </w:rPr>
        <w:t xml:space="preserve">). </w:t>
      </w:r>
      <w:r>
        <w:rPr>
          <w:rtl w:val="true"/>
        </w:rPr>
        <w:t>מאחר שהאדי</w:t>
      </w:r>
      <w:r>
        <w:rPr>
          <w:rtl w:val="true"/>
        </w:rPr>
        <w:t xml:space="preserve">, </w:t>
      </w:r>
      <w:r>
        <w:rPr>
          <w:rtl w:val="true"/>
        </w:rPr>
        <w:t xml:space="preserve">גם לגרסת המערער בחקירתו הנגדית </w:t>
      </w:r>
      <w:r>
        <w:rPr>
          <w:rtl w:val="true"/>
        </w:rPr>
        <w:t>(</w:t>
      </w:r>
      <w:r>
        <w:rPr>
          <w:rtl w:val="true"/>
        </w:rPr>
        <w:t xml:space="preserve">סעיף </w:t>
      </w:r>
      <w:r>
        <w:rPr/>
        <w:t>340</w:t>
      </w:r>
      <w:r>
        <w:rPr>
          <w:rtl w:val="true"/>
        </w:rPr>
        <w:t xml:space="preserve"> </w:t>
      </w:r>
      <w:r>
        <w:rPr>
          <w:rtl w:val="true"/>
        </w:rPr>
        <w:t>להכרעת הדין</w:t>
      </w:r>
      <w:r>
        <w:rPr>
          <w:rtl w:val="true"/>
        </w:rPr>
        <w:t xml:space="preserve">, </w:t>
      </w:r>
      <w:r>
        <w:rPr>
          <w:rtl w:val="true"/>
        </w:rPr>
        <w:t>פרוטוקול עמ</w:t>
      </w:r>
      <w:r>
        <w:rPr>
          <w:rtl w:val="true"/>
        </w:rPr>
        <w:t xml:space="preserve">' </w:t>
      </w:r>
      <w:r>
        <w:rPr/>
        <w:t>879-874</w:t>
      </w:r>
      <w:r>
        <w:rPr>
          <w:rtl w:val="true"/>
        </w:rPr>
        <w:t xml:space="preserve">), </w:t>
      </w:r>
      <w:r>
        <w:rPr>
          <w:rtl w:val="true"/>
        </w:rPr>
        <w:t xml:space="preserve">עמד </w:t>
      </w:r>
      <w:r>
        <w:rPr>
          <w:rFonts w:ascii="Century" w:hAnsi="Century" w:cs="Miriam"/>
          <w:b/>
          <w:b/>
          <w:spacing w:val="0"/>
          <w:sz w:val="22"/>
          <w:sz w:val="22"/>
          <w:szCs w:val="24"/>
          <w:rtl w:val="true"/>
        </w:rPr>
        <w:t>מחוץ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הבית</w:t>
      </w:r>
      <w:r>
        <w:rPr>
          <w:rtl w:val="true"/>
        </w:rPr>
        <w:t xml:space="preserve"> לא ניתן להניח באופן מתקבל על הדעת כי האדי הוא שדקר את המנוח</w:t>
      </w:r>
      <w:r>
        <w:rPr>
          <w:rtl w:val="true"/>
        </w:rPr>
        <w:t xml:space="preserve">. </w:t>
      </w:r>
      <w:r>
        <w:rPr>
          <w:rtl w:val="true"/>
        </w:rPr>
        <w:t>למעשה</w:t>
      </w:r>
      <w:r>
        <w:rPr>
          <w:rtl w:val="true"/>
        </w:rPr>
        <w:t xml:space="preserve">, </w:t>
      </w:r>
      <w:r>
        <w:rPr>
          <w:rtl w:val="true"/>
        </w:rPr>
        <w:t>במהלך הדיון בערעור בחר בא כוח המערער שלא להתבסס על תרחיש זה</w:t>
      </w:r>
      <w:r>
        <w:rPr>
          <w:rtl w:val="true"/>
        </w:rPr>
        <w:t xml:space="preserve">, </w:t>
      </w:r>
      <w:r>
        <w:rPr>
          <w:rtl w:val="true"/>
        </w:rPr>
        <w:t>ולא בכדי</w:t>
      </w:r>
      <w:r>
        <w:rPr>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pPr>
      <w:r>
        <w:rPr>
          <w:rtl w:val="true"/>
        </w:rPr>
        <w:t>למען שלמות התמונה יוער כי במהלך עדותו בבית המשפט קמא טען המערער לקיומה של אפשרות נוספת</w:t>
      </w:r>
      <w:r>
        <w:rPr>
          <w:rtl w:val="true"/>
        </w:rPr>
        <w:t xml:space="preserve">, </w:t>
      </w:r>
      <w:r>
        <w:rPr>
          <w:rtl w:val="true"/>
        </w:rPr>
        <w:t>עליה לא חזר במסגרת ערעורו</w:t>
      </w:r>
      <w:r>
        <w:rPr>
          <w:rtl w:val="true"/>
        </w:rPr>
        <w:t xml:space="preserve">, </w:t>
      </w:r>
      <w:r>
        <w:rPr>
          <w:rtl w:val="true"/>
        </w:rPr>
        <w:t>לפיה אדם זר</w:t>
      </w:r>
      <w:r>
        <w:rPr>
          <w:rtl w:val="true"/>
        </w:rPr>
        <w:t xml:space="preserve">, </w:t>
      </w:r>
      <w:r>
        <w:rPr>
          <w:rtl w:val="true"/>
        </w:rPr>
        <w:t>אלמוני</w:t>
      </w:r>
      <w:r>
        <w:rPr>
          <w:rtl w:val="true"/>
        </w:rPr>
        <w:t xml:space="preserve">, </w:t>
      </w:r>
      <w:r>
        <w:rPr>
          <w:rtl w:val="true"/>
        </w:rPr>
        <w:t xml:space="preserve">הוא שביצע את הדקירה </w:t>
      </w:r>
      <w:r>
        <w:rPr>
          <w:rtl w:val="true"/>
        </w:rPr>
        <w:t>(</w:t>
      </w:r>
      <w:r>
        <w:rPr>
          <w:rtl w:val="true"/>
        </w:rPr>
        <w:t>פרוטוקול עמ</w:t>
      </w:r>
      <w:r>
        <w:rPr>
          <w:rtl w:val="true"/>
        </w:rPr>
        <w:t xml:space="preserve">' </w:t>
      </w:r>
      <w:r>
        <w:rPr/>
        <w:t>904-903</w:t>
      </w:r>
      <w:r>
        <w:rPr>
          <w:rtl w:val="true"/>
        </w:rPr>
        <w:t xml:space="preserve">). </w:t>
      </w:r>
      <w:r>
        <w:rPr>
          <w:rtl w:val="true"/>
        </w:rPr>
        <w:t>גם תרחיש זה נדון ונדחה על ידי בית המשפט קמא</w:t>
      </w:r>
      <w:r>
        <w:rPr>
          <w:rtl w:val="true"/>
        </w:rPr>
        <w:t xml:space="preserve">, </w:t>
      </w:r>
      <w:r>
        <w:rPr>
          <w:rtl w:val="true"/>
        </w:rPr>
        <w:t>בהיותו תיאורטי בלבד</w:t>
      </w:r>
      <w:r>
        <w:rPr>
          <w:rtl w:val="true"/>
        </w:rPr>
        <w:t xml:space="preserve">, </w:t>
      </w:r>
      <w:r>
        <w:rPr>
          <w:rtl w:val="true"/>
        </w:rPr>
        <w:t>ומסקנה זו מקובלת עליי</w:t>
      </w:r>
      <w:r>
        <w:rPr>
          <w:rtl w:val="true"/>
        </w:rPr>
        <w:t>:</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במקרה</w:t>
      </w:r>
      <w:r>
        <w:rPr>
          <w:rFonts w:eastAsia="Arial TUR;Arial" w:cs="Arial TUR;Arial"/>
          <w:rtl w:val="true"/>
        </w:rPr>
        <w:t xml:space="preserve"> </w:t>
      </w:r>
      <w:r>
        <w:rPr>
          <w:rtl w:val="true"/>
        </w:rPr>
        <w:t>הנדון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אלמוני</w:t>
      </w:r>
      <w:r>
        <w:rPr>
          <w:rFonts w:eastAsia="Arial TUR;Arial" w:cs="Arial TUR;Arial"/>
          <w:rtl w:val="true"/>
        </w:rPr>
        <w:t xml:space="preserve"> </w:t>
      </w:r>
      <w:r>
        <w:rPr>
          <w:rtl w:val="true"/>
        </w:rPr>
        <w:t>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 xml:space="preserve">. </w:t>
      </w:r>
      <w:r>
        <w:rPr>
          <w:rtl w:val="true"/>
        </w:rPr>
        <w:t>לפי</w:t>
      </w:r>
      <w:r>
        <w:rPr>
          <w:rFonts w:eastAsia="Arial TUR;Arial" w:cs="Arial TUR;Arial"/>
          <w:rtl w:val="true"/>
        </w:rPr>
        <w:t xml:space="preserve"> </w:t>
      </w:r>
      <w:r>
        <w:rPr>
          <w:rtl w:val="true"/>
        </w:rPr>
        <w:t>הממצאים</w:t>
      </w:r>
      <w:r>
        <w:rPr>
          <w:rFonts w:eastAsia="Arial TUR;Arial" w:cs="Arial TUR;Arial"/>
          <w:rtl w:val="true"/>
        </w:rPr>
        <w:t xml:space="preserve"> </w:t>
      </w:r>
      <w:r>
        <w:rPr>
          <w:rtl w:val="true"/>
        </w:rPr>
        <w:t>העובדתיים</w:t>
      </w:r>
      <w:r>
        <w:rPr>
          <w:rFonts w:eastAsia="Arial TUR;Arial" w:cs="Arial TUR;Arial"/>
          <w:rtl w:val="true"/>
        </w:rPr>
        <w:t xml:space="preserve"> </w:t>
      </w:r>
      <w:r>
        <w:rPr>
          <w:rtl w:val="true"/>
        </w:rPr>
        <w:t>שנקבעו</w:t>
      </w:r>
      <w:r>
        <w:rPr>
          <w:rtl w:val="true"/>
        </w:rPr>
        <w:t xml:space="preserve">, </w:t>
      </w:r>
      <w:r>
        <w:rPr>
          <w:rtl w:val="true"/>
        </w:rPr>
        <w:t>אכרם</w:t>
      </w:r>
      <w:r>
        <w:rPr>
          <w:rFonts w:eastAsia="Arial TUR;Arial" w:cs="Arial TUR;Arial"/>
          <w:rtl w:val="true"/>
        </w:rPr>
        <w:t xml:space="preserve"> </w:t>
      </w:r>
      <w:r>
        <w:rPr>
          <w:rtl w:val="true"/>
        </w:rPr>
        <w:t>והנאשם</w:t>
      </w:r>
      <w:r>
        <w:rPr>
          <w:rtl w:val="true"/>
        </w:rPr>
        <w:t xml:space="preserve">, </w:t>
      </w:r>
      <w:r>
        <w:rPr>
          <w:rtl w:val="true"/>
        </w:rPr>
        <w:t>והם</w:t>
      </w:r>
      <w:r>
        <w:rPr>
          <w:rFonts w:eastAsia="Arial TUR;Arial" w:cs="Arial TUR;Arial"/>
          <w:rtl w:val="true"/>
        </w:rPr>
        <w:t xml:space="preserve"> </w:t>
      </w:r>
      <w:r>
        <w:rPr>
          <w:rtl w:val="true"/>
        </w:rPr>
        <w:t>בלבד</w:t>
      </w:r>
      <w:r>
        <w:rPr>
          <w:rtl w:val="true"/>
        </w:rPr>
        <w:t xml:space="preserve">, </w:t>
      </w:r>
      <w:r>
        <w:rPr>
          <w:rtl w:val="true"/>
        </w:rPr>
        <w:t>נכנסו</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הבית</w:t>
      </w:r>
      <w:r>
        <w:rPr>
          <w:rtl w:val="true"/>
        </w:rPr>
        <w:t xml:space="preserve">, </w:t>
      </w:r>
      <w:r>
        <w:rPr>
          <w:rtl w:val="true"/>
        </w:rPr>
        <w:t>והאדי</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בחוץ</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לתצפת</w:t>
      </w:r>
      <w:r>
        <w:rPr>
          <w:rtl w:val="true"/>
        </w:rPr>
        <w:t xml:space="preserve">. </w:t>
      </w:r>
      <w:r>
        <w:rPr>
          <w:rtl w:val="true"/>
        </w:rPr>
        <w:t>מלבד</w:t>
      </w:r>
      <w:r>
        <w:rPr>
          <w:rFonts w:eastAsia="Arial TUR;Arial" w:cs="Arial TUR;Arial"/>
          <w:rtl w:val="true"/>
        </w:rPr>
        <w:t xml:space="preserve"> </w:t>
      </w:r>
      <w:r>
        <w:rPr>
          <w:rtl w:val="true"/>
        </w:rPr>
        <w:t>המנוח</w:t>
      </w:r>
      <w:r>
        <w:rPr>
          <w:rtl w:val="true"/>
        </w:rPr>
        <w:t xml:space="preserve">, </w:t>
      </w:r>
      <w:r>
        <w:rPr>
          <w:rtl w:val="true"/>
        </w:rPr>
        <w:t>לא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למקום</w:t>
      </w:r>
      <w:r>
        <w:rPr>
          <w:rtl w:val="true"/>
        </w:rPr>
        <w:t xml:space="preserve">. </w:t>
      </w:r>
      <w:r>
        <w:rPr>
          <w:rtl w:val="true"/>
        </w:rPr>
        <w:t>לאחר</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לבית</w:t>
      </w:r>
      <w:r>
        <w:rPr>
          <w:rtl w:val="true"/>
        </w:rPr>
        <w:t xml:space="preserve">, </w:t>
      </w:r>
      <w:r>
        <w:rPr>
          <w:rtl w:val="true"/>
        </w:rPr>
        <w:t>הוא</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ביחידות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ואכרם</w:t>
      </w:r>
      <w:r>
        <w:rPr>
          <w:rtl w:val="true"/>
        </w:rPr>
        <w:t xml:space="preserve">. </w:t>
      </w:r>
      <w:r>
        <w:rPr>
          <w:rtl w:val="true"/>
        </w:rPr>
        <w:t>המנוח</w:t>
      </w:r>
      <w:r>
        <w:rPr>
          <w:rFonts w:eastAsia="Arial TUR;Arial" w:cs="Arial TUR;Arial"/>
          <w:rtl w:val="true"/>
        </w:rPr>
        <w:t xml:space="preserve"> </w:t>
      </w:r>
      <w:r>
        <w:rPr>
          <w:rtl w:val="true"/>
        </w:rPr>
        <w:t>נדקר</w:t>
      </w:r>
      <w:r>
        <w:rPr>
          <w:rFonts w:eastAsia="Arial TUR;Arial" w:cs="Arial TUR;Arial"/>
          <w:rtl w:val="true"/>
        </w:rPr>
        <w:t xml:space="preserve"> </w:t>
      </w:r>
      <w:r>
        <w:rPr>
          <w:rtl w:val="true"/>
        </w:rPr>
        <w:t>ונחתך</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הבית</w:t>
      </w:r>
      <w:r>
        <w:rPr>
          <w:rtl w:val="true"/>
        </w:rPr>
        <w:t xml:space="preserve">, </w:t>
      </w:r>
      <w:r>
        <w:rPr>
          <w:rtl w:val="true"/>
        </w:rPr>
        <w:t>לרבות</w:t>
      </w:r>
      <w:r>
        <w:rPr>
          <w:rFonts w:eastAsia="Arial TUR;Arial" w:cs="Arial TUR;Arial"/>
          <w:rtl w:val="true"/>
        </w:rPr>
        <w:t xml:space="preserve"> </w:t>
      </w:r>
      <w:r>
        <w:rPr>
          <w:rtl w:val="true"/>
        </w:rPr>
        <w:t>הדקירה</w:t>
      </w:r>
      <w:r>
        <w:rPr>
          <w:rFonts w:eastAsia="Arial TUR;Arial" w:cs="Arial TUR;Arial"/>
          <w:rtl w:val="true"/>
        </w:rPr>
        <w:t xml:space="preserve"> </w:t>
      </w:r>
      <w:r>
        <w:rPr>
          <w:rtl w:val="true"/>
        </w:rPr>
        <w:t>הקטלנית</w:t>
      </w:r>
      <w:r>
        <w:rPr>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יצאו</w:t>
      </w:r>
      <w:r>
        <w:rPr>
          <w:rFonts w:eastAsia="Arial TUR;Arial" w:cs="Arial TUR;Arial"/>
          <w:rtl w:val="true"/>
        </w:rPr>
        <w:t xml:space="preserve"> </w:t>
      </w:r>
      <w:r>
        <w:rPr>
          <w:rtl w:val="true"/>
        </w:rPr>
        <w:t>אכרם</w:t>
      </w:r>
      <w:r>
        <w:rPr>
          <w:rtl w:val="true"/>
        </w:rPr>
        <w:t xml:space="preserve">, </w:t>
      </w:r>
      <w:r>
        <w:rPr>
          <w:rtl w:val="true"/>
        </w:rPr>
        <w:t>הנאשם</w:t>
      </w:r>
      <w:r>
        <w:rPr>
          <w:rFonts w:eastAsia="Arial TUR;Arial" w:cs="Arial TUR;Arial"/>
          <w:rtl w:val="true"/>
        </w:rPr>
        <w:t xml:space="preserve"> </w:t>
      </w:r>
      <w:r>
        <w:rPr>
          <w:rtl w:val="true"/>
        </w:rPr>
        <w:t>והמנוח</w:t>
      </w:r>
      <w:r>
        <w:rPr>
          <w:rFonts w:eastAsia="Arial TUR;Arial" w:cs="Arial TUR;Arial"/>
          <w:rtl w:val="true"/>
        </w:rPr>
        <w:t xml:space="preserve"> </w:t>
      </w:r>
      <w:r>
        <w:rPr>
          <w:rtl w:val="true"/>
        </w:rPr>
        <w:t>מהבית</w:t>
      </w:r>
      <w:r>
        <w:rPr>
          <w:rtl w:val="true"/>
        </w:rPr>
        <w:t xml:space="preserve">, </w:t>
      </w:r>
      <w:r>
        <w:rPr>
          <w:rtl w:val="true"/>
        </w:rPr>
        <w:t>והאדי</w:t>
      </w:r>
      <w:r>
        <w:rPr>
          <w:rFonts w:eastAsia="Arial TUR;Arial" w:cs="Arial TUR;Arial"/>
          <w:rtl w:val="true"/>
        </w:rPr>
        <w:t xml:space="preserve"> </w:t>
      </w:r>
      <w:r>
        <w:rPr>
          <w:rtl w:val="true"/>
        </w:rPr>
        <w:t>הצטרף</w:t>
      </w:r>
      <w:r>
        <w:rPr>
          <w:rFonts w:eastAsia="Arial TUR;Arial" w:cs="Arial TUR;Arial"/>
          <w:rtl w:val="true"/>
        </w:rPr>
        <w:t xml:space="preserve"> </w:t>
      </w:r>
      <w:r>
        <w:rPr>
          <w:rtl w:val="true"/>
        </w:rPr>
        <w:t>למאבק</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המנוח</w:t>
      </w:r>
      <w:r>
        <w:rPr>
          <w:rtl w:val="true"/>
        </w:rPr>
        <w:t xml:space="preserve">. </w:t>
      </w:r>
      <w:r>
        <w:rPr>
          <w:rtl w:val="true"/>
        </w:rPr>
        <w:t>לאחר</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הוכה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האדי</w:t>
      </w:r>
      <w:r>
        <w:rPr>
          <w:rFonts w:eastAsia="Arial TUR;Arial" w:cs="Arial TUR;Arial"/>
          <w:rtl w:val="true"/>
        </w:rPr>
        <w:t xml:space="preserve"> </w:t>
      </w:r>
      <w:r>
        <w:rPr>
          <w:rtl w:val="true"/>
        </w:rPr>
        <w:t>ואכרם</w:t>
      </w:r>
      <w:r>
        <w:rPr>
          <w:rtl w:val="true"/>
        </w:rPr>
        <w:t xml:space="preserve">, </w:t>
      </w:r>
      <w:r>
        <w:rPr>
          <w:rtl w:val="true"/>
        </w:rPr>
        <w:t>הוא</w:t>
      </w:r>
      <w:r>
        <w:rPr>
          <w:rFonts w:eastAsia="Arial TUR;Arial" w:cs="Arial TUR;Arial"/>
          <w:rtl w:val="true"/>
        </w:rPr>
        <w:t xml:space="preserve"> </w:t>
      </w:r>
      <w:r>
        <w:rPr>
          <w:rtl w:val="true"/>
        </w:rPr>
        <w:t>התמוטט</w:t>
      </w:r>
      <w:r>
        <w:rPr>
          <w:rFonts w:eastAsia="Arial TUR;Arial" w:cs="Arial TUR;Arial"/>
          <w:rtl w:val="true"/>
        </w:rPr>
        <w:t xml:space="preserve"> </w:t>
      </w:r>
      <w:r>
        <w:rPr>
          <w:rtl w:val="true"/>
        </w:rPr>
        <w:t>ונפל</w:t>
      </w:r>
      <w:r>
        <w:rPr>
          <w:rFonts w:eastAsia="Arial TUR;Arial" w:cs="Arial TUR;Arial"/>
          <w:rtl w:val="true"/>
        </w:rPr>
        <w:t xml:space="preserve"> </w:t>
      </w:r>
      <w:r>
        <w:rPr>
          <w:rtl w:val="true"/>
        </w:rPr>
        <w:t>ארצה</w:t>
      </w:r>
      <w:r>
        <w:rPr>
          <w:rtl w:val="true"/>
        </w:rPr>
        <w:t xml:space="preserve">, </w:t>
      </w:r>
      <w:r>
        <w:rPr>
          <w:rtl w:val="true"/>
        </w:rPr>
        <w:t>ואז</w:t>
      </w:r>
      <w:r>
        <w:rPr>
          <w:rFonts w:eastAsia="Arial TUR;Arial" w:cs="Arial TUR;Arial"/>
          <w:rtl w:val="true"/>
        </w:rPr>
        <w:t xml:space="preserve"> </w:t>
      </w:r>
      <w:r>
        <w:rPr>
          <w:rtl w:val="true"/>
        </w:rPr>
        <w:t>ברחו</w:t>
      </w:r>
      <w:r>
        <w:rPr>
          <w:rFonts w:eastAsia="Arial TUR;Arial" w:cs="Arial TUR;Arial"/>
          <w:rtl w:val="true"/>
        </w:rPr>
        <w:t xml:space="preserve"> </w:t>
      </w:r>
      <w:r>
        <w:rPr>
          <w:rtl w:val="true"/>
        </w:rPr>
        <w:t>השלושה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המקום</w:t>
      </w:r>
      <w:r>
        <w:rPr>
          <w:rtl w:val="true"/>
        </w:rPr>
        <w:t xml:space="preserve">. </w:t>
      </w:r>
      <w:r>
        <w:rPr>
          <w:rtl w:val="true"/>
        </w:rPr>
        <w:t>האפשרות</w:t>
      </w:r>
      <w:r>
        <w:rPr>
          <w:rFonts w:eastAsia="Arial TUR;Arial" w:cs="Arial TUR;Arial"/>
          <w:rtl w:val="true"/>
        </w:rPr>
        <w:t xml:space="preserve"> </w:t>
      </w:r>
      <w:r>
        <w:rPr>
          <w:rtl w:val="true"/>
        </w:rPr>
        <w:t>שמאן</w:t>
      </w:r>
      <w:r>
        <w:rPr>
          <w:rFonts w:eastAsia="Arial TUR;Arial" w:cs="Arial TUR;Arial"/>
          <w:rtl w:val="true"/>
        </w:rPr>
        <w:t xml:space="preserve"> </w:t>
      </w:r>
      <w:r>
        <w:rPr>
          <w:rtl w:val="true"/>
        </w:rPr>
        <w:t>דהוא</w:t>
      </w:r>
      <w:r>
        <w:rPr>
          <w:rFonts w:eastAsia="Arial TUR;Arial" w:cs="Arial TUR;Arial"/>
          <w:rtl w:val="true"/>
        </w:rPr>
        <w:t xml:space="preserve"> </w:t>
      </w:r>
      <w:r>
        <w:rPr>
          <w:rtl w:val="true"/>
        </w:rPr>
        <w:t>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שהשלושה</w:t>
      </w:r>
      <w:r>
        <w:rPr>
          <w:rFonts w:eastAsia="Arial TUR;Arial" w:cs="Arial TUR;Arial"/>
          <w:rtl w:val="true"/>
        </w:rPr>
        <w:t xml:space="preserve"> </w:t>
      </w:r>
      <w:r>
        <w:rPr>
          <w:rtl w:val="true"/>
        </w:rPr>
        <w:t>ברחו</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שהמנוח</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רוח</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w:t>
      </w:r>
      <w:r>
        <w:rPr>
          <w:rtl w:val="true"/>
        </w:rPr>
        <w:t>כעבור</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tl w:val="true"/>
        </w:rPr>
        <w:t xml:space="preserve">), </w:t>
      </w:r>
      <w:r>
        <w:rPr>
          <w:rtl w:val="true"/>
        </w:rPr>
        <w:t>היא</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תיאורטית</w:t>
      </w:r>
      <w:r>
        <w:rPr>
          <w:rtl w:val="true"/>
        </w:rPr>
        <w:t xml:space="preserve">, </w:t>
      </w:r>
      <w:r>
        <w:rPr>
          <w:rtl w:val="true"/>
        </w:rPr>
        <w:t>ובלתי</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לחלוטין</w:t>
      </w:r>
      <w:r>
        <w:rPr>
          <w:rtl w:val="true"/>
        </w:rPr>
        <w:t xml:space="preserve">, </w:t>
      </w:r>
      <w:r>
        <w:rPr>
          <w:rtl w:val="true"/>
        </w:rPr>
        <w:t>ונראה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שאפשרות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w:t>
      </w:r>
      <w:r>
        <w:rPr>
          <w:rtl w:val="true"/>
        </w:rPr>
        <w:t>עמ</w:t>
      </w:r>
      <w:r>
        <w:rPr>
          <w:rtl w:val="true"/>
        </w:rPr>
        <w:t xml:space="preserve">' </w:t>
      </w:r>
      <w:r>
        <w:rPr/>
        <w:t>766</w:t>
      </w:r>
      <w:r>
        <w:rPr>
          <w:rtl w:val="true"/>
        </w:rPr>
        <w:t xml:space="preserve"> </w:t>
      </w:r>
      <w:r>
        <w:rPr>
          <w:rtl w:val="true"/>
        </w:rPr>
        <w:t>ו</w:t>
      </w:r>
      <w:r>
        <w:rPr>
          <w:rtl w:val="true"/>
        </w:rPr>
        <w:t>-</w:t>
      </w:r>
      <w:r>
        <w:rPr/>
        <w:t>779</w:t>
      </w:r>
      <w:r>
        <w:rPr>
          <w:rtl w:val="true"/>
        </w:rPr>
        <w:t xml:space="preserve"> </w:t>
      </w:r>
      <w:r>
        <w:rPr>
          <w:rtl w:val="true"/>
        </w:rPr>
        <w:t>לפרו</w:t>
      </w:r>
      <w:r>
        <w:rPr>
          <w:rtl w:val="true"/>
        </w:rPr>
        <w:t>')" (</w:t>
      </w:r>
      <w:r>
        <w:rPr>
          <w:rtl w:val="true"/>
        </w:rPr>
        <w:t>פסקה</w:t>
      </w:r>
      <w:r>
        <w:rPr>
          <w:rFonts w:eastAsia="Arial TUR;Arial" w:cs="Arial TUR;Arial"/>
          <w:rtl w:val="true"/>
        </w:rPr>
        <w:t xml:space="preserve"> </w:t>
      </w:r>
      <w:r>
        <w:rPr/>
        <w:t>341</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לסגירת המעגל</w:t>
      </w:r>
      <w:r>
        <w:rPr>
          <w:rtl w:val="true"/>
        </w:rPr>
        <w:t xml:space="preserve">, </w:t>
      </w:r>
      <w:r>
        <w:rPr>
          <w:rtl w:val="true"/>
        </w:rPr>
        <w:t>אדגיש כי כלל הממצאים המתוארים מובילים למסקנה כי התרחיש האפשרי היחידי הוא שמערער דקר את המנוח</w:t>
      </w:r>
      <w:r>
        <w:rPr>
          <w:rtl w:val="true"/>
        </w:rPr>
        <w:t xml:space="preserve">: </w:t>
      </w:r>
      <w:r>
        <w:rPr>
          <w:rtl w:val="true"/>
        </w:rPr>
        <w:t xml:space="preserve">המערער הוא </w:t>
      </w:r>
      <w:r>
        <w:rPr>
          <w:rFonts w:ascii="Century" w:hAnsi="Century" w:cs="Miriam"/>
          <w:b/>
          <w:b/>
          <w:spacing w:val="0"/>
          <w:sz w:val="22"/>
          <w:sz w:val="22"/>
          <w:szCs w:val="24"/>
          <w:rtl w:val="true"/>
        </w:rPr>
        <w:t>היחיד</w:t>
      </w:r>
      <w:r>
        <w:rPr>
          <w:rtl w:val="true"/>
        </w:rPr>
        <w:t xml:space="preserve"> מהשלושה בעל הצורך הדחוף והמידי להשתחרר מאחיזת המנוח</w:t>
      </w:r>
      <w:r>
        <w:rPr>
          <w:rtl w:val="true"/>
        </w:rPr>
        <w:t xml:space="preserve">; </w:t>
      </w:r>
      <w:r>
        <w:rPr>
          <w:rtl w:val="true"/>
        </w:rPr>
        <w:t xml:space="preserve">הוא </w:t>
      </w:r>
      <w:r>
        <w:rPr>
          <w:rFonts w:ascii="Century" w:hAnsi="Century" w:cs="Miriam"/>
          <w:b/>
          <w:b/>
          <w:spacing w:val="0"/>
          <w:sz w:val="22"/>
          <w:sz w:val="22"/>
          <w:szCs w:val="24"/>
          <w:rtl w:val="true"/>
        </w:rPr>
        <w:t>היחיד</w:t>
      </w:r>
      <w:r>
        <w:rPr>
          <w:rtl w:val="true"/>
        </w:rPr>
        <w:t xml:space="preserve"> מהשלושה ששהה במבואת הבית והחזיק כלי שיכול לגרום לדקירה הקטלנית</w:t>
      </w:r>
      <w:r>
        <w:rPr>
          <w:rtl w:val="true"/>
        </w:rPr>
        <w:t xml:space="preserve">; </w:t>
      </w:r>
      <w:r>
        <w:rPr>
          <w:rtl w:val="true"/>
        </w:rPr>
        <w:t xml:space="preserve">והוא </w:t>
      </w:r>
      <w:r>
        <w:rPr>
          <w:rFonts w:ascii="Century" w:hAnsi="Century" w:cs="Miriam"/>
          <w:b/>
          <w:b/>
          <w:spacing w:val="0"/>
          <w:sz w:val="22"/>
          <w:sz w:val="22"/>
          <w:szCs w:val="24"/>
          <w:rtl w:val="true"/>
        </w:rPr>
        <w:t>היחיד</w:t>
      </w:r>
      <w:r>
        <w:rPr>
          <w:rtl w:val="true"/>
        </w:rPr>
        <w:t xml:space="preserve"> מהשלושה שעמד פנים מול פנים עם המנוח במנח המאפשר את הדקירה שנמצאה על גופת המנוח</w:t>
      </w:r>
      <w:r>
        <w:rPr>
          <w:rtl w:val="true"/>
        </w:rPr>
        <w:t xml:space="preserve">. </w:t>
      </w:r>
      <w:r>
        <w:rPr>
          <w:rtl w:val="true"/>
        </w:rPr>
        <w:t>ובל נשכח</w:t>
      </w:r>
      <w:r>
        <w:rPr>
          <w:rtl w:val="true"/>
        </w:rPr>
        <w:t xml:space="preserve">, </w:t>
      </w:r>
      <w:r>
        <w:rPr>
          <w:rtl w:val="true"/>
        </w:rPr>
        <w:t xml:space="preserve">כי גרסתו של המערער למאבק התפתחה על מנת לקרב את יתר המעורבים לדקירה וכי בחקירתו הנגדית הודה המערער כי במהלך המאבק הוא הכה את המנוח באגרופים בפניו </w:t>
      </w:r>
      <w:r>
        <w:rPr>
          <w:rtl w:val="true"/>
        </w:rPr>
        <w:t>(</w:t>
      </w:r>
      <w:r>
        <w:rPr>
          <w:rtl w:val="true"/>
        </w:rPr>
        <w:t>פרוטוקול עמ</w:t>
      </w:r>
      <w:r>
        <w:rPr>
          <w:rtl w:val="true"/>
        </w:rPr>
        <w:t xml:space="preserve">' </w:t>
      </w:r>
      <w:r>
        <w:rPr/>
        <w:t>898-897</w:t>
      </w:r>
      <w:r>
        <w:rPr>
          <w:rtl w:val="true"/>
        </w:rPr>
        <w:t xml:space="preserve">), </w:t>
      </w:r>
      <w:r>
        <w:rPr>
          <w:rtl w:val="true"/>
        </w:rPr>
        <w:t>ומכאן שידיו היו חופשיות לשלוף את המברג מחגורת מכנסיו ולדקור את המנוח</w:t>
      </w:r>
      <w:r>
        <w:rPr>
          <w:rtl w:val="true"/>
        </w:rPr>
        <w:t>.</w:t>
      </w:r>
    </w:p>
    <w:p>
      <w:pPr>
        <w:pStyle w:val="Ruller41"/>
        <w:ind w:end="0"/>
        <w:jc w:val="both"/>
        <w:rPr/>
      </w:pPr>
      <w:r>
        <w:rPr>
          <w:rtl w:val="true"/>
        </w:rPr>
      </w:r>
    </w:p>
    <w:p>
      <w:pPr>
        <w:pStyle w:val="Ruller41"/>
        <w:ind w:end="0"/>
        <w:jc w:val="both"/>
        <w:rPr/>
      </w:pPr>
      <w:r>
        <w:rPr>
          <w:rtl w:val="true"/>
        </w:rPr>
        <w:tab/>
      </w:r>
      <w:r>
        <w:rPr>
          <w:rtl w:val="true"/>
        </w:rPr>
        <w:t>נוסף</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האמור</w:t>
      </w:r>
      <w:r>
        <w:rPr>
          <w:rtl w:val="true"/>
        </w:rPr>
        <w:t xml:space="preserve">, </w:t>
      </w:r>
      <w:r>
        <w:rPr>
          <w:rtl w:val="true"/>
        </w:rPr>
        <w:t>ראוי</w:t>
      </w:r>
      <w:r>
        <w:rPr>
          <w:rFonts w:eastAsia="Arial TUR;Arial" w:cs="Arial TUR;Arial"/>
          <w:rtl w:val="true"/>
        </w:rPr>
        <w:t xml:space="preserve"> </w:t>
      </w:r>
      <w:r>
        <w:rPr>
          <w:rtl w:val="true"/>
        </w:rPr>
        <w:t>להזכיר</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Century"/>
          <w:rtl w:val="true"/>
        </w:rPr>
        <w:t>במהלך חקירתו במשטרה</w:t>
      </w:r>
      <w:r>
        <w:rPr>
          <w:rFonts w:cs="Century" w:ascii="Century" w:hAnsi="Century"/>
          <w:rtl w:val="true"/>
        </w:rPr>
        <w:t xml:space="preserve">, </w:t>
      </w:r>
      <w:r>
        <w:rPr>
          <w:rFonts w:ascii="Century" w:hAnsi="Century" w:cs="Century"/>
          <w:rtl w:val="true"/>
        </w:rPr>
        <w:t xml:space="preserve">כשעומת המערער עם אכרם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w:t>
      </w:r>
      <w:r>
        <w:rPr>
          <w:rFonts w:ascii="Century" w:hAnsi="Century" w:cs="Century"/>
          <w:rtl w:val="true"/>
        </w:rPr>
        <w:t>ב</w:t>
      </w:r>
      <w:r>
        <w:rPr>
          <w:rFonts w:cs="Century" w:ascii="Century" w:hAnsi="Century"/>
          <w:rtl w:val="true"/>
        </w:rPr>
        <w:t xml:space="preserve">) </w:t>
      </w:r>
      <w:r>
        <w:rPr>
          <w:rFonts w:ascii="Century" w:hAnsi="Century" w:cs="Century"/>
          <w:rtl w:val="true"/>
        </w:rPr>
        <w:t xml:space="preserve">ועם האדי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8</w:t>
      </w:r>
      <w:r>
        <w:rPr>
          <w:rFonts w:ascii="Century" w:hAnsi="Century" w:cs="Century"/>
          <w:rtl w:val="true"/>
        </w:rPr>
        <w:t>ב</w:t>
      </w:r>
      <w:r>
        <w:rPr>
          <w:rFonts w:cs="Century" w:ascii="Century" w:hAnsi="Century"/>
          <w:rtl w:val="true"/>
        </w:rPr>
        <w:t xml:space="preserve">), </w:t>
      </w:r>
      <w:r>
        <w:rPr>
          <w:rFonts w:ascii="Century" w:hAnsi="Century" w:cs="Century"/>
          <w:rtl w:val="true"/>
        </w:rPr>
        <w:t>ולאחר שהוטח במערער כי השניים הפלילו אותו</w:t>
      </w:r>
      <w:r>
        <w:rPr>
          <w:rFonts w:cs="Century" w:ascii="Century" w:hAnsi="Century"/>
          <w:rtl w:val="true"/>
        </w:rPr>
        <w:t>,</w:t>
      </w:r>
      <w:r>
        <w:rPr>
          <w:rtl w:val="true"/>
        </w:rPr>
        <w:t xml:space="preserve"> </w:t>
      </w:r>
      <w:r>
        <w:rPr>
          <w:rtl w:val="true"/>
        </w:rPr>
        <w:t>השיב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אכרם</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האדי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שדקרו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cs="Century" w:ascii="Century" w:hAnsi="Century"/>
          <w:rtl w:val="true"/>
        </w:rPr>
        <w:t xml:space="preserve">, </w:t>
      </w:r>
      <w:r>
        <w:rPr>
          <w:rFonts w:ascii="Century" w:hAnsi="Century" w:cs="Century"/>
          <w:rtl w:val="true"/>
        </w:rPr>
        <w:t xml:space="preserve">וגם בעדותו בבית המשפט </w:t>
      </w:r>
      <w:r>
        <w:rPr>
          <w:rtl w:val="true"/>
        </w:rPr>
        <w:t>קמא</w:t>
      </w:r>
      <w:r>
        <w:rPr>
          <w:rFonts w:eastAsia="Arial TUR;Arial" w:cs="Arial TUR;Arial"/>
          <w:rtl w:val="true"/>
        </w:rPr>
        <w:t xml:space="preserve"> </w:t>
      </w:r>
      <w:r>
        <w:rPr>
          <w:rtl w:val="true"/>
        </w:rPr>
        <w:t>התקשה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ההיתכנות</w:t>
      </w:r>
      <w:r>
        <w:rPr>
          <w:rFonts w:eastAsia="Arial TUR;Arial" w:cs="Arial TUR;Arial"/>
          <w:rtl w:val="true"/>
        </w:rPr>
        <w:t xml:space="preserve"> </w:t>
      </w:r>
      <w:r>
        <w:rPr>
          <w:rtl w:val="true"/>
        </w:rPr>
        <w:t>שאכרם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האדי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שביצעו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הדקירה</w:t>
      </w:r>
      <w:r>
        <w:rPr>
          <w:rFonts w:eastAsia="Arial TUR;Arial" w:cs="Arial TUR;Arial"/>
          <w:rtl w:val="true"/>
        </w:rPr>
        <w:t xml:space="preserve"> </w:t>
      </w:r>
      <w:r>
        <w:rPr>
          <w:rtl w:val="true"/>
        </w:rPr>
        <w:t>שהביאה</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tl w:val="true"/>
        </w:rPr>
        <w:t>פרוטוקול</w:t>
      </w:r>
      <w:r>
        <w:rPr>
          <w:rFonts w:eastAsia="Arial TUR;Arial" w:cs="Arial TUR;Arial"/>
          <w:rtl w:val="true"/>
        </w:rPr>
        <w:t xml:space="preserve"> </w:t>
      </w:r>
      <w:r>
        <w:rPr>
          <w:rtl w:val="true"/>
        </w:rPr>
        <w:t>עמ</w:t>
      </w:r>
      <w:r>
        <w:rPr>
          <w:rtl w:val="true"/>
        </w:rPr>
        <w:t xml:space="preserve">' </w:t>
      </w:r>
      <w:r>
        <w:rPr/>
        <w:t>896</w:t>
      </w:r>
      <w:r>
        <w:rPr>
          <w:rtl w:val="true"/>
        </w:rPr>
        <w:t xml:space="preserve">). </w:t>
      </w:r>
      <w:r>
        <w:rPr>
          <w:rtl w:val="true"/>
        </w:rPr>
        <w:t>במצב</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זה</w:t>
      </w:r>
      <w:r>
        <w:rPr>
          <w:rtl w:val="true"/>
        </w:rPr>
        <w:t xml:space="preserve">, </w:t>
      </w:r>
      <w:r>
        <w:rPr>
          <w:rtl w:val="true"/>
        </w:rPr>
        <w:t>הימנעותו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מלספק</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המסבכות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ברצח</w:t>
      </w:r>
      <w:r>
        <w:rPr>
          <w:rtl w:val="true"/>
        </w:rPr>
        <w:t xml:space="preserve">, </w:t>
      </w:r>
      <w:r>
        <w:rPr>
          <w:rtl w:val="true"/>
        </w:rPr>
        <w:t>או</w:t>
      </w:r>
      <w:r>
        <w:rPr>
          <w:rFonts w:eastAsia="Arial TUR;Arial" w:cs="Arial TUR;Arial"/>
          <w:rtl w:val="true"/>
        </w:rPr>
        <w:t xml:space="preserve"> </w:t>
      </w:r>
      <w:r>
        <w:rPr>
          <w:rtl w:val="true"/>
        </w:rPr>
        <w:t>להפנות</w:t>
      </w:r>
      <w:r>
        <w:rPr>
          <w:rFonts w:eastAsia="Arial TUR;Arial" w:cs="Arial TUR;Arial"/>
          <w:rtl w:val="true"/>
        </w:rPr>
        <w:t xml:space="preserve"> </w:t>
      </w:r>
      <w:r>
        <w:rPr>
          <w:rtl w:val="true"/>
        </w:rPr>
        <w:t>אצבע</w:t>
      </w:r>
      <w:r>
        <w:rPr>
          <w:rFonts w:eastAsia="Arial TUR;Arial" w:cs="Arial TUR;Arial"/>
          <w:rtl w:val="true"/>
        </w:rPr>
        <w:t xml:space="preserve"> </w:t>
      </w:r>
      <w:r>
        <w:rPr>
          <w:rtl w:val="true"/>
        </w:rPr>
        <w:t>מאשימה</w:t>
      </w:r>
      <w:r>
        <w:rPr>
          <w:rFonts w:eastAsia="Arial TUR;Arial" w:cs="Arial TUR;Arial"/>
          <w:rtl w:val="true"/>
        </w:rPr>
        <w:t xml:space="preserve"> </w:t>
      </w:r>
      <w:r>
        <w:rPr>
          <w:rtl w:val="true"/>
        </w:rPr>
        <w:t>למעורבים</w:t>
      </w:r>
      <w:r>
        <w:rPr>
          <w:rFonts w:eastAsia="Arial TUR;Arial" w:cs="Arial TUR;Arial"/>
          <w:rtl w:val="true"/>
        </w:rPr>
        <w:t xml:space="preserve"> </w:t>
      </w:r>
      <w:r>
        <w:rPr>
          <w:rtl w:val="true"/>
        </w:rPr>
        <w:t>הנוספים</w:t>
      </w:r>
      <w:r>
        <w:rPr>
          <w:rFonts w:eastAsia="Arial TUR;Arial" w:cs="Arial TUR;Arial"/>
          <w:rtl w:val="true"/>
        </w:rPr>
        <w:t xml:space="preserve"> </w:t>
      </w:r>
      <w:r>
        <w:rPr>
          <w:rtl w:val="true"/>
        </w:rPr>
        <w:t>בפרשה</w:t>
      </w:r>
      <w:r>
        <w:rPr>
          <w:rtl w:val="true"/>
        </w:rPr>
        <w:t xml:space="preserve">, </w:t>
      </w:r>
      <w:r>
        <w:rPr>
          <w:rtl w:val="true"/>
        </w:rPr>
        <w:t>מחזקות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לסיכום נקודה זו</w:t>
      </w:r>
      <w:r>
        <w:rPr>
          <w:rtl w:val="true"/>
        </w:rPr>
        <w:t xml:space="preserve">, </w:t>
      </w:r>
      <w:r>
        <w:rPr>
          <w:rtl w:val="true"/>
        </w:rPr>
        <w:t>סבורני כי אשמתו של המערער הוכחה מעבר לספק סביר בדרך של אלימינציה</w:t>
      </w:r>
      <w:r>
        <w:rPr>
          <w:rtl w:val="true"/>
        </w:rPr>
        <w:t xml:space="preserve">. </w:t>
      </w:r>
      <w:r>
        <w:rPr>
          <w:rtl w:val="true"/>
        </w:rPr>
        <w:t>משנקבע כי הובאו ראיות מספיקות להוכחה כי המערער הוא שדקר את המנוח</w:t>
      </w:r>
      <w:r>
        <w:rPr>
          <w:rtl w:val="true"/>
        </w:rPr>
        <w:t xml:space="preserve">, </w:t>
      </w:r>
      <w:r>
        <w:rPr>
          <w:rtl w:val="true"/>
        </w:rPr>
        <w:t>ומשהאפשרויות האחרות שהוצעו על ידי המערער נדחו מאחר שלא נמצאו סבירות על פי חומר הראיות</w:t>
      </w:r>
      <w:r>
        <w:rPr>
          <w:rtl w:val="true"/>
        </w:rPr>
        <w:t xml:space="preserve">, </w:t>
      </w:r>
      <w:r>
        <w:rPr>
          <w:rtl w:val="true"/>
        </w:rPr>
        <w:t>התרחיש הסביר היחיד שמתקבל על הדעת הוא שהמערער דקר את המנוח</w:t>
      </w:r>
      <w:r>
        <w:rPr>
          <w:rtl w:val="true"/>
        </w:rPr>
        <w:t xml:space="preserve">, </w:t>
      </w:r>
      <w:r>
        <w:rPr>
          <w:rtl w:val="true"/>
        </w:rPr>
        <w:t>כפי שקבע בית המשפט קמא</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rFonts w:ascii="Century" w:hAnsi="Century" w:cs="Century"/>
          <w:sz w:val="22"/>
        </w:rPr>
      </w:pPr>
      <w:r>
        <w:rPr>
          <w:rtl w:val="true"/>
        </w:rPr>
        <w:t>כאמור</w:t>
      </w:r>
      <w:r>
        <w:rPr>
          <w:rtl w:val="true"/>
        </w:rPr>
        <w:t xml:space="preserve">, </w:t>
      </w:r>
      <w:r>
        <w:rPr>
          <w:rtl w:val="true"/>
        </w:rPr>
        <w:t xml:space="preserve">המערער טען כי הרשעתו ברצח אינה יכולה לעמוד משיחסו החפצי למות המנוח היה של </w:t>
      </w:r>
      <w:r>
        <w:rPr>
          <w:rFonts w:ascii="Century" w:hAnsi="Century" w:cs="Miriam"/>
          <w:b/>
          <w:b/>
          <w:spacing w:val="0"/>
          <w:sz w:val="22"/>
          <w:sz w:val="22"/>
          <w:szCs w:val="24"/>
          <w:rtl w:val="true"/>
        </w:rPr>
        <w:t>קלות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tl w:val="true"/>
        </w:rPr>
        <w:t xml:space="preserve">, </w:t>
      </w:r>
      <w:r>
        <w:rPr>
          <w:rtl w:val="true"/>
        </w:rPr>
        <w:t>ומשכך</w:t>
      </w:r>
      <w:r>
        <w:rPr>
          <w:rtl w:val="true"/>
        </w:rPr>
        <w:t xml:space="preserve">, </w:t>
      </w:r>
      <w:r>
        <w:rPr>
          <w:rtl w:val="true"/>
        </w:rPr>
        <w:t>יש להרשיעו בהריגה</w:t>
      </w:r>
      <w:r>
        <w:rPr>
          <w:rtl w:val="true"/>
        </w:rPr>
        <w:t xml:space="preserve">. </w:t>
      </w:r>
      <w:r>
        <w:rPr>
          <w:rtl w:val="true"/>
        </w:rPr>
        <w:t>לטענתו</w:t>
      </w:r>
      <w:r>
        <w:rPr>
          <w:rtl w:val="true"/>
        </w:rPr>
        <w:t xml:space="preserve">, </w:t>
      </w:r>
      <w:r>
        <w:rPr>
          <w:rtl w:val="true"/>
        </w:rPr>
        <w:t xml:space="preserve">יש לאמץ את עמדתה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eastAsia="Century" w:cs="Century"/>
          <w:b/>
          <w:b/>
          <w:spacing w:val="0"/>
          <w:sz w:val="22"/>
          <w:sz w:val="22"/>
          <w:szCs w:val="24"/>
          <w:rtl w:val="true"/>
        </w:rPr>
        <w:t xml:space="preserve"> </w:t>
      </w:r>
      <w:r>
        <w:rPr>
          <w:rtl w:val="true"/>
        </w:rPr>
        <w:t xml:space="preserve">בעניין </w:t>
      </w:r>
      <w:r>
        <w:rPr>
          <w:rFonts w:ascii="Century" w:hAnsi="Century" w:cs="Miriam"/>
          <w:b/>
          <w:b/>
          <w:spacing w:val="0"/>
          <w:szCs w:val="24"/>
          <w:rtl w:val="true"/>
        </w:rPr>
        <w:t>טמטאווי</w:t>
      </w:r>
      <w:r>
        <w:rPr>
          <w:rFonts w:cs="Century" w:ascii="Century" w:hAnsi="Century"/>
          <w:sz w:val="22"/>
          <w:rtl w:val="true"/>
        </w:rPr>
        <w:t>,</w:t>
      </w:r>
      <w:r>
        <w:rPr>
          <w:rtl w:val="true"/>
        </w:rPr>
        <w:t xml:space="preserve"> </w:t>
      </w:r>
      <w:r>
        <w:rPr>
          <w:rtl w:val="true"/>
        </w:rPr>
        <w:t>לפיה נדרש יסוד חפצי של כוונה או אדישות</w:t>
      </w:r>
      <w:r>
        <w:rPr>
          <w:rtl w:val="true"/>
        </w:rPr>
        <w:t xml:space="preserve">, </w:t>
      </w:r>
      <w:r>
        <w:rPr>
          <w:rtl w:val="true"/>
        </w:rPr>
        <w:t>ואין די בקלות דעת</w:t>
      </w:r>
      <w:r>
        <w:rPr>
          <w:rtl w:val="true"/>
        </w:rPr>
        <w:t xml:space="preserve">, </w:t>
      </w:r>
      <w:r>
        <w:rPr>
          <w:rtl w:val="true"/>
        </w:rPr>
        <w:t xml:space="preserve">לשם הרשעה </w:t>
      </w:r>
      <w:hyperlink r:id="rId68">
        <w:r>
          <w:rPr>
            <w:rStyle w:val="Hyperlink"/>
            <w:color w:val="0000FF"/>
            <w:u w:val="single"/>
            <w:rtl w:val="true"/>
          </w:rPr>
          <w:t>בסעיף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6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המערער ציין כי אמנם עניין </w:t>
      </w:r>
      <w:r>
        <w:rPr>
          <w:rFonts w:ascii="Century" w:hAnsi="Century" w:cs="Miriam"/>
          <w:b/>
          <w:b/>
          <w:spacing w:val="0"/>
          <w:szCs w:val="24"/>
          <w:rtl w:val="true"/>
        </w:rPr>
        <w:t>טמטאווי</w:t>
      </w:r>
      <w:r>
        <w:rPr>
          <w:rtl w:val="true"/>
        </w:rPr>
        <w:t xml:space="preserve"> עסק בעבירת הרצח לפי </w:t>
      </w:r>
      <w:hyperlink r:id="rId70">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 xml:space="preserve">אך עם זאת צוין שם כי </w:t>
      </w:r>
      <w:r>
        <w:rPr>
          <w:rtl w:val="true"/>
        </w:rPr>
        <w:t>"</w:t>
      </w:r>
      <w:r>
        <w:rPr>
          <w:rFonts w:ascii="Century" w:hAnsi="Century" w:cs="Miriam"/>
          <w:b/>
          <w:b/>
          <w:spacing w:val="0"/>
          <w:sz w:val="22"/>
          <w:sz w:val="22"/>
          <w:szCs w:val="24"/>
          <w:rtl w:val="true"/>
        </w:rPr>
        <w:t>לכאורה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המסקנות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שאליהן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הגענו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בהתייחס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300</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Pr>
        <w:t>4</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w:t>
      </w:r>
      <w:hyperlink r:id="rId71">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עשויות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300</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Pr>
        <w:t>3</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שמעורר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דומה</w:t>
      </w:r>
      <w:r>
        <w:rPr>
          <w:rtl w:val="true"/>
        </w:rPr>
        <w:t xml:space="preserve">". </w:t>
      </w:r>
      <w:r>
        <w:rPr>
          <w:rtl w:val="true"/>
        </w:rPr>
        <w:t xml:space="preserve">מכיוון שהשאלה לא התעוררה בעניין </w:t>
      </w:r>
      <w:r>
        <w:rPr>
          <w:rFonts w:ascii="Century" w:hAnsi="Century" w:cs="Miriam"/>
          <w:b/>
          <w:b/>
          <w:spacing w:val="0"/>
          <w:szCs w:val="24"/>
          <w:rtl w:val="true"/>
        </w:rPr>
        <w:t>טמטאווי</w:t>
      </w:r>
      <w:r>
        <w:rPr>
          <w:rFonts w:cs="Century" w:ascii="Century" w:hAnsi="Century"/>
          <w:sz w:val="22"/>
          <w:rtl w:val="true"/>
        </w:rPr>
        <w:t xml:space="preserve">, </w:t>
      </w:r>
      <w:r>
        <w:rPr>
          <w:rFonts w:ascii="Century" w:hAnsi="Century" w:cs="Century"/>
          <w:sz w:val="22"/>
          <w:sz w:val="22"/>
          <w:rtl w:val="true"/>
        </w:rPr>
        <w:t>היא הותרה בצריך עיון</w:t>
      </w:r>
      <w:r>
        <w:rPr>
          <w:rFonts w:cs="Century" w:ascii="Century" w:hAnsi="Century"/>
          <w:sz w:val="22"/>
          <w:rtl w:val="true"/>
        </w:rPr>
        <w:t xml:space="preserve">, </w:t>
      </w:r>
      <w:r>
        <w:rPr>
          <w:rFonts w:ascii="Century" w:hAnsi="Century" w:cs="Century"/>
          <w:sz w:val="22"/>
          <w:sz w:val="22"/>
          <w:rtl w:val="true"/>
        </w:rPr>
        <w:t>והמערער מבקש כי נאמץ עמדה זו כעת</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לא מצאתי כי יש בטענות אלו כדי להשליך על הרשעת המערער</w:t>
      </w:r>
      <w:r>
        <w:rPr>
          <w:rFonts w:cs="Century" w:ascii="Century" w:hAnsi="Century"/>
          <w:sz w:val="22"/>
          <w:rtl w:val="true"/>
        </w:rPr>
        <w:t xml:space="preserve">. </w:t>
      </w:r>
      <w:r>
        <w:rPr>
          <w:rFonts w:ascii="Century" w:hAnsi="Century" w:cs="Century"/>
          <w:sz w:val="22"/>
          <w:sz w:val="22"/>
          <w:rtl w:val="true"/>
        </w:rPr>
        <w:t>בית המשפט קמא קבע כממצא שבעובדה כי המערער היה אדיש לאפשרות גרימת מותו של המנוח</w:t>
      </w:r>
      <w:r>
        <w:rPr>
          <w:rFonts w:cs="Century" w:ascii="Century" w:hAnsi="Century"/>
          <w:sz w:val="22"/>
          <w:rtl w:val="true"/>
        </w:rPr>
        <w:t xml:space="preserve">, </w:t>
      </w:r>
      <w:r>
        <w:rPr>
          <w:rFonts w:ascii="Century" w:hAnsi="Century" w:cs="Century"/>
          <w:sz w:val="22"/>
          <w:sz w:val="22"/>
          <w:rtl w:val="true"/>
        </w:rPr>
        <w:t>ולא מצאתי</w:t>
      </w:r>
      <w:r>
        <w:rPr>
          <w:rFonts w:ascii="Century" w:hAnsi="Century" w:cs="Century"/>
          <w:rtl w:val="true"/>
        </w:rPr>
        <w:t xml:space="preserve"> להתערב בקביעה זו</w:t>
      </w:r>
      <w:r>
        <w:rPr>
          <w:rFonts w:cs="Century" w:ascii="Century" w:hAnsi="Century"/>
          <w:rtl w:val="true"/>
        </w:rPr>
        <w:t xml:space="preserve">. </w:t>
      </w:r>
      <w:r>
        <w:rPr>
          <w:rtl w:val="true"/>
        </w:rPr>
        <w:t xml:space="preserve">קלות דעת מוגדרת </w:t>
      </w:r>
      <w:hyperlink r:id="rId72">
        <w:r>
          <w:rPr>
            <w:rStyle w:val="Hyperlink"/>
            <w:color w:val="0000FF"/>
            <w:u w:val="single"/>
            <w:rtl w:val="true"/>
          </w:rPr>
          <w:t>בסעיף</w:t>
        </w:r>
        <w:r>
          <w:rPr>
            <w:rStyle w:val="Hyperlink"/>
            <w:color w:val="0000FF"/>
            <w:u w:val="single"/>
            <w:rtl w:val="true"/>
          </w:rPr>
          <w:t xml:space="preserve"> </w:t>
        </w:r>
        <w:r>
          <w:rPr>
            <w:rStyle w:val="Hyperlink"/>
            <w:color w:val="0000FF"/>
            <w:u w:val="single"/>
          </w:rPr>
          <w:t>20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7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כ</w:t>
      </w:r>
      <w:r>
        <w:rPr>
          <w:rtl w:val="true"/>
        </w:rPr>
        <w:t>"</w:t>
      </w:r>
      <w:r>
        <w:rPr>
          <w:rFonts w:ascii="Century" w:hAnsi="Century" w:cs="Miriam"/>
          <w:b/>
          <w:b/>
          <w:spacing w:val="0"/>
          <w:sz w:val="22"/>
          <w:sz w:val="22"/>
          <w:szCs w:val="24"/>
          <w:rtl w:val="true"/>
        </w:rPr>
        <w:t>נטילת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סיכון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גרימת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התוצאות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האמורות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להצליח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למנען</w:t>
      </w:r>
      <w:r>
        <w:rPr>
          <w:rtl w:val="true"/>
        </w:rPr>
        <w:t xml:space="preserve">" </w:t>
      </w:r>
      <w:r>
        <w:rPr>
          <w:rtl w:val="true"/>
        </w:rPr>
        <w:t xml:space="preserve">ובפסיקה הודגש </w:t>
      </w:r>
      <w:r>
        <w:rPr>
          <w:rFonts w:ascii="Century" w:hAnsi="Century" w:cs="Century"/>
          <w:sz w:val="22"/>
          <w:sz w:val="22"/>
          <w:rtl w:val="true"/>
        </w:rPr>
        <w:t xml:space="preserve">כי </w:t>
      </w:r>
      <w:r>
        <w:rPr>
          <w:rFonts w:cs="Century" w:ascii="Century" w:hAnsi="Century"/>
          <w:sz w:val="22"/>
          <w:rtl w:val="true"/>
        </w:rPr>
        <w:t>"</w:t>
      </w:r>
      <w:r>
        <w:rPr>
          <w:rFonts w:ascii="Century" w:hAnsi="Century" w:cs="Century"/>
          <w:sz w:val="22"/>
          <w:sz w:val="22"/>
          <w:rtl w:val="true"/>
        </w:rPr>
        <w:t>קלות דעת משמעה שהאדם אינו רוצה שהתוצאה תתממש</w:t>
      </w:r>
      <w:r>
        <w:rPr>
          <w:rFonts w:cs="Century" w:ascii="Century" w:hAnsi="Century"/>
          <w:sz w:val="22"/>
          <w:rtl w:val="true"/>
        </w:rPr>
        <w:t xml:space="preserve">, </w:t>
      </w:r>
      <w:r>
        <w:rPr>
          <w:rFonts w:ascii="Century" w:hAnsi="Century" w:cs="Century"/>
          <w:sz w:val="22"/>
          <w:sz w:val="22"/>
          <w:rtl w:val="true"/>
        </w:rPr>
        <w:t>ואף פועל כדי למנוע את התממשותה</w:t>
      </w:r>
      <w:r>
        <w:rPr>
          <w:rFonts w:cs="Century" w:ascii="Century" w:hAnsi="Century"/>
          <w:sz w:val="22"/>
          <w:rtl w:val="true"/>
        </w:rPr>
        <w:t xml:space="preserve">, </w:t>
      </w:r>
      <w:r>
        <w:rPr>
          <w:rFonts w:ascii="Century" w:hAnsi="Century" w:cs="Century"/>
          <w:sz w:val="22"/>
          <w:sz w:val="22"/>
          <w:rtl w:val="true"/>
        </w:rPr>
        <w:t>מתוך תקווה</w:t>
      </w:r>
      <w:r>
        <w:rPr>
          <w:rFonts w:cs="Century" w:ascii="Century" w:hAnsi="Century"/>
          <w:sz w:val="22"/>
          <w:rtl w:val="true"/>
        </w:rPr>
        <w:t xml:space="preserve">, </w:t>
      </w:r>
      <w:r>
        <w:rPr>
          <w:rFonts w:ascii="Century" w:hAnsi="Century" w:cs="Century"/>
          <w:sz w:val="22"/>
          <w:sz w:val="22"/>
          <w:rtl w:val="true"/>
        </w:rPr>
        <w:t>שיש לה יסוד אובייקטיבי</w:t>
      </w:r>
      <w:r>
        <w:rPr>
          <w:rFonts w:cs="Century" w:ascii="Century" w:hAnsi="Century"/>
          <w:sz w:val="22"/>
          <w:rtl w:val="true"/>
        </w:rPr>
        <w:t xml:space="preserve">, </w:t>
      </w:r>
      <w:r>
        <w:rPr>
          <w:rFonts w:ascii="Century" w:hAnsi="Century" w:cs="Century"/>
          <w:sz w:val="22"/>
          <w:sz w:val="22"/>
          <w:rtl w:val="true"/>
        </w:rPr>
        <w:t>למנוע את התוצאה</w:t>
      </w:r>
      <w:r>
        <w:rPr>
          <w:rFonts w:cs="Century" w:ascii="Century" w:hAnsi="Century"/>
          <w:sz w:val="22"/>
          <w:rtl w:val="true"/>
        </w:rPr>
        <w:t>" (</w:t>
      </w:r>
      <w:hyperlink r:id="rId7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3328/14</w:t>
        </w:r>
      </w:hyperlink>
      <w:r>
        <w:rPr>
          <w:rFonts w:cs="Century" w:ascii="Century" w:hAnsi="Century"/>
          <w:sz w:val="22"/>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חאמד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20</w:t>
      </w:r>
      <w:r>
        <w:rPr>
          <w:sz w:val="22"/>
          <w:rtl w:val="true"/>
        </w:rPr>
        <w:t xml:space="preserve"> </w:t>
      </w:r>
      <w:r>
        <w:rPr>
          <w:rFonts w:cs="Century" w:ascii="Century" w:hAnsi="Century"/>
          <w:sz w:val="22"/>
          <w:rtl w:val="true"/>
        </w:rPr>
        <w:t>(</w:t>
      </w:r>
      <w:r>
        <w:rPr>
          <w:rFonts w:cs="Century" w:ascii="Century" w:hAnsi="Century"/>
          <w:sz w:val="22"/>
        </w:rPr>
        <w:t>7.12.2017</w:t>
      </w:r>
      <w:r>
        <w:rPr>
          <w:rFonts w:cs="Century" w:ascii="Century" w:hAnsi="Century"/>
          <w:sz w:val="22"/>
          <w:rtl w:val="true"/>
        </w:rPr>
        <w:t>)</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חאמד</w:t>
      </w:r>
      <w:r>
        <w:rPr>
          <w:rFonts w:cs="Century" w:ascii="Century" w:hAnsi="Century"/>
          <w:rtl w:val="true"/>
        </w:rPr>
        <w:t>))</w:t>
      </w:r>
      <w:r>
        <w:rPr>
          <w:rtl w:val="true"/>
        </w:rPr>
        <w:t xml:space="preserve">. </w:t>
      </w:r>
    </w:p>
    <w:p>
      <w:pPr>
        <w:pStyle w:val="Ruller42"/>
        <w:numPr>
          <w:ilvl w:val="0"/>
          <w:numId w:val="0"/>
        </w:numPr>
        <w:ind w:hanging="0" w:start="0" w:end="0"/>
        <w:jc w:val="both"/>
        <w:rPr>
          <w:rFonts w:ascii="Century" w:hAnsi="Century" w:cs="Century"/>
          <w:sz w:val="22"/>
          <w:highlight w:val="yellow"/>
        </w:rPr>
      </w:pPr>
      <w:r>
        <w:rPr>
          <w:rFonts w:cs="Century" w:ascii="Century" w:hAnsi="Century"/>
          <w:sz w:val="22"/>
          <w:highlight w:val="yellow"/>
          <w:rtl w:val="true"/>
        </w:rPr>
      </w:r>
    </w:p>
    <w:p>
      <w:pPr>
        <w:pStyle w:val="Ruller42"/>
        <w:numPr>
          <w:ilvl w:val="0"/>
          <w:numId w:val="0"/>
        </w:numPr>
        <w:ind w:hanging="0" w:start="0" w:end="0"/>
        <w:jc w:val="both"/>
        <w:rPr>
          <w:highlight w:val="yellow"/>
        </w:rPr>
      </w:pPr>
      <w:r>
        <w:rPr>
          <w:rtl w:val="true"/>
        </w:rPr>
        <w:tab/>
      </w:r>
      <w:r>
        <w:rPr>
          <w:rtl w:val="true"/>
        </w:rPr>
        <w:t>אין במעשיו של המערער כל פעולה ממנה ניתן ללמוד כי הוא פעל מתוך תקווה להצליח למנוע את תוצאת מותו של המנוח</w:t>
      </w:r>
      <w:r>
        <w:rPr>
          <w:rtl w:val="true"/>
        </w:rPr>
        <w:t xml:space="preserve">. </w:t>
      </w:r>
      <w:r>
        <w:rPr>
          <w:rtl w:val="true"/>
        </w:rPr>
        <w:t>ההפך</w:t>
      </w:r>
      <w:r>
        <w:rPr>
          <w:rtl w:val="true"/>
        </w:rPr>
        <w:t xml:space="preserve">, </w:t>
      </w:r>
      <w:r>
        <w:rPr>
          <w:rtl w:val="true"/>
        </w:rPr>
        <w:t>פועלו דווקא מלמד על שוויון נפש</w:t>
      </w:r>
      <w:r>
        <w:rPr>
          <w:rtl w:val="true"/>
        </w:rPr>
        <w:t xml:space="preserve">. </w:t>
      </w:r>
      <w:r>
        <w:rPr>
          <w:rtl w:val="true"/>
        </w:rPr>
        <w:t xml:space="preserve">המערער היה מודע לאפשרות שההתפרצות </w:t>
      </w:r>
      <w:r>
        <w:rPr>
          <w:rtl w:val="true"/>
        </w:rPr>
        <w:t>"</w:t>
      </w:r>
      <w:r>
        <w:rPr>
          <w:rtl w:val="true"/>
        </w:rPr>
        <w:t>תסתבך</w:t>
      </w:r>
      <w:r>
        <w:rPr>
          <w:rtl w:val="true"/>
        </w:rPr>
        <w:t xml:space="preserve">", </w:t>
      </w:r>
      <w:r>
        <w:rPr>
          <w:rtl w:val="true"/>
        </w:rPr>
        <w:t>שכן היא בוצעה בשעת ערב מוקדמת</w:t>
      </w:r>
      <w:r>
        <w:rPr>
          <w:rtl w:val="true"/>
        </w:rPr>
        <w:t xml:space="preserve">, </w:t>
      </w:r>
      <w:r>
        <w:rPr>
          <w:rtl w:val="true"/>
        </w:rPr>
        <w:t>מבלי שהיה לשלושה מידע מוקדם על המקום</w:t>
      </w:r>
      <w:r>
        <w:rPr>
          <w:rtl w:val="true"/>
        </w:rPr>
        <w:t xml:space="preserve">. </w:t>
      </w:r>
      <w:r>
        <w:rPr>
          <w:rtl w:val="true"/>
        </w:rPr>
        <w:t>המערער בחר</w:t>
      </w:r>
      <w:r>
        <w:rPr>
          <w:rtl w:val="true"/>
        </w:rPr>
        <w:t xml:space="preserve">, </w:t>
      </w:r>
      <w:r>
        <w:rPr>
          <w:rtl w:val="true"/>
        </w:rPr>
        <w:t>במודע</w:t>
      </w:r>
      <w:r>
        <w:rPr>
          <w:rtl w:val="true"/>
        </w:rPr>
        <w:t xml:space="preserve">, </w:t>
      </w:r>
      <w:r>
        <w:rPr>
          <w:rtl w:val="true"/>
        </w:rPr>
        <w:t>שלא לברוח דרך החלון ממנו נכנס אלא להתקדם לכיוון דלת הכניסה</w:t>
      </w:r>
      <w:r>
        <w:rPr>
          <w:rtl w:val="true"/>
        </w:rPr>
        <w:t xml:space="preserve">, </w:t>
      </w:r>
      <w:r>
        <w:rPr>
          <w:rtl w:val="true"/>
        </w:rPr>
        <w:t>מה שמלמד על שוויון נפש לאפשרות כי יאלץ להיאבק במנוח</w:t>
      </w:r>
      <w:r>
        <w:rPr>
          <w:rtl w:val="true"/>
        </w:rPr>
        <w:t xml:space="preserve">, </w:t>
      </w:r>
      <w:r>
        <w:rPr>
          <w:rtl w:val="true"/>
        </w:rPr>
        <w:t>שהגיע מכיוון הדלת</w:t>
      </w:r>
      <w:r>
        <w:rPr>
          <w:rtl w:val="true"/>
        </w:rPr>
        <w:t xml:space="preserve">. </w:t>
      </w:r>
      <w:r>
        <w:rPr>
          <w:rtl w:val="true"/>
        </w:rPr>
        <w:t>גם לאחר שנתפס</w:t>
      </w:r>
      <w:r>
        <w:rPr>
          <w:rtl w:val="true"/>
        </w:rPr>
        <w:t xml:space="preserve">, </w:t>
      </w:r>
      <w:r>
        <w:rPr>
          <w:rtl w:val="true"/>
        </w:rPr>
        <w:t>עמדה למערער האפשרות להשלים עם תפיסתו</w:t>
      </w:r>
      <w:r>
        <w:rPr>
          <w:rtl w:val="true"/>
        </w:rPr>
        <w:t xml:space="preserve">, </w:t>
      </w:r>
      <w:r>
        <w:rPr>
          <w:rtl w:val="true"/>
        </w:rPr>
        <w:t xml:space="preserve">אך הוא בחר להימלט </w:t>
      </w:r>
      <w:r>
        <w:rPr>
          <w:rtl w:val="true"/>
        </w:rPr>
        <w:t>"</w:t>
      </w:r>
      <w:r>
        <w:rPr>
          <w:rtl w:val="true"/>
        </w:rPr>
        <w:t>בכל מחיר</w:t>
      </w:r>
      <w:r>
        <w:rPr>
          <w:rtl w:val="true"/>
        </w:rPr>
        <w:t xml:space="preserve">": </w:t>
      </w:r>
      <w:r>
        <w:rPr>
          <w:rtl w:val="true"/>
        </w:rPr>
        <w:t>הוא צפה אפשרות התפתחותו של עימות אלים בינו לבין המנוח</w:t>
      </w:r>
      <w:r>
        <w:rPr>
          <w:rtl w:val="true"/>
        </w:rPr>
        <w:t xml:space="preserve">, </w:t>
      </w:r>
      <w:r>
        <w:rPr>
          <w:rtl w:val="true"/>
        </w:rPr>
        <w:t>שסביר היה להניח כי יבקש למנוע את השלמת העבירה</w:t>
      </w:r>
      <w:r>
        <w:rPr>
          <w:rtl w:val="true"/>
        </w:rPr>
        <w:t xml:space="preserve">, </w:t>
      </w:r>
      <w:r>
        <w:rPr>
          <w:rtl w:val="true"/>
        </w:rPr>
        <w:t>ודקר את המנוח בחזהו באמצעות המברג הארוך שהיה בחזקתו</w:t>
      </w:r>
      <w:r>
        <w:rPr>
          <w:rtl w:val="true"/>
        </w:rPr>
        <w:t xml:space="preserve">, </w:t>
      </w:r>
      <w:r>
        <w:rPr>
          <w:rtl w:val="true"/>
        </w:rPr>
        <w:t>מה שמלמד על אדישות לאפשרות קטילת המנוח</w:t>
      </w:r>
      <w:r>
        <w:rPr>
          <w:rtl w:val="true"/>
        </w:rPr>
        <w:t xml:space="preserve">. </w:t>
      </w:r>
      <w:r>
        <w:rPr>
          <w:rtl w:val="true"/>
        </w:rPr>
        <w:t>אדישותו של המערער נלמדת ביתר שאת מפועלו לאחר הדקירה</w:t>
      </w:r>
      <w:r>
        <w:rPr>
          <w:rtl w:val="true"/>
        </w:rPr>
        <w:t xml:space="preserve">: </w:t>
      </w:r>
      <w:r>
        <w:rPr>
          <w:rtl w:val="true"/>
        </w:rPr>
        <w:t>המערער הפקיר את המנוח בכניסה לבית מבלי להזעיק עזרה ונסע יחד עם האחרים לאכול במסעדה</w:t>
      </w:r>
      <w:r>
        <w:rPr>
          <w:rtl w:val="true"/>
        </w:rPr>
        <w:t xml:space="preserve">. </w:t>
      </w:r>
      <w:r>
        <w:rPr>
          <w:rtl w:val="true"/>
        </w:rPr>
        <w:t>אשר על כן</w:t>
      </w:r>
      <w:r>
        <w:rPr>
          <w:rtl w:val="true"/>
        </w:rPr>
        <w:t xml:space="preserve">, </w:t>
      </w:r>
      <w:r>
        <w:rPr>
          <w:rtl w:val="true"/>
        </w:rPr>
        <w:t>בדין קבע בית המשפט קמא כי המערער פעל באדישות לתוצאה הקטלנית</w:t>
      </w:r>
      <w:r>
        <w:rPr>
          <w:rtl w:val="true"/>
        </w:rPr>
        <w:t>.</w:t>
      </w:r>
    </w:p>
    <w:p>
      <w:pPr>
        <w:pStyle w:val="Ruller41"/>
        <w:ind w:end="0"/>
        <w:jc w:val="both"/>
        <w:rPr>
          <w:rFonts w:ascii="Century" w:hAnsi="Century" w:cs="Century"/>
          <w:highlight w:val="yellow"/>
        </w:rPr>
      </w:pPr>
      <w:r>
        <w:rPr>
          <w:rFonts w:cs="Century" w:ascii="Century" w:hAnsi="Century"/>
          <w:highlight w:val="yellow"/>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משנותרה על כנה הקביעה כי המערער פעל באדישות</w:t>
      </w:r>
      <w:r>
        <w:rPr>
          <w:rFonts w:cs="Century" w:ascii="Century" w:hAnsi="Century"/>
          <w:rtl w:val="true"/>
        </w:rPr>
        <w:t xml:space="preserve">, </w:t>
      </w:r>
      <w:r>
        <w:rPr>
          <w:rFonts w:ascii="Century" w:hAnsi="Century" w:cs="Century"/>
          <w:rtl w:val="true"/>
        </w:rPr>
        <w:t xml:space="preserve">הרי שהרשעתו תעמוד על כנה גם אם תאומץ הפרשנות שהוצעה בעניין </w:t>
      </w:r>
      <w:r>
        <w:rPr>
          <w:rFonts w:ascii="Century" w:hAnsi="Century" w:cs="Miriam"/>
          <w:b/>
          <w:b/>
          <w:spacing w:val="0"/>
          <w:szCs w:val="24"/>
          <w:rtl w:val="true"/>
        </w:rPr>
        <w:t>טמטאווי</w:t>
      </w:r>
      <w:r>
        <w:rPr>
          <w:rFonts w:cs="Century" w:ascii="Century" w:hAnsi="Century"/>
          <w:rtl w:val="true"/>
        </w:rPr>
        <w:t xml:space="preserve">, </w:t>
      </w:r>
      <w:r>
        <w:rPr>
          <w:rFonts w:ascii="Century" w:hAnsi="Century" w:cs="Century"/>
          <w:rtl w:val="true"/>
        </w:rPr>
        <w:t xml:space="preserve">ומשכך איני נדרש אליה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חאמד</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 xml:space="preserve">בפסקה </w:t>
      </w:r>
      <w:r>
        <w:rPr>
          <w:rFonts w:cs="Century" w:ascii="Century" w:hAnsi="Century"/>
        </w:rPr>
        <w:t>22</w:t>
      </w:r>
      <w:r>
        <w:rPr>
          <w:rFonts w:cs="Century" w:ascii="Century" w:hAnsi="Century"/>
          <w:rtl w:val="true"/>
        </w:rPr>
        <w:t xml:space="preserve">). </w:t>
      </w:r>
      <w:r>
        <w:rPr>
          <w:rtl w:val="true"/>
        </w:rPr>
        <w:t>בנקודה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יוער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ביום</w:t>
      </w:r>
      <w:r>
        <w:rPr>
          <w:rFonts w:eastAsia="Arial TUR;Arial" w:cs="Arial TUR;Arial"/>
          <w:rtl w:val="true"/>
        </w:rPr>
        <w:t xml:space="preserve"> </w:t>
      </w:r>
      <w:r>
        <w:rPr/>
        <w:t>10.1.2019</w:t>
      </w:r>
      <w:r>
        <w:rPr>
          <w:rtl w:val="true"/>
        </w:rPr>
        <w:t xml:space="preserve"> </w:t>
      </w:r>
      <w:r>
        <w:rPr>
          <w:rtl w:val="true"/>
        </w:rPr>
        <w:t>פורסם</w:t>
      </w:r>
      <w:r>
        <w:rPr>
          <w:rFonts w:eastAsia="Arial TUR;Arial" w:cs="Arial TUR;Arial"/>
          <w:rtl w:val="true"/>
        </w:rPr>
        <w:t xml:space="preserve"> </w:t>
      </w:r>
      <w:r>
        <w:rPr>
          <w:rtl w:val="true"/>
        </w:rPr>
        <w:t>ברשומות</w:t>
      </w:r>
      <w:r>
        <w:rPr>
          <w:rFonts w:eastAsia="Arial TUR;Arial" w:cs="Arial TUR;Arial"/>
          <w:rtl w:val="true"/>
        </w:rPr>
        <w:t xml:space="preserve"> </w:t>
      </w:r>
      <w:r>
        <w:rPr>
          <w:rtl w:val="true"/>
        </w:rPr>
        <w:t>תיקון</w:t>
      </w:r>
      <w:r>
        <w:rPr>
          <w:rFonts w:eastAsia="Arial TUR;Arial" w:cs="Arial TUR;Arial"/>
          <w:rtl w:val="true"/>
        </w:rPr>
        <w:t xml:space="preserve"> </w:t>
      </w:r>
      <w:r>
        <w:rPr>
          <w:rtl w:val="true"/>
        </w:rPr>
        <w:t>ל</w:t>
      </w:r>
      <w:hyperlink r:id="rId7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מהרפורמה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w:t>
      </w:r>
      <w:r>
        <w:rPr>
          <w:rtl w:val="true"/>
        </w:rPr>
        <w:t>חוק</w:t>
      </w:r>
      <w:r>
        <w:rPr>
          <w:rFonts w:eastAsia="Arial TUR;Arial" w:cs="Arial TUR;Arial"/>
          <w:rtl w:val="true"/>
        </w:rPr>
        <w:t xml:space="preserve"> </w:t>
      </w:r>
      <w:r>
        <w:rPr>
          <w:rtl w:val="true"/>
        </w:rPr>
        <w:t>העונשין</w:t>
      </w:r>
      <w:r>
        <w:rPr>
          <w:rFonts w:eastAsia="Arial TUR;Arial" w:cs="Arial TUR;Arial"/>
          <w:rtl w:val="true"/>
        </w:rPr>
        <w:t xml:space="preserve"> </w:t>
      </w:r>
      <w:r>
        <w:rPr>
          <w:rtl w:val="true"/>
        </w:rPr>
        <w:t>(</w:t>
      </w:r>
      <w:r>
        <w:rPr>
          <w:rtl w:val="true"/>
        </w:rPr>
        <w:t>תיקון</w:t>
      </w:r>
      <w:r>
        <w:rPr>
          <w:rFonts w:eastAsia="Arial TUR;Arial" w:cs="Arial TUR;Arial"/>
          <w:rtl w:val="true"/>
        </w:rPr>
        <w:t xml:space="preserve"> </w:t>
      </w:r>
      <w:r>
        <w:rPr>
          <w:rtl w:val="true"/>
        </w:rPr>
        <w:t>מס</w:t>
      </w:r>
      <w:r>
        <w:rPr>
          <w:rtl w:val="true"/>
        </w:rPr>
        <w:t xml:space="preserve">' </w:t>
      </w:r>
      <w:r>
        <w:rPr/>
        <w:t>137</w:t>
      </w:r>
      <w:r>
        <w:rPr>
          <w:rtl w:val="true"/>
        </w:rPr>
        <w:t xml:space="preserve">), </w:t>
      </w:r>
      <w:r>
        <w:rPr>
          <w:rtl w:val="true"/>
        </w:rPr>
        <w:t>ס</w:t>
      </w:r>
      <w:r>
        <w:rPr>
          <w:rtl w:val="true"/>
        </w:rPr>
        <w:t>"</w:t>
      </w:r>
      <w:r>
        <w:rPr>
          <w:rtl w:val="true"/>
        </w:rPr>
        <w:t>ח</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t>230</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התיקון</w:t>
      </w:r>
      <w:r>
        <w:rPr>
          <w:rFonts w:cs="Century" w:ascii="Century" w:hAnsi="Century"/>
          <w:rtl w:val="true"/>
        </w:rPr>
        <w:t>))</w:t>
      </w:r>
      <w:r>
        <w:rPr>
          <w:rtl w:val="true"/>
        </w:rPr>
        <w:t xml:space="preserve">, </w:t>
      </w:r>
      <w:r>
        <w:rPr>
          <w:rtl w:val="true"/>
        </w:rPr>
        <w:t>ויום</w:t>
      </w:r>
      <w:r>
        <w:rPr>
          <w:rFonts w:eastAsia="Arial TUR;Arial" w:cs="Arial TUR;Arial"/>
          <w:rtl w:val="true"/>
        </w:rPr>
        <w:t xml:space="preserve"> </w:t>
      </w:r>
      <w:r>
        <w:rPr>
          <w:rtl w:val="true"/>
        </w:rPr>
        <w:t>תחילתו</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לשישה</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מיום</w:t>
      </w:r>
      <w:r>
        <w:rPr>
          <w:rFonts w:eastAsia="Arial TUR;Arial" w:cs="Arial TUR;Arial"/>
          <w:rtl w:val="true"/>
        </w:rPr>
        <w:t xml:space="preserve"> </w:t>
      </w:r>
      <w:r>
        <w:rPr>
          <w:rtl w:val="true"/>
        </w:rPr>
        <w:t>הפרסום</w:t>
      </w:r>
      <w:r>
        <w:rPr>
          <w:rtl w:val="true"/>
        </w:rPr>
        <w:t xml:space="preserve">. </w:t>
      </w:r>
      <w:r>
        <w:rPr>
          <w:rtl w:val="true"/>
        </w:rPr>
        <w:t>בהתאם</w:t>
      </w:r>
      <w:r>
        <w:rPr>
          <w:rFonts w:eastAsia="Arial TUR;Arial" w:cs="Arial TUR;Arial"/>
          <w:rtl w:val="true"/>
        </w:rPr>
        <w:t xml:space="preserve"> </w:t>
      </w:r>
      <w:r>
        <w:rPr>
          <w:rtl w:val="true"/>
        </w:rPr>
        <w:t>להוראת</w:t>
      </w:r>
      <w:r>
        <w:rPr>
          <w:rFonts w:eastAsia="Arial TUR;Arial" w:cs="Arial TUR;Arial"/>
          <w:rtl w:val="true"/>
        </w:rPr>
        <w:t xml:space="preserve"> </w:t>
      </w:r>
      <w:r>
        <w:rPr>
          <w:rtl w:val="true"/>
        </w:rPr>
        <w:t>המעבר</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בתיקון</w:t>
      </w:r>
      <w:r>
        <w:rPr>
          <w:rtl w:val="true"/>
        </w:rPr>
        <w:t xml:space="preserve">, </w:t>
      </w:r>
      <w:r>
        <w:rPr>
          <w:rtl w:val="true"/>
        </w:rPr>
        <w:t>וכמצוות</w:t>
      </w:r>
      <w:r>
        <w:rPr>
          <w:rFonts w:eastAsia="Arial TUR;Arial" w:cs="Arial TUR;Arial"/>
          <w:rtl w:val="true"/>
        </w:rPr>
        <w:t xml:space="preserve"> </w:t>
      </w:r>
      <w:hyperlink r:id="rId7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7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שבוצעה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התחילה</w:t>
      </w:r>
      <w:r>
        <w:rPr>
          <w:rFonts w:eastAsia="Arial TUR;Arial" w:cs="Arial TUR;Arial"/>
          <w:rtl w:val="true"/>
        </w:rPr>
        <w:t xml:space="preserve"> </w:t>
      </w:r>
      <w:r>
        <w:rPr>
          <w:rtl w:val="true"/>
        </w:rPr>
        <w:t>וטרם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חלוט</w:t>
      </w:r>
      <w:r>
        <w:rPr>
          <w:rFonts w:eastAsia="Arial TUR;Arial" w:cs="Arial TUR;Arial"/>
          <w:rtl w:val="true"/>
        </w:rPr>
        <w:t xml:space="preserve"> </w:t>
      </w:r>
      <w:r>
        <w:rPr>
          <w:rtl w:val="true"/>
        </w:rPr>
        <w:t>בעניינה</w:t>
      </w:r>
      <w:r>
        <w:rPr>
          <w:rFonts w:eastAsia="Arial TUR;Arial" w:cs="Arial TUR;Arial"/>
          <w:rtl w:val="true"/>
        </w:rPr>
        <w:t xml:space="preserve"> </w:t>
      </w:r>
      <w:r>
        <w:rPr>
          <w:rtl w:val="true"/>
        </w:rPr>
        <w:t>"</w:t>
      </w:r>
      <w:r>
        <w:rPr>
          <w:rFonts w:ascii="Century" w:hAnsi="Century" w:cs="Miriam"/>
          <w:b/>
          <w:b/>
          <w:spacing w:val="0"/>
          <w:szCs w:val="24"/>
          <w:rtl w:val="true"/>
        </w:rPr>
        <w:t>יחול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הענין</w:t>
      </w:r>
      <w:r>
        <w:rPr>
          <w:rFonts w:ascii="Century" w:hAnsi="Century" w:eastAsia="Century" w:cs="Century"/>
          <w:b/>
          <w:b/>
          <w:spacing w:val="0"/>
          <w:szCs w:val="24"/>
          <w:rtl w:val="true"/>
        </w:rPr>
        <w:t xml:space="preserve"> </w:t>
      </w:r>
      <w:r>
        <w:rPr>
          <w:rFonts w:ascii="Century" w:hAnsi="Century" w:cs="Miriam"/>
          <w:b/>
          <w:b/>
          <w:spacing w:val="0"/>
          <w:szCs w:val="24"/>
          <w:rtl w:val="true"/>
        </w:rPr>
        <w:t>החיקוק</w:t>
      </w:r>
      <w:r>
        <w:rPr>
          <w:rFonts w:ascii="Century" w:hAnsi="Century" w:eastAsia="Century" w:cs="Century"/>
          <w:b/>
          <w:b/>
          <w:spacing w:val="0"/>
          <w:szCs w:val="24"/>
          <w:rtl w:val="true"/>
        </w:rPr>
        <w:t xml:space="preserve"> </w:t>
      </w:r>
      <w:r>
        <w:rPr>
          <w:rFonts w:ascii="Century" w:hAnsi="Century" w:cs="Miriam"/>
          <w:b/>
          <w:b/>
          <w:spacing w:val="0"/>
          <w:szCs w:val="24"/>
          <w:rtl w:val="true"/>
        </w:rPr>
        <w:t>המקל</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העושה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התיקון</w:t>
      </w:r>
      <w:r>
        <w:rPr>
          <w:rtl w:val="true"/>
        </w:rPr>
        <w:t xml:space="preserve">, </w:t>
      </w:r>
      <w:r>
        <w:rPr>
          <w:rtl w:val="true"/>
        </w:rPr>
        <w:t>שונה</w:t>
      </w:r>
      <w:r>
        <w:rPr>
          <w:rFonts w:eastAsia="Arial TUR;Arial" w:cs="Arial TUR;Arial"/>
          <w:rtl w:val="true"/>
        </w:rPr>
        <w:t xml:space="preserve"> </w:t>
      </w:r>
      <w:r>
        <w:rPr>
          <w:rtl w:val="true"/>
        </w:rPr>
        <w:t>נוסחו</w:t>
      </w:r>
      <w:r>
        <w:rPr>
          <w:rFonts w:eastAsia="Arial TUR;Arial" w:cs="Arial TUR;Arial"/>
          <w:rtl w:val="true"/>
        </w:rPr>
        <w:t xml:space="preserve"> </w:t>
      </w:r>
      <w:r>
        <w:rPr>
          <w:rtl w:val="true"/>
        </w:rPr>
        <w:t>של</w:t>
      </w:r>
      <w:r>
        <w:rPr>
          <w:rFonts w:eastAsia="Arial TUR;Arial" w:cs="Arial TUR;Arial"/>
          <w:rtl w:val="true"/>
        </w:rPr>
        <w:t xml:space="preserve"> </w:t>
      </w:r>
      <w:hyperlink r:id="rId7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300</w:t>
        </w:r>
      </w:hyperlink>
      <w:r>
        <w:rPr>
          <w:rtl w:val="true"/>
        </w:rPr>
        <w:t xml:space="preserve"> </w:t>
      </w:r>
      <w:r>
        <w:rPr>
          <w:rtl w:val="true"/>
        </w:rPr>
        <w:t>ל</w:t>
      </w:r>
      <w:hyperlink r:id="rId7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והסעיף</w:t>
      </w:r>
      <w:r>
        <w:rPr>
          <w:rFonts w:eastAsia="Arial TUR;Arial" w:cs="Arial TUR;Arial"/>
          <w:rtl w:val="true"/>
        </w:rPr>
        <w:t xml:space="preserve"> </w:t>
      </w:r>
      <w:r>
        <w:rPr>
          <w:rtl w:val="true"/>
        </w:rPr>
        <w:t>הרלוונטי</w:t>
      </w:r>
      <w:r>
        <w:rPr>
          <w:rFonts w:eastAsia="Arial TUR;Arial" w:cs="Arial TUR;Arial"/>
          <w:rtl w:val="true"/>
        </w:rPr>
        <w:t xml:space="preserve"> </w:t>
      </w:r>
      <w:r>
        <w:rPr>
          <w:rtl w:val="true"/>
        </w:rPr>
        <w:t>לענייננו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התיקון</w:t>
      </w:r>
      <w:r>
        <w:rPr>
          <w:rFonts w:eastAsia="Arial TUR;Arial" w:cs="Arial TUR;Arial"/>
          <w:rtl w:val="true"/>
        </w:rPr>
        <w:t xml:space="preserve"> </w:t>
      </w:r>
      <w:r>
        <w:rPr>
          <w:rtl w:val="true"/>
        </w:rPr>
        <w:t>מצוי</w:t>
      </w:r>
      <w:r>
        <w:rPr>
          <w:rFonts w:eastAsia="Arial TUR;Arial" w:cs="Arial TUR;Arial"/>
          <w:rtl w:val="true"/>
        </w:rPr>
        <w:t xml:space="preserve"> </w:t>
      </w:r>
      <w:hyperlink r:id="rId80">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301</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שכותרתו</w:t>
      </w:r>
      <w:r>
        <w:rPr>
          <w:rFonts w:eastAsia="Arial TUR;Arial" w:cs="Arial TUR;Arial"/>
          <w:rtl w:val="true"/>
        </w:rPr>
        <w:t xml:space="preserve"> </w:t>
      </w:r>
      <w:r>
        <w:rPr>
          <w:rtl w:val="true"/>
        </w:rPr>
        <w:t>"</w:t>
      </w:r>
      <w:r>
        <w:rPr>
          <w:rtl w:val="true"/>
        </w:rPr>
        <w:t>רצח</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הגורם</w:t>
      </w:r>
      <w:r>
        <w:rPr>
          <w:rFonts w:eastAsia="Arial TUR;Arial" w:cs="Arial TUR;Arial"/>
          <w:rtl w:val="true"/>
        </w:rPr>
        <w:t xml:space="preserve"> </w:t>
      </w:r>
      <w:r>
        <w:rPr>
          <w:rFonts w:ascii="Century" w:hAnsi="Century" w:cs="Miriam"/>
          <w:b/>
          <w:b/>
          <w:spacing w:val="0"/>
          <w:szCs w:val="24"/>
          <w:rtl w:val="true"/>
        </w:rPr>
        <w:t>בכוונה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באדישות</w:t>
      </w:r>
      <w:r>
        <w:rPr>
          <w:rFonts w:eastAsia="Arial TUR;Arial" w:cs="Arial TUR;Arial"/>
          <w:rtl w:val="true"/>
        </w:rPr>
        <w:t xml:space="preserve"> </w:t>
      </w:r>
      <w:r>
        <w:rPr>
          <w:rtl w:val="true"/>
        </w:rPr>
        <w:t>למותו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מהנסיבות</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להלן</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ועונש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בלבד</w:t>
      </w:r>
      <w:r>
        <w:rPr>
          <w:rtl w:val="true"/>
        </w:rPr>
        <w:t xml:space="preserve">: (...) </w:t>
      </w:r>
    </w:p>
    <w:p>
      <w:pPr>
        <w:pStyle w:val="Ruller51"/>
        <w:ind w:end="1282"/>
        <w:jc w:val="both"/>
        <w:rPr/>
      </w:pPr>
      <w:r>
        <w:rPr>
          <w:rtl w:val="true"/>
        </w:rPr>
        <w:t>(</w:t>
      </w:r>
      <w:r>
        <w:rPr/>
        <w:t>2</w:t>
      </w:r>
      <w:r>
        <w:rPr>
          <w:rtl w:val="true"/>
        </w:rPr>
        <w:t xml:space="preserve">) </w:t>
      </w:r>
      <w:r>
        <w:rPr>
          <w:rtl w:val="true"/>
        </w:rPr>
        <w:t>המעשה</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tl w:val="true"/>
        </w:rPr>
        <w:t xml:space="preserve">, </w:t>
      </w:r>
      <w:r>
        <w:rPr>
          <w:rtl w:val="true"/>
        </w:rPr>
        <w:t>או</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או</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הימלטות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האחרת</w:t>
      </w:r>
      <w:r>
        <w:rPr>
          <w:rtl w:val="true"/>
        </w:rPr>
        <w:t xml:space="preserve">; </w:t>
      </w:r>
      <w:r>
        <w:rPr>
          <w:rtl w:val="true"/>
        </w:rPr>
        <w:t>לעניין</w:t>
      </w:r>
      <w:r>
        <w:rPr>
          <w:rFonts w:eastAsia="Arial TUR;Arial" w:cs="Arial TUR;Arial"/>
          <w:rtl w:val="true"/>
        </w:rPr>
        <w:t xml:space="preserve"> </w:t>
      </w:r>
      <w:r>
        <w:rPr>
          <w:rtl w:val="true"/>
        </w:rPr>
        <w:t>זה</w:t>
      </w:r>
      <w:r>
        <w:rPr>
          <w:rtl w:val="true"/>
        </w:rPr>
        <w:t>,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w:t>
      </w:r>
      <w:r>
        <w:rPr>
          <w:rtl w:val="true"/>
        </w:rPr>
        <w:t xml:space="preserve"> </w:t>
      </w:r>
      <w:r>
        <w:rPr>
          <w:rtl w:val="true"/>
        </w:rPr>
        <w:t>עבירה</w:t>
      </w:r>
      <w:r>
        <w:rPr>
          <w:rFonts w:eastAsia="Arial TUR;Arial" w:cs="Arial TUR;Arial"/>
          <w:rtl w:val="true"/>
        </w:rPr>
        <w:t xml:space="preserve"> </w:t>
      </w:r>
      <w:r>
        <w:rPr>
          <w:rtl w:val="true"/>
        </w:rPr>
        <w:t>שעונשה</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יותר</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מכאן</w:t>
      </w:r>
      <w:r>
        <w:rPr>
          <w:rtl w:val="true"/>
        </w:rPr>
        <w:t xml:space="preserve">, </w:t>
      </w:r>
      <w:r>
        <w:rPr>
          <w:rtl w:val="true"/>
        </w:rPr>
        <w:t>כי החוק לאחר התיקון קובע כי נדרש יסוד נפשי מסוג כוונה או אדישות לשם הרשעה</w:t>
      </w:r>
      <w:r>
        <w:rPr>
          <w:rtl w:val="true"/>
        </w:rPr>
        <w:t xml:space="preserve">, </w:t>
      </w:r>
      <w:r>
        <w:rPr>
          <w:rtl w:val="true"/>
        </w:rPr>
        <w:t>ובמובן זה מקל עם הנאשם ביחס להוראה שלפני התיקון</w:t>
      </w:r>
      <w:r>
        <w:rPr>
          <w:rtl w:val="true"/>
        </w:rPr>
        <w:t xml:space="preserve">. </w:t>
      </w:r>
      <w:r>
        <w:rPr>
          <w:rtl w:val="true"/>
        </w:rPr>
        <w:t>עם זאת</w:t>
      </w:r>
      <w:r>
        <w:rPr>
          <w:rtl w:val="true"/>
        </w:rPr>
        <w:t xml:space="preserve">, </w:t>
      </w:r>
      <w:r>
        <w:rPr>
          <w:rtl w:val="true"/>
        </w:rPr>
        <w:t xml:space="preserve">משנקבע כי בעניינו המערער פעל </w:t>
      </w:r>
      <w:r>
        <w:rPr>
          <w:rFonts w:ascii="Century" w:hAnsi="Century" w:cs="Miriam"/>
          <w:b/>
          <w:b/>
          <w:spacing w:val="0"/>
          <w:sz w:val="22"/>
          <w:sz w:val="22"/>
          <w:szCs w:val="24"/>
          <w:rtl w:val="true"/>
        </w:rPr>
        <w:t>באדישות</w:t>
      </w:r>
      <w:r>
        <w:rPr>
          <w:rtl w:val="true"/>
        </w:rPr>
        <w:t xml:space="preserve">, </w:t>
      </w:r>
      <w:r>
        <w:rPr>
          <w:rtl w:val="true"/>
        </w:rPr>
        <w:t>אין בכך כדי להשליך על הרשעתו</w:t>
      </w:r>
      <w:r>
        <w:rPr>
          <w:rtl w:val="true"/>
        </w:rPr>
        <w:t xml:space="preserve">. </w:t>
      </w:r>
      <w:r>
        <w:rPr>
          <w:rtl w:val="true"/>
        </w:rPr>
        <w:t>עוד יוער כי הסעיף לאחר התיקון קובע כי כאשר עסקינן ברצח במטרה לאפשר ביצוע עבירה אחרת</w:t>
      </w:r>
      <w:r>
        <w:rPr>
          <w:rtl w:val="true"/>
        </w:rPr>
        <w:t xml:space="preserve">, </w:t>
      </w:r>
      <w:r>
        <w:rPr>
          <w:rtl w:val="true"/>
        </w:rPr>
        <w:t>על אותה עבירה אחרת להיות כזו שעונשה שבע שנות מאסר או יותר</w:t>
      </w:r>
      <w:r>
        <w:rPr>
          <w:rtl w:val="true"/>
        </w:rPr>
        <w:t xml:space="preserve">. </w:t>
      </w:r>
      <w:r>
        <w:rPr>
          <w:rtl w:val="true"/>
        </w:rPr>
        <w:t>מאחר שהעונש המקסימאלי הקבוע בחוק בעבור עבירת ההתפרצות למקום מגורים בה הורשע המערער עומד על שבע שנות מאסר</w:t>
      </w:r>
      <w:r>
        <w:rPr>
          <w:rtl w:val="true"/>
        </w:rPr>
        <w:t xml:space="preserve">, </w:t>
      </w:r>
      <w:r>
        <w:rPr>
          <w:rtl w:val="true"/>
        </w:rPr>
        <w:t>גם נתון זה אינו משליך על ההרשעה</w:t>
      </w:r>
      <w:r>
        <w:rPr>
          <w:rtl w:val="true"/>
        </w:rPr>
        <w:t xml:space="preserve">. </w:t>
      </w:r>
      <w:r>
        <w:rPr>
          <w:rtl w:val="true"/>
        </w:rPr>
        <w:t>למען שלמות התמונה יודגש</w:t>
      </w:r>
      <w:r>
        <w:rPr>
          <w:rtl w:val="true"/>
        </w:rPr>
        <w:t xml:space="preserve">, </w:t>
      </w:r>
      <w:r>
        <w:rPr>
          <w:rtl w:val="true"/>
        </w:rPr>
        <w:t xml:space="preserve">כי העונש על עבירה של רצח בנסיבות מחמירות לפי </w:t>
      </w:r>
      <w:hyperlink r:id="rId81">
        <w:r>
          <w:rPr>
            <w:rStyle w:val="Hyperlink"/>
            <w:color w:val="0000FF"/>
            <w:u w:val="single"/>
            <w:rtl w:val="true"/>
          </w:rPr>
          <w:t>סעיף</w:t>
        </w:r>
        <w:r>
          <w:rPr>
            <w:rStyle w:val="Hyperlink"/>
            <w:color w:val="0000FF"/>
            <w:u w:val="single"/>
            <w:rtl w:val="true"/>
          </w:rPr>
          <w:t xml:space="preserve"> </w:t>
        </w:r>
        <w:r>
          <w:rPr>
            <w:rStyle w:val="Hyperlink"/>
            <w:color w:val="0000FF"/>
            <w:u w:val="single"/>
          </w:rPr>
          <w:t>301</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לאחר התיקון זהה לעונש על עבירה לפי </w:t>
      </w:r>
      <w:hyperlink r:id="rId82">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לפני התיקון</w:t>
      </w:r>
      <w:r>
        <w:rPr>
          <w:rtl w:val="true"/>
        </w:rPr>
        <w:t xml:space="preserve">, </w:t>
      </w:r>
      <w:r>
        <w:rPr>
          <w:rtl w:val="true"/>
        </w:rPr>
        <w:t xml:space="preserve">והוא </w:t>
      </w:r>
      <w:r>
        <w:rPr>
          <w:rtl w:val="true"/>
        </w:rPr>
        <w:t>"</w:t>
      </w:r>
      <w:r>
        <w:rPr>
          <w:rtl w:val="true"/>
        </w:rPr>
        <w:t>מאסר עולם ועונש זה בלבד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נוכח כל האמור</w:t>
      </w:r>
      <w:r>
        <w:rPr>
          <w:rtl w:val="true"/>
        </w:rPr>
        <w:t xml:space="preserve">, </w:t>
      </w:r>
      <w:r>
        <w:rPr>
          <w:rtl w:val="true"/>
        </w:rPr>
        <w:t>לא מצאתי עילה להתערבות בהכרעת הדין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משלא מצאתי להתערב בהרשעת המערער בעבירת הרצח</w:t>
      </w:r>
      <w:r>
        <w:rPr>
          <w:rtl w:val="true"/>
        </w:rPr>
        <w:t xml:space="preserve">, </w:t>
      </w:r>
      <w:r>
        <w:rPr>
          <w:rtl w:val="true"/>
        </w:rPr>
        <w:t>נותר על כנו עונש מאסר העולם שהושת עליו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אשר לפיצוי</w:t>
      </w:r>
      <w:r>
        <w:rPr>
          <w:rtl w:val="true"/>
        </w:rPr>
        <w:t xml:space="preserve">, </w:t>
      </w:r>
      <w:r>
        <w:rPr>
          <w:rtl w:val="true"/>
        </w:rPr>
        <w:t xml:space="preserve">לאור פסיקתו של בית משפט זה בעניין </w:t>
      </w:r>
      <w:r>
        <w:rPr>
          <w:rFonts w:ascii="Century" w:hAnsi="Century" w:cs="Miriam"/>
          <w:b/>
          <w:b/>
          <w:spacing w:val="0"/>
          <w:sz w:val="22"/>
          <w:sz w:val="22"/>
          <w:szCs w:val="24"/>
          <w:rtl w:val="true"/>
        </w:rPr>
        <w:t>טווק</w:t>
      </w:r>
      <w:r>
        <w:rPr>
          <w:rFonts w:cs="Century" w:ascii="Century" w:hAnsi="Century"/>
          <w:sz w:val="22"/>
          <w:rtl w:val="true"/>
        </w:rPr>
        <w:t xml:space="preserve">, </w:t>
      </w:r>
      <w:r>
        <w:rPr>
          <w:rFonts w:ascii="Century" w:hAnsi="Century" w:cs="Century"/>
          <w:sz w:val="22"/>
          <w:sz w:val="22"/>
          <w:rtl w:val="true"/>
        </w:rPr>
        <w:t xml:space="preserve">אציע כי נקבל את </w:t>
      </w:r>
      <w:r>
        <w:rPr>
          <w:rtl w:val="true"/>
        </w:rPr>
        <w:t>המתווה שהציעה משפחת המנוח</w:t>
      </w:r>
      <w:r>
        <w:rPr>
          <w:rtl w:val="true"/>
        </w:rPr>
        <w:t xml:space="preserve">, </w:t>
      </w:r>
      <w:r>
        <w:rPr>
          <w:rtl w:val="true"/>
        </w:rPr>
        <w:t>לו הסכימה המשיבה ועליו לא חלק המערער</w:t>
      </w:r>
      <w:r>
        <w:rPr>
          <w:rtl w:val="true"/>
        </w:rPr>
        <w:t xml:space="preserve">, </w:t>
      </w:r>
      <w:r>
        <w:rPr>
          <w:rtl w:val="true"/>
        </w:rPr>
        <w:t xml:space="preserve">לפיו הפיצוי שנפסק לטובת הנכדים יוותר על כנו ויעמוד על סך של </w:t>
      </w:r>
      <w:r>
        <w:rPr/>
        <w:t>30,000</w:t>
      </w:r>
      <w:r>
        <w:rPr>
          <w:rtl w:val="true"/>
        </w:rPr>
        <w:t xml:space="preserve"> </w:t>
      </w:r>
      <w:r>
        <w:rPr>
          <w:rtl w:val="true"/>
        </w:rPr>
        <w:t>ש</w:t>
      </w:r>
      <w:r>
        <w:rPr>
          <w:rtl w:val="true"/>
        </w:rPr>
        <w:t>"</w:t>
      </w:r>
      <w:r>
        <w:rPr>
          <w:rtl w:val="true"/>
        </w:rPr>
        <w:t xml:space="preserve">ח והפיצוי לאלמנת המנוח יעמוד על </w:t>
      </w:r>
      <w:r>
        <w:rPr/>
        <w:t>228,000</w:t>
      </w:r>
      <w:r>
        <w:rPr>
          <w:rtl w:val="true"/>
        </w:rPr>
        <w:t xml:space="preserve"> </w:t>
      </w:r>
      <w:r>
        <w:rPr>
          <w:rtl w:val="true"/>
        </w:rPr>
        <w:t>ש</w:t>
      </w:r>
      <w:r>
        <w:rPr>
          <w:rtl w:val="true"/>
        </w:rPr>
        <w:t>"</w:t>
      </w:r>
      <w:r>
        <w:rPr>
          <w:rtl w:val="true"/>
        </w:rPr>
        <w:t>ח</w:t>
      </w:r>
      <w:r>
        <w:rPr>
          <w:rtl w:val="true"/>
        </w:rPr>
        <w:t xml:space="preserve">. </w:t>
      </w:r>
      <w:r>
        <w:rPr>
          <w:rtl w:val="true"/>
        </w:rPr>
        <w:t>זאת</w:t>
      </w:r>
      <w:r>
        <w:rPr>
          <w:rtl w:val="true"/>
        </w:rPr>
        <w:t xml:space="preserve">, </w:t>
      </w:r>
      <w:r>
        <w:rPr>
          <w:rtl w:val="true"/>
        </w:rPr>
        <w:t>חלף הסכומים שפסק בית המשפט קמא</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סוף דבר</w:t>
      </w:r>
      <w:r>
        <w:rPr>
          <w:rFonts w:cs="Century" w:ascii="Century" w:hAnsi="Century"/>
          <w:sz w:val="22"/>
          <w:rtl w:val="true"/>
        </w:rPr>
        <w:t xml:space="preserve">, </w:t>
      </w:r>
      <w:r>
        <w:rPr>
          <w:rFonts w:ascii="Century" w:hAnsi="Century" w:cs="Century"/>
          <w:sz w:val="22"/>
          <w:sz w:val="22"/>
          <w:rtl w:val="true"/>
        </w:rPr>
        <w:t>לו תשמע דעתי</w:t>
      </w:r>
      <w:r>
        <w:rPr>
          <w:rFonts w:cs="Century" w:ascii="Century" w:hAnsi="Century"/>
          <w:sz w:val="22"/>
          <w:rtl w:val="true"/>
        </w:rPr>
        <w:t xml:space="preserve">, </w:t>
      </w:r>
      <w:r>
        <w:rPr>
          <w:rFonts w:ascii="Century" w:hAnsi="Century" w:cs="Century"/>
          <w:sz w:val="22"/>
          <w:sz w:val="22"/>
          <w:rtl w:val="true"/>
        </w:rPr>
        <w:t>נדחה את הערעור על הכרעת הדין ועונש מאסר העולם יעמוד על כנו</w:t>
      </w:r>
      <w:r>
        <w:rPr>
          <w:rFonts w:cs="Century" w:ascii="Century" w:hAnsi="Century"/>
          <w:sz w:val="22"/>
          <w:rtl w:val="true"/>
        </w:rPr>
        <w:t xml:space="preserve">. </w:t>
      </w:r>
      <w:r>
        <w:rPr>
          <w:rFonts w:ascii="Century" w:hAnsi="Century" w:cs="Century"/>
          <w:sz w:val="22"/>
          <w:sz w:val="22"/>
          <w:rtl w:val="true"/>
        </w:rPr>
        <w:t>לצד זאת</w:t>
      </w:r>
      <w:r>
        <w:rPr>
          <w:rFonts w:cs="Century" w:ascii="Century" w:hAnsi="Century"/>
          <w:sz w:val="22"/>
          <w:rtl w:val="true"/>
        </w:rPr>
        <w:t xml:space="preserve">, </w:t>
      </w:r>
      <w:r>
        <w:rPr>
          <w:rFonts w:ascii="Century" w:hAnsi="Century" w:cs="Century"/>
          <w:sz w:val="22"/>
          <w:sz w:val="22"/>
          <w:rtl w:val="true"/>
        </w:rPr>
        <w:t>נקבל את הערעור על</w:t>
      </w:r>
      <w:r>
        <w:rPr>
          <w:rtl w:val="true"/>
        </w:rPr>
        <w:t xml:space="preserve"> רכיב הפיצוי בהתאם לאמור לעיל</w:t>
      </w:r>
      <w:r>
        <w:rPr>
          <w:rtl w:val="true"/>
        </w:rPr>
        <w:t>.</w:t>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Miriam"/>
          <w:sz w:val="24"/>
          <w:u w:val="single"/>
        </w:rPr>
      </w:pPr>
      <w:r>
        <w:rPr>
          <w:rFonts w:cs="Miriam" w:ascii="Arial TUR;Arial" w:hAnsi="Arial TUR;Arial"/>
          <w:sz w:val="24"/>
          <w:u w:val="single"/>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שופט</w:t>
      </w:r>
      <w:r>
        <w:rPr>
          <w:rFonts w:cs="Times New Roman"/>
          <w:sz w:val="24"/>
          <w:sz w:val="24"/>
          <w:u w:val="single"/>
          <w:rtl w:val="true"/>
        </w:rPr>
        <w:t xml:space="preserve"> </w:t>
      </w:r>
      <w:r>
        <w:rPr>
          <w:rFonts w:cs="Miriam"/>
          <w:sz w:val="24"/>
          <w:sz w:val="24"/>
          <w:u w:val="single"/>
          <w:rtl w:val="true"/>
        </w:rPr>
        <w:t>נ</w:t>
      </w:r>
      <w:r>
        <w:rPr>
          <w:rFonts w:cs="Miriam"/>
          <w:sz w:val="24"/>
          <w:u w:val="single"/>
          <w:rtl w:val="true"/>
        </w:rPr>
        <w:t xml:space="preserve">' </w:t>
      </w:r>
      <w:r>
        <w:rPr>
          <w:rFonts w:cs="Miriam"/>
          <w:sz w:val="24"/>
          <w:sz w:val="24"/>
          <w:u w:val="single"/>
          <w:rtl w:val="true"/>
        </w:rPr>
        <w:t>סולברג</w:t>
      </w:r>
      <w:r>
        <w:rPr>
          <w:rFonts w:cs="Miriam"/>
          <w:sz w:val="24"/>
          <w:rtl w:val="true"/>
        </w:rPr>
        <w:t>:</w:t>
      </w:r>
    </w:p>
    <w:p>
      <w:pPr>
        <w:pStyle w:val="Ruller41"/>
        <w:ind w:end="0"/>
        <w:jc w:val="both"/>
        <w:rPr>
          <w:rFonts w:ascii="Century" w:hAnsi="Century" w:cs="Century"/>
          <w:sz w:val="24"/>
        </w:rPr>
      </w:pPr>
      <w:r>
        <w:rPr>
          <w:rFonts w:cs="Century" w:ascii="Century" w:hAnsi="Century"/>
          <w:sz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769"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774"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Century" w:hAnsi="Century" w:cs="Century"/>
          <w:sz w:val="22"/>
        </w:rPr>
      </w:pPr>
      <w:r>
        <w:rPr>
          <w:rFonts w:cs="Century" w:ascii="Century" w:hAnsi="Century"/>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השופטת</w:t>
      </w:r>
      <w:r>
        <w:rPr>
          <w:rFonts w:cs="Times New Roman"/>
          <w:sz w:val="24"/>
          <w:sz w:val="24"/>
          <w:u w:val="single"/>
          <w:rtl w:val="true"/>
        </w:rPr>
        <w:t xml:space="preserve"> </w:t>
      </w:r>
      <w:r>
        <w:rPr>
          <w:rFonts w:cs="Miriam"/>
          <w:sz w:val="24"/>
          <w:sz w:val="24"/>
          <w:u w:val="single"/>
          <w:rtl w:val="true"/>
        </w:rPr>
        <w:t>י</w:t>
      </w:r>
      <w:r>
        <w:rPr>
          <w:rFonts w:cs="Miriam"/>
          <w:sz w:val="24"/>
          <w:u w:val="single"/>
          <w:rtl w:val="true"/>
        </w:rPr>
        <w:t xml:space="preserve">' </w:t>
      </w:r>
      <w:r>
        <w:rPr>
          <w:rFonts w:cs="Miriam"/>
          <w:sz w:val="24"/>
          <w:sz w:val="24"/>
          <w:u w:val="single"/>
          <w:rtl w:val="true"/>
        </w:rPr>
        <w:t>וילנר</w:t>
      </w:r>
      <w:r>
        <w:rPr>
          <w:rFonts w:cs="Miriam"/>
          <w:sz w:val="24"/>
          <w:rtl w:val="true"/>
        </w:rPr>
        <w:t>:</w:t>
      </w:r>
    </w:p>
    <w:p>
      <w:pPr>
        <w:pStyle w:val="Ruller41"/>
        <w:ind w:end="0"/>
        <w:jc w:val="both"/>
        <w:rPr>
          <w:rFonts w:cs="Miriam"/>
          <w:sz w:val="24"/>
        </w:rPr>
      </w:pPr>
      <w:r>
        <w:rPr>
          <w:rFonts w:cs="Miriam"/>
          <w:sz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769"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774"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tabs>
          <w:tab w:val="clear" w:pos="720"/>
          <w:tab w:val="left" w:pos="800" w:leader="none"/>
        </w:tabs>
        <w:ind w:end="0"/>
        <w:jc w:val="both"/>
        <w:rPr>
          <w:rFonts w:cs="Miriam"/>
          <w:sz w:val="24"/>
        </w:rPr>
      </w:pPr>
      <w:r>
        <w:rPr>
          <w:rFonts w:cs="Miriam"/>
          <w:sz w:val="24"/>
          <w:rtl w:val="true"/>
        </w:rPr>
      </w:r>
    </w:p>
    <w:p>
      <w:pPr>
        <w:pStyle w:val="Ruller41"/>
        <w:ind w:end="0"/>
        <w:jc w:val="both"/>
        <w:rPr>
          <w:rFonts w:ascii="Times New Roman" w:hAnsi="Times New Roman" w:cs="Times New Roman"/>
          <w:sz w:val="24"/>
        </w:rPr>
      </w:pPr>
      <w:r>
        <w:rPr>
          <w:rFonts w:cs="Times New Roman" w:ascii="Times New Roman" w:hAnsi="Times New Roman"/>
          <w:sz w:val="24"/>
          <w:rtl w:val="true"/>
        </w:rPr>
      </w:r>
    </w:p>
    <w:p>
      <w:pPr>
        <w:pStyle w:val="Ruller41"/>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קרא</w:t>
      </w:r>
      <w:r>
        <w:rPr>
          <w:rtl w:val="true"/>
        </w:rPr>
        <w:t>.</w:t>
      </w:r>
    </w:p>
    <w:p>
      <w:pPr>
        <w:pStyle w:val="Ruller41"/>
        <w:ind w:end="0"/>
        <w:jc w:val="both"/>
        <w:rPr/>
      </w:pPr>
      <w:r>
        <w:rPr>
          <w:rtl w:val="true"/>
        </w:rPr>
      </w:r>
    </w:p>
    <w:p>
      <w:pPr>
        <w:pStyle w:val="Ruller41"/>
        <w:ind w:end="0"/>
        <w:jc w:val="both"/>
        <w:rPr/>
      </w:pPr>
      <w:bookmarkStart w:id="19"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ד</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17.7.2019</w:t>
      </w:r>
      <w:r>
        <w:rPr>
          <w:rtl w:val="true"/>
        </w:rPr>
        <w:t xml:space="preserve">). </w:t>
      </w:r>
      <w:bookmarkEnd w:id="19"/>
    </w:p>
    <w:p>
      <w:pPr>
        <w:pStyle w:val="BODYVERDICT"/>
        <w:ind w:end="0"/>
        <w:jc w:val="start"/>
        <w:rPr>
          <w:rFonts w:cs="Miriam"/>
          <w:sz w:val="24"/>
          <w:szCs w:val="24"/>
          <w:u w:val="single"/>
        </w:rPr>
      </w:pPr>
      <w:r>
        <w:rPr>
          <w:rFonts w:cs="Miriam"/>
          <w:sz w:val="24"/>
          <w:szCs w:val="24"/>
          <w:u w:val="single"/>
          <w:rtl w:val="true"/>
        </w:rPr>
      </w:r>
    </w:p>
    <w:p>
      <w:pPr>
        <w:pStyle w:val="Ruller41"/>
        <w:ind w:end="0"/>
        <w:jc w:val="both"/>
        <w:rPr>
          <w:rFonts w:ascii="Century" w:hAnsi="Century" w:cs="Century"/>
          <w:color w:val="FFFFFF"/>
          <w:sz w:val="2"/>
          <w:szCs w:val="2"/>
        </w:rPr>
      </w:pPr>
      <w:bookmarkStart w:id="20" w:name="Start_Write"/>
      <w:bookmarkEnd w:id="20"/>
      <w:r>
        <w:rPr>
          <w:rFonts w:cs="Century" w:ascii="Century" w:hAnsi="Century"/>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16035100</w:t>
      </w:r>
      <w:r>
        <w:rPr>
          <w:sz w:val="16"/>
          <w:rtl w:val="true"/>
        </w:rPr>
        <w:t>_</w:t>
      </w:r>
      <w:r>
        <w:rPr>
          <w:sz w:val="16"/>
        </w:rPr>
        <w:t>Q15.docx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3">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54678313-3510/16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5"/>
      <w:footerReference w:type="default" r:id="rId8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entury">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3510/16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עמאר אבו דקה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8"/>
        <w:szCs w:val="28"/>
        <w:rFonts w:cs="FrankRuehl"/>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cs="FrankRuehl"/>
      <w:sz w:val="28"/>
      <w:szCs w:val="28"/>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character" w:styleId="Ruller4">
    <w:name w:val="Ruller4 תו"/>
    <w:qFormat/>
    <w:rPr>
      <w:rFonts w:ascii="Arial TUR;Arial" w:hAnsi="Arial TUR;Arial" w:cs="FrankRuehl"/>
      <w:spacing w:val="10"/>
      <w:sz w:val="22"/>
      <w:szCs w:val="28"/>
    </w:rPr>
  </w:style>
  <w:style w:type="character" w:styleId="big-number">
    <w:name w:val="big-number"/>
    <w:qFormat/>
    <w:rPr/>
  </w:style>
  <w:style w:type="character" w:styleId="default">
    <w:name w:val="default"/>
    <w:qFormat/>
    <w:rPr/>
  </w:style>
  <w:style w:type="character" w:styleId="Ruller5">
    <w:name w:val="Ruller5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FootnoteText">
    <w:name w:val="footnote text"/>
    <w:basedOn w:val="Normal"/>
    <w:pPr>
      <w:spacing w:lineRule="auto" w:line="360"/>
    </w:pPr>
    <w:rPr>
      <w:rFonts w:ascii="Century" w:hAnsi="Century" w:cs="FrankRuehl"/>
      <w:spacing w:val="10"/>
      <w:szCs w:val="20"/>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p33">
    <w:name w:val="p33"/>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7900478"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5.a" TargetMode="External"/><Relationship Id="rId5" Type="http://schemas.openxmlformats.org/officeDocument/2006/relationships/hyperlink" Target="http://www.nevo.co.il/law/70301/20.a" TargetMode="External"/><Relationship Id="rId6" Type="http://schemas.openxmlformats.org/officeDocument/2006/relationships/hyperlink" Target="http://www.nevo.co.il/law/70301/25" TargetMode="External"/><Relationship Id="rId7" Type="http://schemas.openxmlformats.org/officeDocument/2006/relationships/hyperlink" Target="http://www.nevo.co.il/law/70301/77" TargetMode="External"/><Relationship Id="rId8" Type="http://schemas.openxmlformats.org/officeDocument/2006/relationships/hyperlink" Target="http://www.nevo.co.il/law/70301/298" TargetMode="External"/><Relationship Id="rId9" Type="http://schemas.openxmlformats.org/officeDocument/2006/relationships/hyperlink" Target="http://www.nevo.co.il/law/70301/300" TargetMode="External"/><Relationship Id="rId10" Type="http://schemas.openxmlformats.org/officeDocument/2006/relationships/hyperlink" Target="http://www.nevo.co.il/law/70301/300.a.3" TargetMode="External"/><Relationship Id="rId11" Type="http://schemas.openxmlformats.org/officeDocument/2006/relationships/hyperlink" Target="http://www.nevo.co.il/law/70301/300.a.4" TargetMode="External"/><Relationship Id="rId12" Type="http://schemas.openxmlformats.org/officeDocument/2006/relationships/hyperlink" Target="http://www.nevo.co.il/law/70301/301a.a.2" TargetMode="External"/><Relationship Id="rId13" Type="http://schemas.openxmlformats.org/officeDocument/2006/relationships/hyperlink" Target="http://www.nevo.co.il/law/70301/406.b"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90721" TargetMode="External"/><Relationship Id="rId16" Type="http://schemas.openxmlformats.org/officeDocument/2006/relationships/hyperlink" Target="http://www.nevo.co.il/law/90721/12.1" TargetMode="External"/><Relationship Id="rId17" Type="http://schemas.openxmlformats.org/officeDocument/2006/relationships/hyperlink" Target="http://www.nevo.co.il/law/98569" TargetMode="External"/><Relationship Id="rId18" Type="http://schemas.openxmlformats.org/officeDocument/2006/relationships/hyperlink" Target="http://www.nevo.co.il/law/98569/57" TargetMode="External"/><Relationship Id="rId19" Type="http://schemas.openxmlformats.org/officeDocument/2006/relationships/hyperlink" Target="http://www.nevo.co.il/case/7900478" TargetMode="External"/><Relationship Id="rId20" Type="http://schemas.openxmlformats.org/officeDocument/2006/relationships/hyperlink" Target="http://www.nevo.co.il/law/70301/300.a.3"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300.a.3"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406.b" TargetMode="External"/><Relationship Id="rId25" Type="http://schemas.openxmlformats.org/officeDocument/2006/relationships/hyperlink" Target="http://www.nevo.co.il/law/70301/406.b" TargetMode="External"/><Relationship Id="rId26" Type="http://schemas.openxmlformats.org/officeDocument/2006/relationships/hyperlink" Target="http://www.nevo.co.il/law/70301/25" TargetMode="External"/><Relationship Id="rId27" Type="http://schemas.openxmlformats.org/officeDocument/2006/relationships/hyperlink" Target="http://www.nevo.co.il/law/70301/499.a.1" TargetMode="External"/><Relationship Id="rId28" Type="http://schemas.openxmlformats.org/officeDocument/2006/relationships/hyperlink" Target="http://www.nevo.co.il/law/90721/12.1" TargetMode="External"/><Relationship Id="rId29" Type="http://schemas.openxmlformats.org/officeDocument/2006/relationships/hyperlink" Target="http://www.nevo.co.il/law/90721" TargetMode="External"/><Relationship Id="rId30" Type="http://schemas.openxmlformats.org/officeDocument/2006/relationships/hyperlink" Target="http://www.nevo.co.il/case/7900388" TargetMode="External"/><Relationship Id="rId31" Type="http://schemas.openxmlformats.org/officeDocument/2006/relationships/hyperlink" Target="http://www.nevo.co.il/case/7898070" TargetMode="External"/><Relationship Id="rId32" Type="http://schemas.openxmlformats.org/officeDocument/2006/relationships/hyperlink" Target="http://www.nevo.co.il/law/70301/300.a.3"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77"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77"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300.a.3"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5594135" TargetMode="External"/><Relationship Id="rId41" Type="http://schemas.openxmlformats.org/officeDocument/2006/relationships/hyperlink" Target="http://www.nevo.co.il/law/70301/300.a.3" TargetMode="External"/><Relationship Id="rId42" Type="http://schemas.openxmlformats.org/officeDocument/2006/relationships/hyperlink" Target="http://www.nevo.co.il/law/70301/298" TargetMode="External"/><Relationship Id="rId43" Type="http://schemas.openxmlformats.org/officeDocument/2006/relationships/hyperlink" Target="http://www.nevo.co.il/law/70301" TargetMode="External"/><Relationship Id="rId44" Type="http://schemas.openxmlformats.org/officeDocument/2006/relationships/hyperlink" Target="http://www.nevo.co.il/case/20770422" TargetMode="External"/><Relationship Id="rId45" Type="http://schemas.openxmlformats.org/officeDocument/2006/relationships/hyperlink" Target="http://www.nevo.co.il/case/21477594" TargetMode="External"/><Relationship Id="rId46" Type="http://schemas.openxmlformats.org/officeDocument/2006/relationships/hyperlink" Target="http://www.nevo.co.il/law/70301/300.a.3"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77"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5896936" TargetMode="External"/><Relationship Id="rId51" Type="http://schemas.openxmlformats.org/officeDocument/2006/relationships/hyperlink" Target="http://www.nevo.co.il/case/7965143" TargetMode="External"/><Relationship Id="rId52" Type="http://schemas.openxmlformats.org/officeDocument/2006/relationships/hyperlink" Target="http://www.nevo.co.il/case/23751303" TargetMode="External"/><Relationship Id="rId53" Type="http://schemas.openxmlformats.org/officeDocument/2006/relationships/hyperlink" Target="http://www.nevo.co.il/law/98569/57" TargetMode="External"/><Relationship Id="rId54" Type="http://schemas.openxmlformats.org/officeDocument/2006/relationships/hyperlink" Target="http://www.nevo.co.il/law/98569" TargetMode="External"/><Relationship Id="rId55" Type="http://schemas.openxmlformats.org/officeDocument/2006/relationships/hyperlink" Target="http://www.nevo.co.il/case/5691557" TargetMode="External"/><Relationship Id="rId56" Type="http://schemas.openxmlformats.org/officeDocument/2006/relationships/hyperlink" Target="http://www.nevo.co.il/case/5580687" TargetMode="External"/><Relationship Id="rId57" Type="http://schemas.openxmlformats.org/officeDocument/2006/relationships/hyperlink" Target="http://www.nevo.co.il/case/6245911" TargetMode="External"/><Relationship Id="rId58" Type="http://schemas.openxmlformats.org/officeDocument/2006/relationships/hyperlink" Target="http://www.nevo.co.il/case/6145930" TargetMode="External"/><Relationship Id="rId59" Type="http://schemas.openxmlformats.org/officeDocument/2006/relationships/hyperlink" Target="http://www.nevo.co.il/case/17926120" TargetMode="External"/><Relationship Id="rId60" Type="http://schemas.openxmlformats.org/officeDocument/2006/relationships/hyperlink" Target="http://www.nevo.co.il/case/17928136" TargetMode="External"/><Relationship Id="rId61" Type="http://schemas.openxmlformats.org/officeDocument/2006/relationships/hyperlink" Target="http://www.nevo.co.il/case/6133089" TargetMode="External"/><Relationship Id="rId62" Type="http://schemas.openxmlformats.org/officeDocument/2006/relationships/hyperlink" Target="http://www.nevo.co.il/case/5676908" TargetMode="External"/><Relationship Id="rId63" Type="http://schemas.openxmlformats.org/officeDocument/2006/relationships/hyperlink" Target="http://www.nevo.co.il/case/5918237" TargetMode="External"/><Relationship Id="rId64" Type="http://schemas.openxmlformats.org/officeDocument/2006/relationships/hyperlink" Target="http://www.nevo.co.il/case/8245382" TargetMode="External"/><Relationship Id="rId65" Type="http://schemas.openxmlformats.org/officeDocument/2006/relationships/hyperlink" Target="http://www.nevo.co.il/case/6061796" TargetMode="External"/><Relationship Id="rId66" Type="http://schemas.openxmlformats.org/officeDocument/2006/relationships/hyperlink" Target="http://www.nevo.co.il/case/5768471" TargetMode="External"/><Relationship Id="rId67" Type="http://schemas.openxmlformats.org/officeDocument/2006/relationships/hyperlink" Target="http://www.nevo.co.il/case/5768551" TargetMode="External"/><Relationship Id="rId68" Type="http://schemas.openxmlformats.org/officeDocument/2006/relationships/hyperlink" Target="http://www.nevo.co.il/law/70301/300.a.3"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0301/300.a.4"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20.a" TargetMode="External"/><Relationship Id="rId73" Type="http://schemas.openxmlformats.org/officeDocument/2006/relationships/hyperlink" Target="http://www.nevo.co.il/law/70301" TargetMode="External"/><Relationship Id="rId74" Type="http://schemas.openxmlformats.org/officeDocument/2006/relationships/hyperlink" Target="http://www.nevo.co.il/case/16917356"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5.a" TargetMode="External"/><Relationship Id="rId77" Type="http://schemas.openxmlformats.org/officeDocument/2006/relationships/hyperlink" Target="http://www.nevo.co.il/law/70301" TargetMode="External"/><Relationship Id="rId78" Type="http://schemas.openxmlformats.org/officeDocument/2006/relationships/hyperlink" Target="http://www.nevo.co.il/law/70301/300" TargetMode="External"/><Relationship Id="rId79" Type="http://schemas.openxmlformats.org/officeDocument/2006/relationships/hyperlink" Target="http://www.nevo.co.il/law/70301" TargetMode="External"/><Relationship Id="rId80" Type="http://schemas.openxmlformats.org/officeDocument/2006/relationships/hyperlink" Target="http://www.nevo.co.il/law/70301/301a.a.2" TargetMode="External"/><Relationship Id="rId81" Type="http://schemas.openxmlformats.org/officeDocument/2006/relationships/hyperlink" Target="http://www.nevo.co.il/law/70301/301a.a.2" TargetMode="External"/><Relationship Id="rId82" Type="http://schemas.openxmlformats.org/officeDocument/2006/relationships/hyperlink" Target="http://www.nevo.co.il/law/70301/300.a.3" TargetMode="External"/><Relationship Id="rId83" Type="http://schemas.openxmlformats.org/officeDocument/2006/relationships/hyperlink" Target="http://supreme.court.gov.il/" TargetMode="External"/><Relationship Id="rId84" Type="http://schemas.openxmlformats.org/officeDocument/2006/relationships/hyperlink" Target="http://www.nevo.co.il/advertisements/nevo-100.doc" TargetMode="Externa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2020-01-16T11:36:00Z</dcterms:created>
  <dc:creator>h4</dc:creator>
  <dc:description/>
  <cp:keywords/>
  <dc:language>en-IL</dc:language>
  <cp:lastModifiedBy>yafit</cp:lastModifiedBy>
  <cp:lastPrinted>2019-07-17T11:03:00Z</cp:lastPrinted>
  <dcterms:modified xsi:type="dcterms:W3CDTF">2020-01-16T11:36:00Z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עמאר אבו דקה</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ישראל;משפחת המנוח י#א</vt:lpwstr>
  </property>
  <property fmtid="{D5CDD505-2E9C-101B-9397-08002B2CF9AE}" pid="6" name="APPELLEE1">
    <vt:lpwstr/>
  </property>
  <property fmtid="{D5CDD505-2E9C-101B-9397-08002B2CF9AE}" pid="7" name="APPELLEE2">
    <vt:lpwstr/>
  </property>
  <property fmtid="{D5CDD505-2E9C-101B-9397-08002B2CF9AE}" pid="8" name="CASESLISTTMP1">
    <vt:lpwstr>7900478:2;7900388;7898070;5594135;20770422;21477594;5896936;7965143;23751303;5691557;5580687;6245911;6145930;17926120;17928136;6133089;5676908;5918237;8245382;6061796;5768471;5768551;16917356</vt:lpwstr>
  </property>
  <property fmtid="{D5CDD505-2E9C-101B-9397-08002B2CF9AE}" pid="9" name="CITY">
    <vt:lpwstr/>
  </property>
  <property fmtid="{D5CDD505-2E9C-101B-9397-08002B2CF9AE}" pid="10" name="DATE">
    <vt:lpwstr>20190717</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סולברג;ג' קרא;י' וילנר</vt:lpwstr>
  </property>
  <property fmtid="{D5CDD505-2E9C-101B-9397-08002B2CF9AE}" pid="14" name="LAWLISTTMP1">
    <vt:lpwstr>70301/300.a.3:8;406.b:2;025;499.a.1;077:3;298;300.a.4;020.a;005.a;300;301a.a.2:2</vt:lpwstr>
  </property>
  <property fmtid="{D5CDD505-2E9C-101B-9397-08002B2CF9AE}" pid="15" name="LAWLISTTMP2">
    <vt:lpwstr>90721/012.1</vt:lpwstr>
  </property>
  <property fmtid="{D5CDD505-2E9C-101B-9397-08002B2CF9AE}" pid="16" name="LAWLISTTMP3">
    <vt:lpwstr>98569/057</vt:lpwstr>
  </property>
  <property fmtid="{D5CDD505-2E9C-101B-9397-08002B2CF9AE}" pid="17" name="LAWYER">
    <vt:lpwstr>אופיר טישלר;עודד קלר;יעל בן שמואל;רותי אלדר;אלעד רט</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ראיות</vt:lpwstr>
  </property>
  <property fmtid="{D5CDD505-2E9C-101B-9397-08002B2CF9AE}" pid="34" name="NOSE16">
    <vt:lpwstr>ראיות</vt:lpwstr>
  </property>
  <property fmtid="{D5CDD505-2E9C-101B-9397-08002B2CF9AE}" pid="35" name="NOSE17">
    <vt:lpwstr>דיון פלילי</vt:lpwstr>
  </property>
  <property fmtid="{D5CDD505-2E9C-101B-9397-08002B2CF9AE}" pid="36" name="NOSE18">
    <vt:lpwstr/>
  </property>
  <property fmtid="{D5CDD505-2E9C-101B-9397-08002B2CF9AE}" pid="37" name="NOSE19">
    <vt:lpwstr/>
  </property>
  <property fmtid="{D5CDD505-2E9C-101B-9397-08002B2CF9AE}" pid="38" name="NOSE1ID">
    <vt:lpwstr>77;77;77;77;89;89;18</vt:lpwstr>
  </property>
  <property fmtid="{D5CDD505-2E9C-101B-9397-08002B2CF9AE}" pid="39" name="NOSE21">
    <vt:lpwstr>עבירת הרצח</vt:lpwstr>
  </property>
  <property fmtid="{D5CDD505-2E9C-101B-9397-08002B2CF9AE}" pid="40" name="NOSE210">
    <vt:lpwstr/>
  </property>
  <property fmtid="{D5CDD505-2E9C-101B-9397-08002B2CF9AE}" pid="41" name="NOSE22">
    <vt:lpwstr>עבירות</vt:lpwstr>
  </property>
  <property fmtid="{D5CDD505-2E9C-101B-9397-08002B2CF9AE}" pid="42" name="NOSE23">
    <vt:lpwstr>מחשבה פלילית</vt:lpwstr>
  </property>
  <property fmtid="{D5CDD505-2E9C-101B-9397-08002B2CF9AE}" pid="43" name="NOSE24">
    <vt:lpwstr>פיצויים והוצאות</vt:lpwstr>
  </property>
  <property fmtid="{D5CDD505-2E9C-101B-9397-08002B2CF9AE}" pid="44" name="NOSE25">
    <vt:lpwstr>מימצאים</vt:lpwstr>
  </property>
  <property fmtid="{D5CDD505-2E9C-101B-9397-08002B2CF9AE}" pid="45" name="NOSE26">
    <vt:lpwstr>עדות</vt:lpwstr>
  </property>
  <property fmtid="{D5CDD505-2E9C-101B-9397-08002B2CF9AE}" pid="46" name="NOSE27">
    <vt:lpwstr>הרשעה</vt:lpwstr>
  </property>
  <property fmtid="{D5CDD505-2E9C-101B-9397-08002B2CF9AE}" pid="47" name="NOSE28">
    <vt:lpwstr/>
  </property>
  <property fmtid="{D5CDD505-2E9C-101B-9397-08002B2CF9AE}" pid="48" name="NOSE29">
    <vt:lpwstr/>
  </property>
  <property fmtid="{D5CDD505-2E9C-101B-9397-08002B2CF9AE}" pid="49" name="NOSE2ID">
    <vt:lpwstr>12455;1443;1436;1447;1639;1654;465</vt:lpwstr>
  </property>
  <property fmtid="{D5CDD505-2E9C-101B-9397-08002B2CF9AE}" pid="50" name="NOSE31">
    <vt:lpwstr>תוך כדי ביצוע עבירה אחרת‏</vt:lpwstr>
  </property>
  <property fmtid="{D5CDD505-2E9C-101B-9397-08002B2CF9AE}" pid="51" name="NOSE310">
    <vt:lpwstr/>
  </property>
  <property fmtid="{D5CDD505-2E9C-101B-9397-08002B2CF9AE}" pid="52" name="NOSE32">
    <vt:lpwstr>רצח</vt:lpwstr>
  </property>
  <property fmtid="{D5CDD505-2E9C-101B-9397-08002B2CF9AE}" pid="53" name="NOSE33">
    <vt:lpwstr>אדישות</vt:lpwstr>
  </property>
  <property fmtid="{D5CDD505-2E9C-101B-9397-08002B2CF9AE}" pid="54" name="NOSE34">
    <vt:lpwstr>פיצויים לקורבן</vt:lpwstr>
  </property>
  <property fmtid="{D5CDD505-2E9C-101B-9397-08002B2CF9AE}" pid="55" name="NOSE35">
    <vt:lpwstr>קביעתם</vt:lpwstr>
  </property>
  <property fmtid="{D5CDD505-2E9C-101B-9397-08002B2CF9AE}" pid="56" name="NOSE36">
    <vt:lpwstr>פיצולה</vt:lpwstr>
  </property>
  <property fmtid="{D5CDD505-2E9C-101B-9397-08002B2CF9AE}" pid="57" name="NOSE37">
    <vt:lpwstr>ספק סביר</vt:lpwstr>
  </property>
  <property fmtid="{D5CDD505-2E9C-101B-9397-08002B2CF9AE}" pid="58" name="NOSE38">
    <vt:lpwstr/>
  </property>
  <property fmtid="{D5CDD505-2E9C-101B-9397-08002B2CF9AE}" pid="59" name="NOSE39">
    <vt:lpwstr/>
  </property>
  <property fmtid="{D5CDD505-2E9C-101B-9397-08002B2CF9AE}" pid="60" name="NOSE3ID">
    <vt:lpwstr>16868;8927;16006;9013;10237;10416;3635</vt:lpwstr>
  </property>
  <property fmtid="{D5CDD505-2E9C-101B-9397-08002B2CF9AE}" pid="61" name="PADIDATE">
    <vt:lpwstr>20190718</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3510</vt:lpwstr>
  </property>
  <property fmtid="{D5CDD505-2E9C-101B-9397-08002B2CF9AE}" pid="67" name="PROCYEAR">
    <vt:lpwstr>16</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410120190717</vt:lpwstr>
  </property>
  <property fmtid="{D5CDD505-2E9C-101B-9397-08002B2CF9AE}" pid="71" name="TYPE_N_DATE">
    <vt:lpwstr>41020190717</vt:lpwstr>
  </property>
  <property fmtid="{D5CDD505-2E9C-101B-9397-08002B2CF9AE}" pid="72" name="VOLUME">
    <vt:lpwstr/>
  </property>
  <property fmtid="{D5CDD505-2E9C-101B-9397-08002B2CF9AE}" pid="73" name="WORDNUMPAGES">
    <vt:lpwstr>26</vt:lpwstr>
  </property>
</Properties>
</file>