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3512/19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8"/>
          <w:szCs w:val="24"/>
        </w:rPr>
      </w:pPr>
      <w:r>
        <w:rPr>
          <w:rFonts w:cs="Miriam"/>
          <w:b/>
          <w:bCs/>
          <w:sz w:val="18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עוקאשה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44320-04-16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16.4.2019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1.6.2020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שירות המבחן למבוגרים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bookmarkStart w:id="8" w:name="Start_Write"/>
      <w:bookmarkStart w:id="9" w:name="Writer_Name"/>
      <w:bookmarkEnd w:id="8"/>
      <w:bookmarkEnd w:id="9"/>
      <w:r>
        <w:rPr>
          <w:rFonts w:eastAsia="Century" w:cs="Century" w:ascii="Century" w:hAnsi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לאחר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שמיעת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טענות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ובעקבות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הערות</w:t>
      </w:r>
      <w:r>
        <w:rPr>
          <w:rFonts w:ascii="Century" w:hAnsi="Century" w:cs="FrankRuehl"/>
          <w:szCs w:val="28"/>
          <w:rtl w:val="true"/>
          <w:lang w:bidi="he-IL"/>
        </w:rPr>
        <w:t>י</w:t>
      </w:r>
      <w:r>
        <w:rPr>
          <w:rFonts w:ascii="Century" w:hAnsi="Century" w:cs="FrankRuehl"/>
          <w:szCs w:val="28"/>
          <w:rtl w:val="true"/>
          <w:lang w:bidi="he-IL"/>
        </w:rPr>
        <w:t>נו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הודיע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לאחר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שנועץ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במרשו</w:t>
      </w:r>
      <w:r>
        <w:rPr>
          <w:rFonts w:cs="FrankRuehl" w:ascii="Century" w:hAnsi="Century"/>
          <w:szCs w:val="28"/>
          <w:rtl w:val="true"/>
          <w:lang w:bidi="he-IL"/>
        </w:rPr>
        <w:t>,</w:t>
      </w:r>
      <w:r>
        <w:rPr>
          <w:rFonts w:cs="FrankRuehl" w:ascii="Century" w:hAnsi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אי</w:t>
      </w:r>
      <w:r>
        <w:rPr>
          <w:rFonts w:ascii="Century" w:hAnsi="Century" w:cs="FrankRuehl"/>
          <w:szCs w:val="28"/>
          <w:rtl w:val="true"/>
          <w:lang w:bidi="he-IL"/>
        </w:rPr>
        <w:t>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הוא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עומד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הערעור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הכרעת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הדין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</w:r>
    </w:p>
    <w:p>
      <w:pPr>
        <w:pStyle w:val="ruller40"/>
        <w:ind w:firstLine="720" w:end="0"/>
        <w:jc w:val="both"/>
        <w:rPr/>
      </w:pPr>
      <w:r>
        <w:rPr>
          <w:rFonts w:eastAsia="Century" w:cs="Century" w:ascii="Century" w:hAnsi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הערעור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הכרעת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נדחה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אפוא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Cs w:val="28"/>
          <w:lang w:bidi="he-IL"/>
        </w:rPr>
      </w:pPr>
      <w:r>
        <w:rPr>
          <w:rFonts w:cs="Century" w:ascii="Century" w:hAnsi="Century"/>
          <w:szCs w:val="28"/>
          <w:rtl w:val="true"/>
          <w:lang w:bidi="he-IL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0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1.6.2020</w:t>
      </w:r>
      <w:r>
        <w:rPr>
          <w:rFonts w:cs="Century" w:ascii="Century" w:hAnsi="Century"/>
          <w:rtl w:val="true"/>
        </w:rPr>
        <w:t xml:space="preserve">). </w:t>
      </w:r>
      <w:bookmarkEnd w:id="10"/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19035120</w:t>
      </w:r>
      <w:r>
        <w:rPr>
          <w:sz w:val="16"/>
          <w:rtl w:val="true"/>
        </w:rPr>
        <w:t>_</w:t>
      </w:r>
      <w:r>
        <w:rPr>
          <w:sz w:val="16"/>
        </w:rPr>
        <w:t>M04.docx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54678313-3512/19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3512/19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עוקאשה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320142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2020-06-02T07:32:00Z</dcterms:created>
  <dc:creator>h4</dc:creator>
  <dc:description/>
  <cp:keywords/>
  <dc:language>en-IL</dc:language>
  <cp:lastModifiedBy>hofit</cp:lastModifiedBy>
  <cp:lastPrinted>2020-06-01T19:36:00Z</cp:lastPrinted>
  <dcterms:modified xsi:type="dcterms:W3CDTF">2020-06-02T07:32:00Z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עוקאשה</vt:lpwstr>
  </property>
  <property fmtid="{D5CDD505-2E9C-101B-9397-08002B2CF9AE}" pid="3" name="APPELLEE">
    <vt:lpwstr>מדינת ישראל</vt:lpwstr>
  </property>
  <property fmtid="{D5CDD505-2E9C-101B-9397-08002B2CF9AE}" pid="4" name="CASESLISTTMP1">
    <vt:lpwstr>21320142</vt:lpwstr>
  </property>
  <property fmtid="{D5CDD505-2E9C-101B-9397-08002B2CF9AE}" pid="5" name="DATE">
    <vt:lpwstr>20200601</vt:lpwstr>
  </property>
  <property fmtid="{D5CDD505-2E9C-101B-9397-08002B2CF9AE}" pid="6" name="JUDGE">
    <vt:lpwstr>ע' פוגלמן;נ' סולברג;י' אלרון</vt:lpwstr>
  </property>
  <property fmtid="{D5CDD505-2E9C-101B-9397-08002B2CF9AE}" pid="7" name="LAWYER">
    <vt:lpwstr>ארז בן ארויה;דוד יפתח;דן ענבר;שירות המבחן למבוגרים גב' ברכה וייס</vt:lpwstr>
  </property>
  <property fmtid="{D5CDD505-2E9C-101B-9397-08002B2CF9AE}" pid="8" name="PROCESS">
    <vt:lpwstr>עפ</vt:lpwstr>
  </property>
  <property fmtid="{D5CDD505-2E9C-101B-9397-08002B2CF9AE}" pid="9" name="PROCNUM">
    <vt:lpwstr>3512</vt:lpwstr>
  </property>
  <property fmtid="{D5CDD505-2E9C-101B-9397-08002B2CF9AE}" pid="10" name="PROCYEAR">
    <vt:lpwstr>19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410020200601</vt:lpwstr>
  </property>
  <property fmtid="{D5CDD505-2E9C-101B-9397-08002B2CF9AE}" pid="14" name="TYPE_N_DATE">
    <vt:lpwstr>41020200601</vt:lpwstr>
  </property>
  <property fmtid="{D5CDD505-2E9C-101B-9397-08002B2CF9AE}" pid="15" name="WORDNUMPAGES">
    <vt:lpwstr>2</vt:lpwstr>
  </property>
</Properties>
</file>