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3526/20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זגורי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זגורי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37956-12-17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4.1.2021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סעדה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דן בערעור על גזר דין שהושת על המערערים בגין תקיפת אנשי צוות 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הדגשה כי מעשי אלימות כלפי אנשי צוות רפואי מחייבים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אין מקום להתערב בעונש המאסר שהוטל על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ולחרוג לקולה ממתחם הענישה משיקולים שיקומיים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בעניינו של 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תהליך שיקומי שעשוי להצדיק חריגה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ואך מטעמי אחידות הענישה נוכח עונש שהושת על מעורב נוסף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הופחת עונש המאסר בפועל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אחדות הענישה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אב ובנו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 בעבירה של גרימת 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גם בעבירה של 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תקיפת רופא ואח בקופת חולים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גזר על 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בפועל לתקופה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עונש של מאסר בפועל לתקופה של </w:t>
      </w:r>
      <w:r>
        <w:rPr>
          <w:rFonts w:cs="Times New Roman" w:ascii="Times New Roman" w:hAnsi="Times New Roman"/>
          <w:spacing w:val="0"/>
          <w:szCs w:val="26"/>
        </w:rPr>
        <w:t>26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כי כל אחד מהמערערים ישלם לרופא פיצוי בסך של 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דחה את ערעור 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קיבל את ערעור המערער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ראשית נפסק כי אין מקום להתערב בעונש המאסר שהוטל על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 הדין שקל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את כלל השיקולים הרלוונטיים לקביעת מתחם הענישה ובכללם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המחמירה הנוהגת בעבירות מן הסוג שביצעו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שבהן נפגע העבירה הוא איש צוות 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כי מעשי אלימות או איומים המופנים כלפי אנשי צוות רפואי מחייבים ענישה מחמירה אשר תבטא גמול ראוי בגין הפגיעות האמורות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תשמש אמצעי להרתעת הרבים מפני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מן האמור עולה כי מתחם הולם של ענישה מחייב במקרה זה הטלת עונש מאסר בפועל שירוצה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מתאימים ניתן אמנם לחרוג לקולה ממתחם הענישה משיקולים שיקומיים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שלא כך התרשם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לגבי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ולמרות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בנסיבותיו המשפחתיות הטיל עליו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עונש מאסר בפועל המצוי ברף התחתון של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מתסקיר משלים שהוגש לא עולה שינוי מהותי בהתנהגותו של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בעניינו של 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תהליך שיקומי שעשוי להצדיק חריגה ממתחם העונש ההולם שנקבע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נהפוך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שהשית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על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והולם ולא היה מקום להתערב בו אלמלא הועמד עונשו של יצחק אחיו שאף הוא היה מעורב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שהורשע באותן עבירות שבהן הורשע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בהחזקת סכין במהלך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מטעם זה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העיקרון בדבר אחידות הענישה מצדיק הפחתה מסוימת בעונשו של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ניתן ביטוי ראוי לעקרון אחידות הענישה גם אם מביאים בחשבון את העובדה שמשיב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מחולל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משום שיצחק אחיו של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בפרשה זו בגין מעשים דומים לאלה שבהם הורשע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חמורים מהם בשל הרשעתו הנוספת בהחזקת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לקבל את ערעורו של 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ולהעמיד את עונשו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bookmarkStart w:id="14" w:name="Start_Write"/>
      <w:bookmarkStart w:id="15" w:name="Writer_Name"/>
      <w:bookmarkEnd w:id="14"/>
      <w:bookmarkEnd w:id="15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ר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כרמל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19.5.2020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37956-12-17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0"/>
          <w:sz w:val="20"/>
          <w:szCs w:val="24"/>
          <w:rtl w:val="true"/>
        </w:rPr>
        <w:t>מדינת ישראל נ</w:t>
      </w:r>
      <w:r>
        <w:rPr>
          <w:rFonts w:cs="Miriam" w:ascii="Miriam" w:hAnsi="Miriam"/>
          <w:sz w:val="20"/>
          <w:szCs w:val="24"/>
          <w:rtl w:val="true"/>
        </w:rPr>
        <w:t xml:space="preserve">' </w:t>
      </w:r>
      <w:r>
        <w:rPr>
          <w:rFonts w:ascii="Miriam" w:hAnsi="Miriam" w:cs="Miriam"/>
          <w:sz w:val="20"/>
          <w:sz w:val="20"/>
          <w:szCs w:val="24"/>
          <w:rtl w:val="true"/>
        </w:rPr>
        <w:t>יצחק זגורי ואח</w:t>
      </w:r>
      <w:r>
        <w:rPr>
          <w:rFonts w:cs="Miriam" w:ascii="Miriam" w:hAnsi="Miriam"/>
          <w:sz w:val="20"/>
          <w:szCs w:val="24"/>
          <w:rtl w:val="true"/>
        </w:rPr>
        <w:t>'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spacing w:before="240" w:after="0"/>
        <w:ind w:end="0"/>
        <w:jc w:val="both"/>
        <w:rPr>
          <w:rFonts w:ascii="Miriam" w:hAnsi="Miriam" w:cs="Miriam"/>
          <w:sz w:val="20"/>
          <w:szCs w:val="24"/>
        </w:rPr>
      </w:pPr>
      <w:r>
        <w:rPr>
          <w:rFonts w:ascii="Miriam" w:hAnsi="Miriam" w:cs="Miriam"/>
          <w:sz w:val="20"/>
          <w:sz w:val="20"/>
          <w:szCs w:val="24"/>
          <w:rtl w:val="true"/>
        </w:rPr>
        <w:t>הרקע הצריך לעניין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דוד זגורי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1965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דוד</w:t>
      </w:r>
      <w:r>
        <w:rPr>
          <w:rtl w:val="true"/>
        </w:rPr>
        <w:t xml:space="preserve">), </w:t>
      </w:r>
      <w:r>
        <w:rPr>
          <w:rtl w:val="true"/>
        </w:rPr>
        <w:t>ובנו</w:t>
      </w:r>
      <w:r>
        <w:rPr>
          <w:rtl w:val="true"/>
        </w:rPr>
        <w:t xml:space="preserve">,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1995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שמואל</w:t>
      </w:r>
      <w:r>
        <w:rPr>
          <w:rtl w:val="true"/>
        </w:rPr>
        <w:t xml:space="preserve">), </w:t>
      </w:r>
      <w:r>
        <w:rPr>
          <w:rtl w:val="true"/>
        </w:rPr>
        <w:t>הורשעו על פי הודאתם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גרימת חבלה חמורה בנסיבות מחמירות לפי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ושמואל הורשע על</w:t>
      </w:r>
      <w:r>
        <w:rPr>
          <w:rtl w:val="true"/>
        </w:rPr>
        <w:t>-</w:t>
      </w:r>
      <w:r>
        <w:rPr>
          <w:rtl w:val="true"/>
        </w:rPr>
        <w:t xml:space="preserve">פי הודאתו גם בעבירה של איומים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3"/>
        <w:spacing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במוקד כתב האישום המתוקן עמד אירוע מיום שבת </w:t>
      </w:r>
      <w:r>
        <w:rPr/>
        <w:t>9.12.2017</w:t>
      </w:r>
      <w:r>
        <w:rPr>
          <w:rtl w:val="true"/>
        </w:rPr>
        <w:t xml:space="preserve"> </w:t>
      </w:r>
      <w:r>
        <w:rPr>
          <w:rtl w:val="true"/>
        </w:rPr>
        <w:t>שהחל בהגעתם של דוד ושמואל בליווי יצחק</w:t>
      </w:r>
      <w:r>
        <w:rPr>
          <w:rtl w:val="true"/>
        </w:rPr>
        <w:t xml:space="preserve">, </w:t>
      </w:r>
      <w:r>
        <w:rPr>
          <w:rtl w:val="true"/>
        </w:rPr>
        <w:t>אחיו של שמואל</w:t>
      </w:r>
      <w:r>
        <w:rPr>
          <w:rtl w:val="true"/>
        </w:rPr>
        <w:t xml:space="preserve">, </w:t>
      </w:r>
      <w:r>
        <w:rPr>
          <w:rtl w:val="true"/>
        </w:rPr>
        <w:t>וחברו יהודה לסניף קופת חולים מאוחדת בעיר מגוריהם בית</w:t>
      </w:r>
      <w:r>
        <w:rPr>
          <w:rtl w:val="true"/>
        </w:rPr>
        <w:t>"</w:t>
      </w:r>
      <w:r>
        <w:rPr>
          <w:rtl w:val="true"/>
        </w:rPr>
        <w:t>ר עלית לצורך קבלת טיפול רפואי</w:t>
      </w:r>
      <w:r>
        <w:rPr>
          <w:rtl w:val="true"/>
        </w:rPr>
        <w:t xml:space="preserve">, </w:t>
      </w:r>
      <w:r>
        <w:rPr>
          <w:rtl w:val="true"/>
        </w:rPr>
        <w:t>עקב חתך בידו של שמואל</w:t>
      </w:r>
      <w:r>
        <w:rPr>
          <w:rtl w:val="true"/>
        </w:rPr>
        <w:t xml:space="preserve">. </w:t>
      </w:r>
      <w:r>
        <w:rPr>
          <w:rtl w:val="true"/>
        </w:rPr>
        <w:t>כאשר הבהיר הרופא התורן בסניף כי אין באפשרותו להעניק טיפול מלא לשמואל משום שאינו חבר בקופה</w:t>
      </w:r>
      <w:r>
        <w:rPr>
          <w:rtl w:val="true"/>
        </w:rPr>
        <w:t xml:space="preserve">, </w:t>
      </w:r>
      <w:r>
        <w:rPr>
          <w:rtl w:val="true"/>
        </w:rPr>
        <w:t>החלו הנאשמים לתקוף אותו ואת האח שעבד לצדו</w:t>
      </w:r>
      <w:r>
        <w:rPr>
          <w:rtl w:val="true"/>
        </w:rPr>
        <w:t xml:space="preserve">, </w:t>
      </w:r>
      <w:r>
        <w:rPr>
          <w:rtl w:val="true"/>
        </w:rPr>
        <w:t xml:space="preserve">באופן פיזי ומילולי </w:t>
      </w:r>
      <w:r>
        <w:rPr>
          <w:rFonts w:ascii="ביוםבFrankRuehl;Times New Roman" w:hAnsi="ביוםבFrankRuehl;Times New Roman" w:cs="ביוםבFrankRuehl;Times New Roman"/>
          <w:rtl w:val="true"/>
        </w:rPr>
        <w:t>ובכלל זה השמיעו קללות ואיומים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ביצעו דחיפות ובעיטות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השליכו כסאות</w:t>
      </w:r>
      <w:r>
        <w:rPr>
          <w:rFonts w:cs="ביוםבFrankRuehl;Times New Roman" w:ascii="ביוםבFrankRuehl;Times New Roman" w:hAnsi="ביוםבFrankRuehl;Times New Roman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וגרמו לפציעת הרופא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>
          <w:rFonts w:ascii="ביוםבFrankRuehl;Times New Roman" w:hAnsi="ביוםבFrankRuehl;Times New Roman" w:cs="ביוםבFrankRuehl;Times New Roman"/>
        </w:rPr>
      </w:pPr>
      <w:r>
        <w:rPr>
          <w:rtl w:val="true"/>
        </w:rPr>
        <w:t xml:space="preserve">בגזר הדין מיום </w:t>
      </w:r>
      <w:r>
        <w:rPr/>
        <w:t>19.5.2020</w:t>
      </w:r>
      <w:r>
        <w:rPr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פירט בית המשפט קמא את הנסיבות הקשורות בביצוע </w:t>
      </w:r>
      <w:r>
        <w:rPr>
          <w:rtl w:val="true"/>
        </w:rPr>
        <w:t>העבירות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 ואת חלקם של דוד ושמואל במעשים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בית המשפט קמא קבע כי שמואל</w:t>
      </w:r>
      <w:r>
        <w:rPr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הוא זה שיזם את ההתנהגות הבוטה והאלימה כלפי הרופא והאח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שאליה הצטרפו במהרה יתר הנאשמים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עוד קבע בית המשפט קמא כי </w:t>
      </w:r>
      <w:r>
        <w:rPr>
          <w:rtl w:val="true"/>
        </w:rPr>
        <w:t>תחילה ניסה דוד להפריד בין הניצים ולהרגיע את הרוחות</w:t>
      </w:r>
      <w:r>
        <w:rPr>
          <w:rtl w:val="true"/>
        </w:rPr>
        <w:t xml:space="preserve">, </w:t>
      </w:r>
      <w:r>
        <w:rPr>
          <w:rtl w:val="true"/>
        </w:rPr>
        <w:t>ובשלב מסוים אף לקח מידו של יצחק סכין שבאמצעותה ביקש לאיים על הרופא</w:t>
      </w:r>
      <w:r>
        <w:rPr>
          <w:rtl w:val="true"/>
        </w:rPr>
        <w:t xml:space="preserve">, </w:t>
      </w:r>
      <w:r>
        <w:rPr>
          <w:rtl w:val="true"/>
        </w:rPr>
        <w:t>והרחיקה ממנו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 פי העובדות שבהן הודה</w:t>
      </w:r>
      <w:r>
        <w:rPr>
          <w:rtl w:val="true"/>
        </w:rPr>
        <w:t xml:space="preserve">, </w:t>
      </w:r>
      <w:r>
        <w:rPr>
          <w:rtl w:val="true"/>
        </w:rPr>
        <w:t>דוד נטל חלק בהשלכת הכיסאות לעבר הרופא שכתוצאה ממנה נפצע בכף ידו</w:t>
      </w:r>
      <w:r>
        <w:rPr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בית המשפט קמא ציין כי לא התקיים תכנון מקדים מצד המערערים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כי מדובר באירוע שהתפתח והסלים לכדי תקיפה אלימה ובריונית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בצוותא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של הרופא והאח וכי בכל רגע נתון היה ביכולתם של המערערים לחדול ממעשיהם ולמנוע את הסלמת האירוע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נופך נוסף של חומרה מצא בית המשפט קמא בכך שלמעשי האלימות של המערערים נלוו ביטויים קשים של שנאה וגזענות הנוגעים למוצאו הערבי של הרופא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הראויים לגינוי ולהוקעה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בית המשפט קמא הדגיש כי אין לראות בסערת הרגשות ובמצוקה שבה היו המערערים שרויים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לטענתם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משום נסיבות לקולה המפחיתות מחומרת המעשים</w:t>
      </w:r>
      <w:r>
        <w:rPr>
          <w:rFonts w:cs="ביוםבFrankRuehl;Times New Roman" w:ascii="ביוםבFrankRuehl;Times New Roman" w:hAnsi="ביוםבFrankRuehl;Times New Roman"/>
          <w:rtl w:val="true"/>
        </w:rPr>
        <w:t>.</w:t>
      </w:r>
    </w:p>
    <w:p>
      <w:pPr>
        <w:pStyle w:val="Ruller43"/>
        <w:tabs>
          <w:tab w:val="clear" w:pos="720"/>
          <w:tab w:val="left" w:pos="907" w:leader="none"/>
        </w:tabs>
        <w:spacing w:before="0" w:after="240"/>
        <w:ind w:end="0"/>
        <w:jc w:val="both"/>
        <w:rPr>
          <w:rFonts w:ascii="ביוםבFrankRuehl;Times New Roman" w:hAnsi="ביוםבFrankRuehl;Times New Roman" w:cs="ביוםבFrankRuehl;Times New Roman"/>
        </w:rPr>
      </w:pPr>
      <w:r>
        <w:rPr>
          <w:rFonts w:cs="ביוםבFrankRuehl;Times New Roman" w:ascii="ביוםבFrankRuehl;Times New Roman" w:hAnsi="ביוםבFrankRuehl;Times New Roman"/>
          <w:rtl w:val="true"/>
        </w:rPr>
        <w:tab/>
      </w:r>
      <w:r>
        <w:rPr>
          <w:rFonts w:ascii="ביוםבFrankRuehl;Times New Roman" w:hAnsi="ביוםבFrankRuehl;Times New Roman" w:cs="ביוםבFrankRuehl;Times New Roman"/>
          <w:rtl w:val="true"/>
        </w:rPr>
        <w:t>בית המשפט קמא עמד על הפגיעה בשורה של ערכים מוגנים הגלומה בעבירות שבהן הורשעו המערערים וביניהם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: </w:t>
      </w:r>
      <w:r>
        <w:rPr>
          <w:rFonts w:ascii="ביוםבFrankRuehl;Times New Roman" w:hAnsi="ביוםבFrankRuehl;Times New Roman" w:cs="ביוםבFrankRuehl;Times New Roman"/>
          <w:rtl w:val="true"/>
        </w:rPr>
        <w:t>זכותו של אדם לשלמות גופו ולשמירה על כבודו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; </w:t>
      </w:r>
      <w:r>
        <w:rPr>
          <w:rFonts w:ascii="ביוםבFrankRuehl;Times New Roman" w:hAnsi="ביוםבFrankRuehl;Times New Roman" w:cs="ביוםבFrankRuehl;Times New Roman"/>
          <w:rtl w:val="true"/>
        </w:rPr>
        <w:t>תחושת הביטחון במקום העבודה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; </w:t>
      </w:r>
      <w:r>
        <w:rPr>
          <w:rFonts w:ascii="ביוםבFrankRuehl;Times New Roman" w:hAnsi="ביוםבFrankRuehl;Times New Roman" w:cs="ביוםבFrankRuehl;Times New Roman"/>
          <w:rtl w:val="true"/>
        </w:rPr>
        <w:t>הגנה על מוסדות ציבור ותפקודם התקין של עובדי הציבור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; </w:t>
      </w:r>
      <w:r>
        <w:rPr>
          <w:rFonts w:ascii="ביוםבFrankRuehl;Times New Roman" w:hAnsi="ביוםבFrankRuehl;Times New Roman" w:cs="ביוםבFrankRuehl;Times New Roman"/>
          <w:rtl w:val="true"/>
        </w:rPr>
        <w:t>ושמירה על שלומו של רופא הממלא את תפקידו ואמון על בריאותם של החולים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בית המשפט קמא הוסיף והתייחס בהקשר זה לתסקיר נפגע עבירה שבו תוארה תמונת נזק קשה ביחס לרופא כתוצאה מחוויית חוסר האונים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אובדן השליטה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האימה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הסכנה והמלכוד שחש מול תוקפיו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השפעת האמירות הגזעניות על אישיותו ומפציעתו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מטעמים אלו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ולאחר שבחן את פסקי הדין העוסקים בתקיפת רופא או מטפל על נסיבותיהם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קבע בית המשפט קמא כי מתחם הענישה הראוי לדוד הנו </w:t>
      </w:r>
      <w:r>
        <w:rPr>
          <w:rFonts w:cs="ביוםבFrankRuehl;Times New Roman" w:ascii="ביוםבFrankRuehl;Times New Roman" w:hAnsi="ביוםבFrankRuehl;Times New Roman"/>
        </w:rPr>
        <w:t>10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עד </w:t>
      </w:r>
      <w:r>
        <w:rPr>
          <w:rFonts w:cs="ביוםבFrankRuehl;Times New Roman" w:ascii="ביוםבFrankRuehl;Times New Roman" w:hAnsi="ביוםבFrankRuehl;Times New Roman"/>
        </w:rPr>
        <w:t>26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 מאסר בפועל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ומתחם הענישה הראוי לשמואל הנו </w:t>
      </w:r>
      <w:r>
        <w:rPr>
          <w:rFonts w:cs="ביוםבFrankRuehl;Times New Roman" w:ascii="ביוםבFrankRuehl;Times New Roman" w:hAnsi="ביוםבFrankRuehl;Times New Roman"/>
        </w:rPr>
        <w:t>18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עד </w:t>
      </w:r>
      <w:r>
        <w:rPr>
          <w:rFonts w:cs="ביוםבFrankRuehl;Times New Roman" w:ascii="ביוםבFrankRuehl;Times New Roman" w:hAnsi="ביוםבFrankRuehl;Times New Roman"/>
        </w:rPr>
        <w:t>36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 מאסר בפועל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>
          <w:rFonts w:ascii="ביוםבFrankRuehl;Times New Roman" w:hAnsi="ביוםבFrankRuehl;Times New Roman" w:cs="ביוםבFrankRuehl;Times New Roman"/>
        </w:rPr>
      </w:pPr>
      <w:r>
        <w:rPr>
          <w:rFonts w:ascii="ביוםבFrankRuehl;Times New Roman" w:hAnsi="ביוםבFrankRuehl;Times New Roman" w:cs="ביוםבFrankRuehl;Times New Roman"/>
          <w:rtl w:val="true"/>
        </w:rPr>
        <w:t>מכאן פנה בית המשפט לגזירת העונש הראוי לכל אחד מהמערערים בתוך מתחם הענישה שנקבע</w:t>
      </w:r>
      <w:r>
        <w:rPr>
          <w:rtl w:val="true"/>
        </w:rPr>
        <w:t xml:space="preserve"> לו</w:t>
      </w:r>
      <w:r>
        <w:rPr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בעניינו של דוד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ציין בית המשפט במסגרת השיקולים לקולה כי מדובר באדם בן </w:t>
      </w:r>
      <w:r>
        <w:rPr>
          <w:rFonts w:cs="ביוםבFrankRuehl;Times New Roman" w:ascii="ביוםבFrankRuehl;Times New Roman" w:hAnsi="ביוםבFrankRuehl;Times New Roman"/>
        </w:rPr>
        <w:t>54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ללא הרשעות קודמות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אשר הודה במיוחס לו וחסך זמן שיפוטי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עם זאת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tl w:val="true"/>
        </w:rPr>
        <w:t>מתסקיר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 שירות המבחן עלה קושי מצדו בלקיחת אחריות מלאה ובהבנת חומרת המעשים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ממצאי הבדיקה לגילוי שימוש בסמים שנערכה לו בשירות המבחן הצביעו על שימוש בקנאביס ואולם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דוד לא גילה מוטיבציה או רצון להשתלב בתכנית טיפולית</w:t>
      </w:r>
      <w:r>
        <w:rPr>
          <w:rFonts w:cs="ביוםבFrankRuehl;Times New Roman" w:ascii="ביוםבFrankRuehl;Times New Roman" w:hAnsi="ביוםבFrankRuehl;Times New Roman"/>
          <w:rtl w:val="true"/>
        </w:rPr>
        <w:t>-</w:t>
      </w:r>
      <w:r>
        <w:rPr>
          <w:rFonts w:ascii="ביוםבFrankRuehl;Times New Roman" w:hAnsi="ביוםבFrankRuehl;Times New Roman" w:cs="ביוםבFrankRuehl;Times New Roman"/>
          <w:rtl w:val="true"/>
        </w:rPr>
        <w:t>שיקומית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  </w:t>
      </w:r>
    </w:p>
    <w:p>
      <w:pPr>
        <w:pStyle w:val="Ruller42"/>
        <w:spacing w:before="0" w:after="240"/>
        <w:ind w:end="0"/>
        <w:jc w:val="both"/>
        <w:rPr>
          <w:rFonts w:ascii="ביוםבFrankRuehl;Times New Roman" w:hAnsi="ביוםבFrankRuehl;Times New Roman" w:cs="ביוםבFrankRuehl;Times New Roman"/>
        </w:rPr>
      </w:pPr>
      <w:r>
        <w:rPr>
          <w:rFonts w:cs="ביוםבFrankRuehl;Times New Roman" w:ascii="ביוםבFrankRuehl;Times New Roman" w:hAnsi="ביוםבFrankRuehl;Times New Roman"/>
          <w:rtl w:val="true"/>
        </w:rPr>
        <w:tab/>
      </w:r>
      <w:r>
        <w:rPr>
          <w:rFonts w:ascii="ביוםבFrankRuehl;Times New Roman" w:hAnsi="ביוםבFrankRuehl;Times New Roman" w:cs="ביוםבFrankRuehl;Times New Roman"/>
          <w:rtl w:val="true"/>
        </w:rPr>
        <w:t>בעניינו של שמואל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ציין בית המשפט במכלול השיקולים לקולה את גילו הצעיר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את הודאתו ואת נסיבות החיים הקשות שבהן גדל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לצד זאת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מתסקיר שירות המבחן  שהוגש לבית המשפט עלה כי שמואל אינו לוקח אחריות מלאה על ביצוע העבירות ונוקט עמדה קורבנית מצמצמת בכל הנוגע לחומרת האירוע ולפגיעה שנגרמה לרופא ולאח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זאת ועוד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לשמואל עבר פלילי 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-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בשנת </w:t>
      </w:r>
      <w:r>
        <w:rPr>
          <w:rFonts w:cs="ביוםבFrankRuehl;Times New Roman" w:ascii="ביוםבFrankRuehl;Times New Roman" w:hAnsi="ביוםבFrankRuehl;Times New Roman"/>
        </w:rPr>
        <w:t>2015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נקבעה אשמתו בעבירת אלימות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ובשנת </w:t>
      </w:r>
      <w:r>
        <w:rPr>
          <w:rFonts w:cs="ביוםבFrankRuehl;Times New Roman" w:ascii="ביוםבFrankRuehl;Times New Roman" w:hAnsi="ביוםבFrankRuehl;Times New Roman"/>
        </w:rPr>
        <w:t>2016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הורשע בעבירות סמים שבגינן הוטל עליו עונש מאסר בן </w:t>
      </w:r>
      <w:r>
        <w:rPr>
          <w:rFonts w:cs="ביוםבFrankRuehl;Times New Roman" w:ascii="ביוםבFrankRuehl;Times New Roman" w:hAnsi="ביוםבFrankRuehl;Times New Roman"/>
        </w:rPr>
        <w:t>10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צוין כי נראה שלא היה בעונש המאסר כדי להרתיעו מלהמשיך ולהשתמש בסמים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שכן בשתי בדיקות לגילוי סמים שעבר בשירות המבחן נמצאו שרידי סם מסוג קנאביס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שירות המבחן העריך כי קיים סיכון בינוני עד גבוה להישנות עבירות אלימות מצדו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>
          <w:rFonts w:ascii="ביוםבFrankRuehl;Times New Roman" w:hAnsi="ביוםבFrankRuehl;Times New Roman" w:cs="ביוםבFrankRuehl;Times New Roman"/>
        </w:rPr>
      </w:pPr>
      <w:r>
        <w:rPr>
          <w:rFonts w:ascii="ביוםבFrankRuehl;Times New Roman" w:hAnsi="ביוםבFrankRuehl;Times New Roman" w:cs="ביוםבFrankRuehl;Times New Roman"/>
          <w:rtl w:val="true"/>
        </w:rPr>
        <w:t>מן הטעמים שפורטו לעיל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גזר בית המשפט קמא על דוד עונש מאסר בפועל לתקופה של </w:t>
      </w:r>
      <w:r>
        <w:rPr>
          <w:rFonts w:cs="ביוםבFrankRuehl;Times New Roman" w:ascii="ביוםבFrankRuehl;Times New Roman" w:hAnsi="ביוםבFrankRuehl;Times New Roman"/>
        </w:rPr>
        <w:t>12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בניכוי ימי מעצרו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ומאסר על תנאי לתקופה של </w:t>
      </w:r>
      <w:r>
        <w:rPr>
          <w:rFonts w:cs="ביוםבFrankRuehl;Times New Roman" w:ascii="ביוםבFrankRuehl;Times New Roman" w:hAnsi="ביוםבFrankRuehl;Times New Roman"/>
        </w:rPr>
        <w:t>6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והתנאי הוא שלא יעבור עבירה בה הורשע בתיק זה במשך </w:t>
      </w:r>
      <w:r>
        <w:rPr>
          <w:rFonts w:cs="ביוםבFrankRuehl;Times New Roman" w:ascii="ביוםבFrankRuehl;Times New Roman" w:hAnsi="ביוםבFrankRuehl;Times New Roman"/>
        </w:rPr>
        <w:t>3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שנים מיום שחרורו ממאסר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על שמואל גזר בית המשפט קמא עונש של מאסר בפועל לתקופה של </w:t>
      </w:r>
      <w:r>
        <w:rPr>
          <w:rFonts w:cs="ביוםבFrankRuehl;Times New Roman" w:ascii="ביוםבFrankRuehl;Times New Roman" w:hAnsi="ביוםבFrankRuehl;Times New Roman"/>
        </w:rPr>
        <w:t>26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בניכוי ימי מעצרו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ומאסר על תנאי לתקופה של </w:t>
      </w:r>
      <w:r>
        <w:rPr>
          <w:rFonts w:cs="ביוםבFrankRuehl;Times New Roman" w:ascii="ביוםבFrankRuehl;Times New Roman" w:hAnsi="ביוםבFrankRuehl;Times New Roman"/>
        </w:rPr>
        <w:t>6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חודשים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והתנאי הוא שלא יעבור עבירה מסוג פשע במשך </w:t>
      </w:r>
      <w:r>
        <w:rPr>
          <w:rFonts w:cs="ביוםבFrankRuehl;Times New Roman" w:ascii="ביוםבFrankRuehl;Times New Roman" w:hAnsi="ביוםבFrankRuehl;Times New Roman"/>
        </w:rPr>
        <w:t>3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שנים מיום שחרורו ממאסר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בנוסף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הורה בית המשפט קמא כי כל אחד מהמערערים ישלם לרופא פיצוי בסך </w:t>
      </w:r>
      <w:r>
        <w:rPr>
          <w:rFonts w:cs="ביוםבFrankRuehl;Times New Roman" w:ascii="ביוםבFrankRuehl;Times New Roman" w:hAnsi="ביוםבFrankRuehl;Times New Roman"/>
        </w:rPr>
        <w:t>10,000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₪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בתוך </w:t>
      </w:r>
      <w:r>
        <w:rPr>
          <w:rFonts w:cs="ביוםבFrankRuehl;Times New Roman" w:ascii="ביוםבFrankRuehl;Times New Roman" w:hAnsi="ביוםבFrankRuehl;Times New Roman"/>
        </w:rPr>
        <w:t>6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חודשים ממועד מתן גזר הדין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>באותו מעמד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נקבע כי שמואל יתייצב לריצוי עונשו ביום </w:t>
      </w:r>
      <w:r>
        <w:rPr>
          <w:rFonts w:cs="ביוםבFrankRuehl;Times New Roman" w:ascii="ביוםבFrankRuehl;Times New Roman" w:hAnsi="ביוםבFrankRuehl;Times New Roman"/>
        </w:rPr>
        <w:t>1.6.2020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(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בהסכמת המדינה נדחה המועד ליום </w:t>
      </w:r>
      <w:r>
        <w:rPr>
          <w:rFonts w:cs="ביוםבFrankRuehl;Times New Roman" w:ascii="ביוםבFrankRuehl;Times New Roman" w:hAnsi="ביוםבFrankRuehl;Times New Roman"/>
        </w:rPr>
        <w:t>4.6.2020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),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וכי דוד יתייצב לריצוי עונשו ביום </w:t>
      </w:r>
      <w:r>
        <w:rPr>
          <w:rFonts w:cs="ביוםבFrankRuehl;Times New Roman" w:ascii="ביוםבFrankRuehl;Times New Roman" w:hAnsi="ביוםבFrankRuehl;Times New Roman"/>
        </w:rPr>
        <w:t>19.7.2020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אך אם יוגש ערעור בעניינו של דוד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תידחה התייצבותו עד למתן פסק</w:t>
      </w:r>
      <w:r>
        <w:rPr>
          <w:rFonts w:cs="ביוםבFrankRuehl;Times New Roman" w:ascii="ביוםבFrankRuehl;Times New Roman" w:hAnsi="ביוםבFrankRuehl;Times New Roman"/>
          <w:rtl w:val="true"/>
        </w:rPr>
        <w:t>-</w:t>
      </w:r>
      <w:r>
        <w:rPr>
          <w:rFonts w:ascii="ביוםבFrankRuehl;Times New Roman" w:hAnsi="ביוםבFrankRuehl;Times New Roman" w:cs="ביוםבFrankRuehl;Times New Roman"/>
          <w:rtl w:val="true"/>
        </w:rPr>
        <w:t>דין בערעור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 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/>
      </w:pPr>
      <w:r>
        <w:rPr>
          <w:rtl w:val="true"/>
        </w:rPr>
        <w:t>להשלמת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 התמונה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יצוין כי ביום </w:t>
      </w:r>
      <w:r>
        <w:rPr>
          <w:rFonts w:cs="ביוםבFrankRuehl;Times New Roman" w:ascii="ביוםבFrankRuehl;Times New Roman" w:hAnsi="ביוםבFrankRuehl;Times New Roman"/>
        </w:rPr>
        <w:t>6.2.2020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טרם שניתן גזר</w:t>
      </w:r>
      <w:r>
        <w:rPr>
          <w:rFonts w:cs="ביוםבFrankRuehl;Times New Roman" w:ascii="ביוםבFrankRuehl;Times New Roman" w:hAnsi="ביוםבFrankRuehl;Times New Roman"/>
          <w:rtl w:val="true"/>
        </w:rPr>
        <w:t>-</w:t>
      </w:r>
      <w:r>
        <w:rPr>
          <w:rFonts w:ascii="ביוםבFrankRuehl;Times New Roman" w:hAnsi="ביוםבFrankRuehl;Times New Roman" w:cs="ביוםבFrankRuehl;Times New Roman"/>
          <w:rtl w:val="true"/>
        </w:rPr>
        <w:t>הדין נושא ערעור זה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התקבל ערעור המדינה על קולת העונש שהושת על יצחק </w:t>
      </w:r>
      <w:r>
        <w:rPr>
          <w:rFonts w:cs="ביוםבFrankRuehl;Times New Roman" w:ascii="ביוםבFrankRuehl;Times New Roman" w:hAnsi="ביוםבFrankRuehl;Times New Roman"/>
          <w:rtl w:val="true"/>
        </w:rPr>
        <w:t>(</w:t>
      </w:r>
      <w:hyperlink r:id="rId14">
        <w:r>
          <w:rPr>
            <w:rStyle w:val="Hyperlink"/>
            <w:rFonts w:ascii="ביוםבFrankRuehl;Times New Roman" w:hAnsi="ביוםבFrankRuehl;Times New Roman" w:cs="ביוםבFrankRuehl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ביוםבFrankRuehl;Times New Roman" w:ascii="ביוםבFrankRuehl;Times New Roman" w:hAnsi="ביוםב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ביוםבFrankRuehl;Times New Roman" w:hAnsi="ביוםבFrankRuehl;Times New Roman" w:cs="ביוםבFrankRuehl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ביוםבFrankRuehl;Times New Roman" w:hAnsi="ביוםבFrankRuehl;Times New Roman" w:cs="ביוםבFrankRuehl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ביוםבFrankRuehl;Times New Roman" w:ascii="ביוםבFrankRuehl;Times New Roman" w:hAnsi="ביוםבFrankRuehl;Times New Roman"/>
            <w:color w:val="0000FF"/>
            <w:u w:val="single"/>
          </w:rPr>
          <w:t>7284/19</w:t>
        </w:r>
      </w:hyperlink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4"/>
          <w:rtl w:val="true"/>
        </w:rPr>
        <w:t>מדינת ישראל נ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יצחק זגורי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) </w:t>
      </w:r>
      <w:r>
        <w:rPr>
          <w:rFonts w:ascii="ביוםבFrankRuehl;Times New Roman" w:hAnsi="ביוםבFrankRuehl;Times New Roman" w:cs="ביוםבFrankRuehl;Times New Roman"/>
          <w:rtl w:val="true"/>
        </w:rPr>
        <w:t>ועונשו הוחמר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tl w:val="true"/>
        </w:rPr>
        <w:t>בפסק הדין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 הורה בית</w:t>
      </w:r>
      <w:r>
        <w:rPr>
          <w:rFonts w:cs="ביוםבFrankRuehl;Times New Roman" w:ascii="ביוםבFrankRuehl;Times New Roman" w:hAnsi="ביוםבFrankRuehl;Times New Roman"/>
          <w:rtl w:val="true"/>
        </w:rPr>
        <w:t>-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משפט זה </w:t>
      </w:r>
      <w:r>
        <w:rPr>
          <w:rFonts w:cs="ביוםבFrankRuehl;Times New Roman" w:ascii="ביוםבFrankRuehl;Times New Roman" w:hAnsi="ביוםבFrankRuehl;Times New Roman"/>
          <w:rtl w:val="true"/>
        </w:rPr>
        <w:t>(</w:t>
      </w:r>
      <w:r>
        <w:rPr>
          <w:rFonts w:ascii="ביוםבFrankRuehl;Times New Roman" w:hAnsi="ביוםבFrankRuehl;Times New Roman" w:cs="ביוםבFrankRuehl;Times New Roman"/>
          <w:rtl w:val="true"/>
        </w:rPr>
        <w:t>הש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מזוז</w:t>
      </w:r>
      <w:r>
        <w:rPr>
          <w:rFonts w:cs="Miriam" w:ascii="Miriam" w:hAnsi="Miriam"/>
          <w:sz w:val="22"/>
          <w:szCs w:val="24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4"/>
          <w:rtl w:val="true"/>
        </w:rPr>
        <w:t>י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 xml:space="preserve">וילנר </w:t>
      </w:r>
      <w:r>
        <w:rPr>
          <w:rFonts w:ascii="FrankRuehl" w:hAnsi="FrankRuehl" w:cs="FrankRuehl"/>
          <w:rtl w:val="true"/>
        </w:rPr>
        <w:t>ו</w:t>
      </w:r>
      <w:r>
        <w:rPr>
          <w:rFonts w:cs="FrankRuehl" w:ascii="FrankRuehl" w:hAnsi="FrankRuehl"/>
          <w:rtl w:val="true"/>
        </w:rPr>
        <w:t>-</w:t>
      </w:r>
      <w:r>
        <w:rPr>
          <w:rFonts w:ascii="Miriam" w:hAnsi="Miriam" w:cs="Miriam"/>
          <w:sz w:val="22"/>
          <w:sz w:val="22"/>
          <w:szCs w:val="24"/>
          <w:rtl w:val="true"/>
        </w:rPr>
        <w:t>ע</w:t>
      </w:r>
      <w:r>
        <w:rPr>
          <w:rFonts w:cs="Miriam" w:ascii="Miriam" w:hAnsi="Miriam"/>
          <w:sz w:val="22"/>
          <w:szCs w:val="24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4"/>
          <w:rtl w:val="true"/>
        </w:rPr>
        <w:t>גרוסקופף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) </w:t>
      </w:r>
      <w:r>
        <w:rPr>
          <w:rFonts w:ascii="ביוםבFrankRuehl;Times New Roman" w:hAnsi="ביוםבFrankRuehl;Times New Roman" w:cs="ביוםבFrankRuehl;Times New Roman"/>
          <w:rtl w:val="true"/>
        </w:rPr>
        <w:t>על החמרה מ</w:t>
      </w:r>
      <w:r>
        <w:rPr>
          <w:rFonts w:cs="ביוםבFrankRuehl;Times New Roman" w:ascii="ביוםבFrankRuehl;Times New Roman" w:hAnsi="ביוםבFrankRuehl;Times New Roman"/>
          <w:rtl w:val="true"/>
        </w:rPr>
        <w:t>-</w:t>
      </w:r>
      <w:r>
        <w:rPr>
          <w:rFonts w:cs="ביוםבFrankRuehl;Times New Roman" w:ascii="ביוםבFrankRuehl;Times New Roman" w:hAnsi="ביוםבFrankRuehl;Times New Roman"/>
        </w:rPr>
        <w:t>10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 מאסר בפועל שגזר עליו בית המשפט קמא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>ל</w:t>
      </w:r>
      <w:r>
        <w:rPr>
          <w:rFonts w:cs="ביוםבFrankRuehl;Times New Roman" w:ascii="ביוםבFrankRuehl;Times New Roman" w:hAnsi="ביוםבFrankRuehl;Times New Roman"/>
          <w:rtl w:val="true"/>
        </w:rPr>
        <w:t>-</w:t>
      </w:r>
      <w:r>
        <w:rPr>
          <w:rFonts w:cs="ביוםבFrankRuehl;Times New Roman" w:ascii="ביוםבFrankRuehl;Times New Roman" w:hAnsi="ביוםבFrankRuehl;Times New Roman"/>
        </w:rPr>
        <w:t>18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חודשי מאסר בפועל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כמו כן חוייב יצחק בפיצוי הרופא בסך של </w:t>
      </w:r>
      <w:r>
        <w:rPr>
          <w:rFonts w:cs="ביוםבFrankRuehl;Times New Roman" w:ascii="ביוםבFrankRuehl;Times New Roman" w:hAnsi="ביוםבFrankRuehl;Times New Roman"/>
        </w:rPr>
        <w:t>10,000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₪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ובפיצוי האח בסך של </w:t>
      </w:r>
      <w:r>
        <w:rPr>
          <w:rFonts w:cs="ביוםבFrankRuehl;Times New Roman" w:ascii="ביוםבFrankRuehl;Times New Roman" w:hAnsi="ביוםבFrankRuehl;Times New Roman"/>
        </w:rPr>
        <w:t>2,000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 ₪. </w:t>
      </w:r>
    </w:p>
    <w:p>
      <w:pPr>
        <w:pStyle w:val="Ruller42"/>
        <w:spacing w:before="0" w:after="240"/>
        <w:ind w:end="0"/>
        <w:jc w:val="both"/>
        <w:rPr>
          <w:rFonts w:ascii="Miriam" w:hAnsi="Miriam" w:cs="Miriam"/>
          <w:sz w:val="20"/>
          <w:szCs w:val="24"/>
        </w:rPr>
      </w:pPr>
      <w:r>
        <w:rPr>
          <w:rFonts w:cs="Miriam" w:ascii="Miriam" w:hAnsi="Miriam"/>
          <w:sz w:val="20"/>
          <w:szCs w:val="24"/>
          <w:rtl w:val="true"/>
        </w:rPr>
      </w:r>
    </w:p>
    <w:p>
      <w:pPr>
        <w:pStyle w:val="Ruller42"/>
        <w:spacing w:before="0" w:after="240"/>
        <w:ind w:end="0"/>
        <w:jc w:val="both"/>
        <w:rPr>
          <w:rFonts w:ascii="Miriam" w:hAnsi="Miriam" w:cs="Miriam"/>
          <w:sz w:val="20"/>
          <w:szCs w:val="24"/>
        </w:rPr>
      </w:pPr>
      <w:r>
        <w:rPr>
          <w:rFonts w:ascii="Miriam" w:hAnsi="Miriam" w:cs="Miriam"/>
          <w:sz w:val="20"/>
          <w:sz w:val="20"/>
          <w:szCs w:val="24"/>
          <w:rtl w:val="true"/>
        </w:rPr>
        <w:t>טענות הצדדים לערעור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טוענים כי שגה בית המשפט קמא עת גזר עליהם עונשי מאסר בפועל לתקופות ארוכות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אף שהודו במעשים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ולא ל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קח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בחשבון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את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העובדה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כי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שלושה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מתוך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ארבע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נאשמים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בפרשה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הם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בני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אותה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משפחה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גרעינית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א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ם העידה בפני בית המשפט קמא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וסיפרה כי דוד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הוא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המפרנס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היחיד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בבית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;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כי היא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עברה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לאחרונה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ניתוח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ביד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ועוברת תהליך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שיקום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ללא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יכולת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לעבוד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>.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כמו כן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בעקבות ההליך הפלילי נאלצת המשפחה להתמודד עם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תביעה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אזרחית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שהגיש הרופא לפיצוי כספי ב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סך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cs="ביוםבFrankRuehl;Times New Roman" w:ascii="ביוםבFrankRuehl;Times New Roman" w:hAnsi="ביוםבFrankRuehl;Times New Roman"/>
          <w:sz w:val="22"/>
        </w:rPr>
        <w:t>550,000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₪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ו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עם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תשלו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מי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פיצויים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של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עשרות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אלפי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שקלים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 על פי  גזרי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>-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הדין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>.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במצב זה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שליחת האב ושני בניו למאסר מאחורי סורג ובריח תביא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כך נטען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להתמוטטות המשפחה ולחורבן שספק אם תוכל להתאושש ממנו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המערערים חוזרים על טיעוניהם כי לנוכח התנהלותו של דוד במהלך האירוע ובהיעדר הרשעות לחובתו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ניתן היה להסתפק בהטלת עונש צופה פני עתיד כגון מאסר ממושך על תנאי בצירוף רכיבי ענישה נוספים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עוד טוענים המערערים כי חלקו של שמואל באירוע היה קטן משמעותית מחלקו של יצחק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 xml:space="preserve">אשר הורשע לא רק באותן עבירות שבהן הורשע שמואל אלא גם בעבירה של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החזקת סכין שלא כדין לפי </w:t>
      </w:r>
      <w:hyperlink r:id="rId15">
        <w:r>
          <w:rPr>
            <w:rStyle w:val="Hyperlink"/>
            <w:rFonts w:ascii="ביוםבFrankRuehl;Times New Roman" w:hAnsi="ביוםבFrankRuehl;Times New Roman" w:cs="ביוםבFrankRuehl;Times New Roman"/>
            <w:rtl w:val="true"/>
          </w:rPr>
          <w:t>סעיף</w:t>
        </w:r>
        <w:r>
          <w:rPr>
            <w:rStyle w:val="Hyperlink"/>
            <w:rFonts w:ascii="ביוםבFrankRuehl;Times New Roman" w:hAnsi="ביוםבFrankRuehl;Times New Roman" w:cs="ביוםבFrankRuehl;Times New Roman"/>
            <w:rtl w:val="true"/>
          </w:rPr>
          <w:t xml:space="preserve"> </w:t>
        </w:r>
        <w:r>
          <w:rPr>
            <w:rStyle w:val="Hyperlink"/>
            <w:rFonts w:cs="ביוםבFrankRuehl;Times New Roman" w:ascii="ביוםבFrankRuehl;Times New Roman" w:hAnsi="ביוםבFrankRuehl;Times New Roman"/>
          </w:rPr>
          <w:t>186</w:t>
        </w:r>
        <w:r>
          <w:rPr>
            <w:rStyle w:val="Hyperlink"/>
            <w:rFonts w:cs="ביוםבFrankRuehl;Times New Roman" w:ascii="ביוםבFrankRuehl;Times New Roman" w:hAnsi="ביוםבFrankRuehl;Times New Roman"/>
            <w:rtl w:val="true"/>
          </w:rPr>
          <w:t>(</w:t>
        </w:r>
        <w:r>
          <w:rPr>
            <w:rStyle w:val="Hyperlink"/>
            <w:rFonts w:ascii="ביוםבFrankRuehl;Times New Roman" w:hAnsi="ביוםבFrankRuehl;Times New Roman" w:cs="ביוםבFrankRuehl;Times New Roman"/>
            <w:rtl w:val="true"/>
          </w:rPr>
          <w:t>א</w:t>
        </w:r>
        <w:r>
          <w:rPr>
            <w:rStyle w:val="Hyperlink"/>
            <w:rFonts w:cs="ביוםבFrankRuehl;Times New Roman" w:ascii="ביוםבFrankRuehl;Times New Roman" w:hAnsi="ביוםבFrankRuehl;Times New Roman"/>
            <w:rtl w:val="true"/>
          </w:rPr>
          <w:t>)</w:t>
        </w:r>
      </w:hyperlink>
      <w:r>
        <w:rPr>
          <w:rFonts w:cs="ביוםבFrankRuehl;Times New Roman" w:ascii="ביוםבFrankRuehl;Times New Roman" w:hAnsi="ביוםבFrankRuehl;Times New Roman"/>
          <w:rtl w:val="true"/>
        </w:rPr>
        <w:t xml:space="preserve"> </w:t>
      </w:r>
      <w:r>
        <w:rPr>
          <w:rFonts w:ascii="ביוםבFrankRuehl;Times New Roman" w:hAnsi="ביוםבFrankRuehl;Times New Roman" w:cs="ביוםבFrankRuehl;Times New Roman"/>
          <w:rtl w:val="true"/>
        </w:rPr>
        <w:t>לחוק</w:t>
      </w:r>
      <w:r>
        <w:rPr>
          <w:rFonts w:cs="ביוםבFrankRuehl;Times New Roman" w:ascii="ביוםבFrankRuehl;Times New Roman" w:hAnsi="ביוםבFrankRuehl;Times New Roman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rtl w:val="true"/>
        </w:rPr>
        <w:t xml:space="preserve">אך עונשו חמור יותר באופן שפוגע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בעקרון אחידות הענישה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.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לטענת המערערים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 xml:space="preserve">,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ראוי היה להטיל על שמואל עונש מאסר שירוצה בעבודות שירות ולאפשר בכך את השתלבותו בחברה ביתר קלות בתום ריצוי העונש</w:t>
      </w:r>
      <w:r>
        <w:rPr>
          <w:rFonts w:cs="ביוםבFrankRuehl;Times New Roman" w:ascii="ביוםבFrankRuehl;Times New Roman" w:hAnsi="ביוםבFrankRuehl;Times New Roman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>
          <w:rFonts w:ascii="Miriam" w:hAnsi="Miriam" w:cs="Miriam"/>
          <w:szCs w:val="24"/>
        </w:rPr>
      </w:pPr>
      <w:r>
        <w:rPr>
          <w:rtl w:val="true"/>
        </w:rPr>
        <w:t xml:space="preserve">המשיבה מצידה סומכת ידיה </w:t>
      </w:r>
      <w:r>
        <w:rPr>
          <w:rFonts w:ascii="ביוםבFrankRuehl;Times New Roman" w:hAnsi="ביוםבFrankRuehl;Times New Roman" w:cs="ביוםבFrankRuehl;Times New Roman"/>
          <w:sz w:val="22"/>
          <w:sz w:val="22"/>
          <w:rtl w:val="true"/>
        </w:rPr>
        <w:t>על</w:t>
      </w:r>
      <w:r>
        <w:rPr>
          <w:rtl w:val="true"/>
        </w:rPr>
        <w:t xml:space="preserve"> גזר דינו של בית המשפט קמא ולגישתה</w:t>
      </w:r>
      <w:r>
        <w:rPr>
          <w:rtl w:val="true"/>
        </w:rPr>
        <w:t xml:space="preserve">, </w:t>
      </w:r>
      <w:r>
        <w:rPr>
          <w:rtl w:val="true"/>
        </w:rPr>
        <w:t>יש לדחות את ערעורם של שני המערערים כאחד</w:t>
      </w:r>
      <w:r>
        <w:rPr>
          <w:rtl w:val="true"/>
        </w:rPr>
        <w:t xml:space="preserve">.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מדובר באירוע חמור של תקיפת צוות רפואי שלוותה באמירות גזעניות</w:t>
      </w:r>
      <w:r>
        <w:rPr>
          <w:rtl w:val="true"/>
        </w:rPr>
        <w:t xml:space="preserve">. </w:t>
      </w:r>
      <w:r>
        <w:rPr>
          <w:rtl w:val="true"/>
        </w:rPr>
        <w:t>תסקיר נפגע העבירה העיד על פגיעה קשה ברופא ועל נזקים פיזיים ונפשיים שנגרמו לו כתוצאה מהמעשים</w:t>
      </w:r>
      <w:r>
        <w:rPr>
          <w:rtl w:val="true"/>
        </w:rPr>
        <w:t xml:space="preserve">. </w:t>
      </w:r>
      <w:r>
        <w:rPr>
          <w:rtl w:val="true"/>
        </w:rPr>
        <w:t>המשיבה סבורה כי יש הצדקה לפער שבין עונשו של יצחק לעונשו של שמואל</w:t>
      </w:r>
      <w:r>
        <w:rPr>
          <w:rtl w:val="true"/>
        </w:rPr>
        <w:t xml:space="preserve">, </w:t>
      </w:r>
      <w:r>
        <w:rPr>
          <w:rtl w:val="true"/>
        </w:rPr>
        <w:t>היות שהאחרון הוא מחולל האירוע ולחובתו נזקפות עבירות סמים שחלקן בוצע סמוך לפני שהחל לרצות את עונש המאסר בתיק זה</w:t>
      </w:r>
      <w:r>
        <w:rPr>
          <w:rtl w:val="true"/>
        </w:rPr>
        <w:t xml:space="preserve">.  </w:t>
      </w:r>
      <w:r>
        <w:rPr>
          <w:rtl w:val="true"/>
        </w:rPr>
        <w:t>בעניינו של דוד טוענת המשיבה כי שירות המבחן ניסה שוב ושוב לרתום אותו להליך של שיקום אך הוא סירב לשתף פעולה ולהגיע לבדיקות סמים</w:t>
      </w:r>
      <w:r>
        <w:rPr>
          <w:rtl w:val="true"/>
        </w:rPr>
        <w:t xml:space="preserve">. </w:t>
      </w:r>
      <w:r>
        <w:rPr>
          <w:rtl w:val="true"/>
        </w:rPr>
        <w:t>המשיבה אף מצביעה על כך שהפיצויים שהושתו על המערערים טרם שולמו</w:t>
      </w:r>
      <w:r>
        <w:rPr>
          <w:rtl w:val="true"/>
        </w:rPr>
        <w:t xml:space="preserve">, </w:t>
      </w:r>
      <w:r>
        <w:rPr>
          <w:rtl w:val="true"/>
        </w:rPr>
        <w:t>וגם מטעם זה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 להקל בעונשים שהוטלו עליהם</w:t>
      </w:r>
      <w:r>
        <w:rPr>
          <w:rtl w:val="true"/>
        </w:rPr>
        <w:t xml:space="preserve">. </w:t>
      </w:r>
    </w:p>
    <w:p>
      <w:pPr>
        <w:pStyle w:val="Normal"/>
        <w:spacing w:before="240" w:after="240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Normal"/>
        <w:spacing w:before="240" w:after="240"/>
        <w:ind w:end="0"/>
        <w:jc w:val="both"/>
        <w:rPr>
          <w:rFonts w:ascii="Miriam" w:hAnsi="Miriam" w:cs="Miriam"/>
          <w:sz w:val="24"/>
        </w:rPr>
      </w:pPr>
      <w:r>
        <w:rPr>
          <w:rFonts w:ascii="Miriam" w:hAnsi="Miriam" w:cs="Miriam"/>
          <w:sz w:val="24"/>
          <w:sz w:val="24"/>
          <w:rtl w:val="true"/>
        </w:rPr>
        <w:t>דיון והכרעה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>
          <w:sz w:val="28"/>
        </w:rPr>
      </w:pPr>
      <w:r>
        <w:rPr>
          <w:rtl w:val="true"/>
        </w:rPr>
        <w:t>לאחר</w:t>
      </w:r>
      <w:r>
        <w:rPr>
          <w:sz w:val="28"/>
          <w:sz w:val="28"/>
          <w:rtl w:val="true"/>
        </w:rPr>
        <w:t xml:space="preserve"> שבחנו את טענות 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הגענו לכלל מסקנה כי אין מקום להתערב בעונש המאסר שהוטל על דוד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בגזר הדין שקל בית המשפט קמא את כלל השיקולים הרלוונטיים לקביעת מתחם הענישה ובכללם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 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מדיניות הענישה המחמירה הנוהגת בעבירות מן הסוג שביצעו המערערים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בנסיבות שבהן נפגע העבירה הוא איש צוות רפואי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עמד על כך בית משפט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בפסק הדין שניתן בערעורו של יצחק בקובעו</w:t>
      </w:r>
      <w:r>
        <w:rPr>
          <w:sz w:val="28"/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להשלים עם מצב בו אנשי צוות רפואי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האמונים על צרכיו החיוניים של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יחושו כי הם מאוימים או ימצאו עצמם מוכים ומותקפים 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ידי מטופל או בני משפחתו בעת שהם עושים את מלאכתם נאמנה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6123/05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חתוכה נ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25.12.2005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3877/12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אבו גוש נ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9.1.2013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שומה עלינו כחברה מתוקנת להבטיח כי אנשי הצוות הרפואי הפועלים יום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תחת עומסים כבדים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במסירות ובהתמדה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יוכלו לבצע את מלאכתם כשהם חשים בטוחים ומוגנים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וללא כל מורא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2712/09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 xml:space="preserve"> 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שמילוב נ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18.11.2009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ruller51"/>
        <w:ind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51"/>
        <w:ind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יצוין כי מעשי אלימות או איומים המופנים כלפי אנשי צוות רפואי הניצבים על משמרתם אינם פוגעים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בקורבן העבירה מושא התקיפה או האיומים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אם בשלומם של החולים כולם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3036/92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 xml:space="preserve"> 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חמודה נ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24.11.1992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מעשים אלה מחייבים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ענישה מחמירה – אשר תבטא גמול ראוי בגין הפגיעות האמורות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תשמש אמצעי להרתעת הרבים מפני ביצועם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בייחוד על רקע המציאות בימינו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 נוכחים אנו לצערנו כי איומים על רופאים ואחיות ואף תקיפתם של אנשי צוות רפואי – הינם חזון נפרץ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חתוכה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שמילוב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2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"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  <w:szCs w:val="28"/>
          </w:rPr>
          <w:t>5458/12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ליכטמן נ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>, 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פורסם בנבו</w:t>
      </w:r>
      <w:r>
        <w:rPr>
          <w:rFonts w:cs="FrankRuehl" w:ascii="FrankRuehl" w:hAnsi="FrankRuehl"/>
          <w:sz w:val="28"/>
          <w:szCs w:val="28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15.7.2012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דברי ההסבר להצעת </w:t>
      </w:r>
      <w:hyperlink r:id="rId21">
        <w:r>
          <w:rPr>
            <w:rStyle w:val="Hyperlink"/>
            <w:rFonts w:ascii="FrankRuehl" w:hAnsi="FrankRuehl" w:cs="FrankRuehl"/>
            <w:color w:val="000000"/>
            <w:sz w:val="28"/>
            <w:sz w:val="28"/>
            <w:szCs w:val="28"/>
            <w:u w:val="non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תיקון 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105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תקיפת מטפל ומאבטח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התשס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2008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 </w:t>
      </w:r>
      <w:r>
        <w:rPr>
          <w:rFonts w:cs="FrankRuehl" w:ascii="FrankRuehl" w:hAnsi="FrankRuehl"/>
          <w:sz w:val="28"/>
          <w:szCs w:val="28"/>
        </w:rPr>
        <w:t>265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56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3.11.2008</w:t>
      </w:r>
      <w:r>
        <w:rPr>
          <w:rFonts w:cs="FrankRuehl" w:ascii="FrankRuehl" w:hAnsi="FrankRuehl"/>
          <w:sz w:val="28"/>
          <w:szCs w:val="28"/>
          <w:rtl w:val="true"/>
        </w:rPr>
        <w:t>)).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ruller51"/>
        <w:ind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51"/>
        <w:ind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>
          <w:sz w:val="28"/>
        </w:rPr>
      </w:pPr>
      <w:r>
        <w:rPr>
          <w:rtl w:val="true"/>
        </w:rPr>
        <w:t>הנה</w:t>
      </w:r>
      <w:r>
        <w:rPr>
          <w:sz w:val="28"/>
          <w:sz w:val="28"/>
          <w:rtl w:val="true"/>
        </w:rPr>
        <w:t xml:space="preserve"> כי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מתחם הולם של ענישה מחייב במקרה זה הטלת עונש מאסר בפועל שירוצה מאחורי סורג ובריח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במקרים מתאימים ניתן אמנם לחרוג לקולה ממתחם הענישה משיקולים שיקומיים כהוראת </w:t>
      </w:r>
      <w:hyperlink r:id="rId2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ד</w:t>
        </w:r>
      </w:hyperlink>
      <w:r>
        <w:rPr>
          <w:sz w:val="28"/>
          <w:sz w:val="28"/>
          <w:rtl w:val="true"/>
        </w:rPr>
        <w:t xml:space="preserve"> 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אם מצא בית המשפט כי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הנאשם השתקם או כי יש סיכוי של ממש שישתקם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אלא שלא כך התרשם בית המשפט קמא לגבי דוד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מהתסקיר שהונח לפניו הצטיירה תמונה של נאשם שאינו לוקח אחריות על 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שמשתמש באופן לא חוקי בסמים ומביע חוסר רצון לקבל טיפול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למרות 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ובהתחשב בנסיבותיו המשפחתיות הטיל עליו בית המשפט קמא עונש מאסר בפועל המצוי ברף התחתון של מתחם הענישה</w:t>
      </w:r>
      <w:r>
        <w:rPr>
          <w:sz w:val="28"/>
          <w:rtl w:val="true"/>
        </w:rPr>
        <w:t xml:space="preserve">. </w:t>
      </w:r>
    </w:p>
    <w:p>
      <w:pPr>
        <w:pStyle w:val="Ruller43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>
          <w:sz w:val="28"/>
        </w:rPr>
      </w:pPr>
      <w:r>
        <w:rPr>
          <w:rtl w:val="true"/>
        </w:rPr>
        <w:t>התסקיר</w:t>
      </w:r>
      <w:r>
        <w:rPr>
          <w:sz w:val="28"/>
          <w:sz w:val="28"/>
          <w:rtl w:val="true"/>
        </w:rPr>
        <w:t xml:space="preserve"> המשלים שהוגש לנו לקראת הדיון בערעור לא הראה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למרבה הצער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שינוי מהותי בהתנהגותו של דוד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בפתח התסקיר צוין כי המפגש עמו התקיים לאחר שלושה ניסיונות של שירות המבחן לקיים את המפגש שלא צלחו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כן דווח כי בתקופה האחרונה קיבל דוד רישיון לשימוש בקנאביס רפואי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 נוכח השימוש לרעה בקנאביס עד לקבלת הרישיון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 מנת לוודא שאין שימוש בסמים נוספים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נתבקש דוד לעבור בדיקה לאיתור שרידי סם בשירות המבחן והוא סירב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 נכתב בתסקיר כי גם כיום הוא מתקשה לקחת אחריות מלאה על חלקו בעבירה וכי הפיצויים שנפסקו לטובת הרופא בגזר הדין לא שולמו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היות שהוא קושר בין הפיצויים הללו ובין ההליך האזרחי שנקט נגדו הרופא ובגדרו הוא תובע פיצויים נוספים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נמסר כי דוד מתקשה למצוא תעסוקה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 אשתו חזרה למעגל העבודה וגם ילדיו מסייעים ככל יכולתם בפרנסת המשפחה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בסיכום הדברים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המליץ שירות המבחן לשקול בנסיבות העניין הטלת עונש מאסר שירוצה בעבודות שירות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התסקיר אינו מבאר מהי לגישתו העילה לחרוג לקולה ממתחם הענישה בנסיבות שתוארו ומשהוברר כי דוד אינו משתף פעולה עם מהלך כלשהו לשיקומו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/>
      </w:pPr>
      <w:r>
        <w:rPr>
          <w:sz w:val="28"/>
          <w:sz w:val="28"/>
          <w:rtl w:val="true"/>
        </w:rPr>
        <w:t>עיון בתסקיר שהוגש לבית המשפט קמא בעניינו של שמואל אף הוא אינו מגלה תהליך שיקומי שעשוי להצדיק חריגה ממתחם העונש ההולם שנקבע בעניינו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נהפוך הוא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 חוות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דעת שירות המבחן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שמואל לא לקח אחריות מלאה על ביצוע העבירות והוסיף להשתמש בסמים למרות שהורשע בעבר בעבירות סמים וריצה עונש מאסר בגינן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אם לא די בכך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בתסקיר המשלים שהוגש לקראת הדיון בערעור דווח כי ביום </w:t>
      </w:r>
      <w:r>
        <w:rPr>
          <w:sz w:val="28"/>
        </w:rPr>
        <w:t>5.5.2020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הוגש נגד שמואל כתב אישום בבית משפט השלום ירושלים בגין עבירות שבוצעו ביום </w:t>
      </w:r>
      <w:r>
        <w:rPr>
          <w:sz w:val="28"/>
        </w:rPr>
        <w:t>21.4.2020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לאחר הרשעתו בתיק זה ולפני גזירת דינו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שעניינן ייצוא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ייבוא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מסחר ואספקה של סמים מסוכנים והחזקה ושימוש בסמים מסוכנים שלא לצריכה עצמית</w:t>
      </w:r>
      <w:r>
        <w:rPr>
          <w:sz w:val="28"/>
          <w:rtl w:val="true"/>
        </w:rPr>
        <w:t xml:space="preserve">. 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/>
      </w:pPr>
      <w:r>
        <w:rPr>
          <w:sz w:val="28"/>
          <w:rtl w:val="true"/>
        </w:rPr>
        <w:tab/>
      </w:r>
      <w:r>
        <w:rPr>
          <w:rtl w:val="true"/>
        </w:rPr>
        <w:t xml:space="preserve">מכל </w:t>
      </w:r>
      <w:r>
        <w:rPr>
          <w:sz w:val="28"/>
          <w:sz w:val="28"/>
          <w:rtl w:val="true"/>
        </w:rPr>
        <w:t>הטעמים</w:t>
      </w:r>
      <w:r>
        <w:rPr>
          <w:rtl w:val="true"/>
        </w:rPr>
        <w:t xml:space="preserve"> הללו</w:t>
      </w:r>
      <w:r>
        <w:rPr>
          <w:rtl w:val="true"/>
        </w:rPr>
        <w:t xml:space="preserve">, </w:t>
      </w:r>
      <w:r>
        <w:rPr>
          <w:rtl w:val="true"/>
        </w:rPr>
        <w:t xml:space="preserve">אנו סבורים כי העונש שהשית בית המשפט קמא על שמואל הוא ראוי והולם ולא היינו רואים להתערב בו אלמלא הועמד עונשו של יצחק </w:t>
      </w:r>
      <w:r>
        <w:rPr>
          <w:rtl w:val="true"/>
        </w:rPr>
        <w:t>–</w:t>
      </w:r>
      <w:r>
        <w:rPr>
          <w:rtl w:val="true"/>
        </w:rPr>
        <w:t xml:space="preserve"> לאחר התערבות ערכאת הערעור </w:t>
      </w:r>
      <w:r>
        <w:rPr>
          <w:rtl w:val="true"/>
        </w:rPr>
        <w:t>–</w:t>
      </w:r>
      <w:r>
        <w:rPr>
          <w:rtl w:val="true"/>
        </w:rPr>
        <w:t xml:space="preserve">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בלבד</w:t>
      </w:r>
      <w:r>
        <w:rPr>
          <w:rtl w:val="true"/>
        </w:rPr>
        <w:t xml:space="preserve">, </w:t>
      </w:r>
      <w:r>
        <w:rPr>
          <w:rtl w:val="true"/>
        </w:rPr>
        <w:t>אף שהורשע באותן עבירות שבהן הורשע שמואל וכן בהחזקת סכין במהלך האירוע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 xml:space="preserve">. </w:t>
      </w:r>
      <w:r>
        <w:rPr>
          <w:rtl w:val="true"/>
        </w:rPr>
        <w:t>מטעם זה ומטעם זה בלבד סברנו כי העיקרון בדבר אחידות הענישה מצדיק הפחתה מסויימת בעונשו של שמואל</w:t>
      </w:r>
      <w:r>
        <w:rPr>
          <w:rtl w:val="true"/>
        </w:rPr>
        <w:t xml:space="preserve">. </w:t>
      </w:r>
      <w:r>
        <w:rPr>
          <w:rtl w:val="true"/>
        </w:rPr>
        <w:t xml:space="preserve">על משמעותו של עקרון זה עמד בית המשפט </w:t>
      </w:r>
      <w:r>
        <w:rPr>
          <w:rFonts w:ascii="FrankRuehl" w:hAnsi="FrankRuehl" w:cs="FrankRuehl"/>
          <w:sz w:val="28"/>
          <w:sz w:val="28"/>
          <w:rtl w:val="true"/>
        </w:rPr>
        <w:t>ב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2580/14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b/>
          <w:b/>
          <w:szCs w:val="24"/>
          <w:rtl w:val="true"/>
        </w:rPr>
        <w:t>חסן</w:t>
      </w:r>
      <w:r>
        <w:rPr>
          <w:rFonts w:ascii="Miriam" w:hAnsi="Miriam" w:cs="Miriam"/>
          <w:b/>
          <w:b/>
          <w:sz w:val="22"/>
          <w:sz w:val="22"/>
          <w:szCs w:val="24"/>
          <w:rtl w:val="true"/>
        </w:rPr>
        <w:t xml:space="preserve"> נ</w:t>
      </w:r>
      <w:r>
        <w:rPr>
          <w:rFonts w:cs="Miriam" w:ascii="Miriam" w:hAnsi="Miriam"/>
          <w:b/>
          <w:sz w:val="22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sz w:val="22"/>
          <w:sz w:val="22"/>
          <w:szCs w:val="24"/>
          <w:rtl w:val="true"/>
        </w:rPr>
        <w:t>מדינת ישראל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23.9.2014</w:t>
      </w:r>
      <w:r>
        <w:rPr>
          <w:rtl w:val="true"/>
        </w:rPr>
        <w:t xml:space="preserve">) </w:t>
      </w:r>
      <w:r>
        <w:rPr>
          <w:rtl w:val="true"/>
        </w:rPr>
        <w:t>בציינו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Garamond" w:cs="Garamond" w:ascii="Garamond" w:hAnsi="Garamond"/>
          <w:sz w:val="24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עקרון אחידות הענישה הוא עקרון יסוד במשפט הפלילי אשר נועד להבטיח שוויון בפני החוק ולמנוע שרירות בענישה</w:t>
      </w:r>
      <w:r>
        <w:rPr>
          <w:rFonts w:cs="FrankRuehl" w:ascii="FrankRuehl" w:hAnsi="FrankRuehl"/>
          <w:sz w:val="28"/>
          <w:szCs w:val="28"/>
          <w:rtl w:val="true"/>
        </w:rPr>
        <w:t>...</w:t>
      </w:r>
    </w:p>
    <w:p>
      <w:pPr>
        <w:pStyle w:val="ruller51"/>
        <w:ind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עקרון זה מקבל משנה חשיבות כאשר מדובר בנאשמים שונים המורשעים בגדרה של אותה פרשה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חומרתם או בנסיבותיו האישיות של המבצע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ruller51"/>
        <w:ind w:end="1282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ascii="FrankRuehl" w:hAnsi="FrankRuehl" w:cs="FrankRuehl"/>
            <w:color w:val="0000FF"/>
            <w:sz w:val="36"/>
            <w:sz w:val="36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36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36"/>
            <w:sz w:val="36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36"/>
            <w:szCs w:val="28"/>
            <w:u w:val="single"/>
          </w:rPr>
          <w:t>900/11</w:t>
        </w:r>
      </w:hyperlink>
      <w:r>
        <w:rPr>
          <w:rFonts w:cs="FrankRuehl" w:ascii="FrankRuehl" w:hAnsi="FrankRuehl"/>
          <w:sz w:val="36"/>
          <w:szCs w:val="28"/>
          <w:rtl w:val="true"/>
        </w:rPr>
        <w:t xml:space="preserve"> </w:t>
      </w:r>
      <w:r>
        <w:rPr>
          <w:rFonts w:ascii="Miriam" w:hAnsi="Miriam" w:cs="Miriam"/>
          <w:sz w:val="32"/>
          <w:sz w:val="32"/>
          <w:szCs w:val="24"/>
          <w:rtl w:val="true"/>
        </w:rPr>
        <w:t>רכארדו עטאללה נ</w:t>
      </w:r>
      <w:r>
        <w:rPr>
          <w:rFonts w:cs="Miriam" w:ascii="Miriam" w:hAnsi="Miriam"/>
          <w:sz w:val="32"/>
          <w:szCs w:val="24"/>
          <w:rtl w:val="true"/>
        </w:rPr>
        <w:t xml:space="preserve">' </w:t>
      </w:r>
      <w:r>
        <w:rPr>
          <w:rFonts w:ascii="Miriam" w:hAnsi="Miriam" w:cs="Miriam"/>
          <w:sz w:val="32"/>
          <w:sz w:val="32"/>
          <w:szCs w:val="24"/>
          <w:rtl w:val="true"/>
        </w:rPr>
        <w:t>מדינת ישראל</w:t>
      </w:r>
      <w:r>
        <w:rPr>
          <w:rFonts w:ascii="FrankRuehl" w:hAnsi="FrankRuehl" w:cs="FrankRuehl"/>
          <w:sz w:val="32"/>
          <w:sz w:val="3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36"/>
          <w:szCs w:val="28"/>
          <w:rtl w:val="true"/>
        </w:rPr>
        <w:t>(</w:t>
      </w:r>
      <w:r>
        <w:rPr>
          <w:rFonts w:cs="FrankRuehl" w:ascii="FrankRuehl" w:hAnsi="FrankRuehl"/>
          <w:sz w:val="36"/>
          <w:szCs w:val="28"/>
        </w:rPr>
        <w:t>7.12.2011</w:t>
      </w:r>
      <w:r>
        <w:rPr>
          <w:rFonts w:cs="FrankRuehl" w:ascii="FrankRuehl" w:hAnsi="FrankRuehl"/>
          <w:sz w:val="36"/>
          <w:szCs w:val="28"/>
          <w:rtl w:val="true"/>
        </w:rPr>
        <w:t>)</w:t>
      </w:r>
      <w:r>
        <w:rPr>
          <w:rFonts w:cs="FrankRuehl" w:ascii="FrankRuehl" w:hAnsi="FrankRuehl"/>
          <w:sz w:val="36"/>
          <w:szCs w:val="28"/>
          <w:rtl w:val="true"/>
        </w:rPr>
        <w:t xml:space="preserve">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ואזנה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22.2.2015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8345/15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אוחנה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19.7.2019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Ruller43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Ruller43"/>
        <w:ind w:end="0"/>
        <w:jc w:val="both"/>
        <w:rPr/>
      </w:pPr>
      <w:r>
        <w:rPr>
          <w:rFonts w:eastAsia="Garamond"/>
          <w:rtl w:val="true"/>
        </w:rPr>
        <w:t xml:space="preserve">  </w:t>
      </w: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 ניתן ביטוי ראוי לעקרון אחידות הענישה גם אם מביאים בחשבון את העובדה ששמואל היה מחולל האירוע</w:t>
      </w:r>
      <w:r>
        <w:rPr>
          <w:rtl w:val="true"/>
        </w:rPr>
        <w:t xml:space="preserve">, </w:t>
      </w:r>
      <w:r>
        <w:rPr>
          <w:rtl w:val="true"/>
        </w:rPr>
        <w:t>משום שיצחק הורשע בפרשה זו בגין מעשים דומים לאלה שבהם הורשע שמואל ואף חמורים מהם בשל הרשעתו הנוספת בהחזקת סכין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מצאנו לקבל את ערעורו של שמואל ולהעמיד את עונשו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907" w:leader="none"/>
        </w:tabs>
        <w:spacing w:before="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אנו דוחים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את ערעורו של דוד ומקבלים את ערעורו של שמואל במובן זה שעונש המאסר בפועל של שמואל יועמד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יתר חלקי גזר</w:t>
      </w:r>
      <w:r>
        <w:rPr>
          <w:rtl w:val="true"/>
        </w:rPr>
        <w:t>-</w:t>
      </w:r>
      <w:r>
        <w:rPr>
          <w:rtl w:val="true"/>
        </w:rPr>
        <w:t>דינו יעמדו בעינם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28.1.2021</w:t>
      </w:r>
      <w:r>
        <w:rPr>
          <w:rtl w:val="true"/>
        </w:rPr>
        <w:t xml:space="preserve">). </w:t>
      </w:r>
      <w:bookmarkEnd w:id="16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20035260</w:t>
      </w:r>
      <w:r>
        <w:rPr>
          <w:sz w:val="16"/>
          <w:rtl w:val="true"/>
        </w:rPr>
        <w:t>_</w:t>
      </w:r>
      <w:r>
        <w:rPr>
          <w:sz w:val="16"/>
        </w:rPr>
        <w:t>V04.docx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מ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מזוז </w:t>
      </w:r>
      <w:r>
        <w:rPr>
          <w:rFonts w:cs="David" w:ascii="David" w:hAnsi="David"/>
          <w:color w:val="000000"/>
          <w:szCs w:val="22"/>
        </w:rPr>
        <w:t>54678313-3526/20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ביוםבFrankRuehl">
    <w:altName w:val="Times New Roman"/>
    <w:charset w:val="00" w:characterSet="windows-125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3526/20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זגורי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502" w:hanging="360"/>
      </w:pPr>
      <w:rPr>
        <w:sz w:val="32"/>
        <w:szCs w:val="28"/>
        <w:rFonts w:ascii="FrankRuehl" w:hAnsi="FrankRuehl" w:cs="FrankRuehl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12z0">
    <w:name w:val="WW8Num12z0"/>
    <w:qFormat/>
    <w:rPr>
      <w:rFonts w:ascii="FrankRuehl" w:hAnsi="FrankRuehl" w:cs="FrankRuehl"/>
      <w:sz w:val="32"/>
      <w:szCs w:val="28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/>
    <w:rPr>
      <w:rFonts w:ascii="Garamond" w:hAnsi="Garamond" w:cs="Garamond"/>
      <w:sz w:val="24"/>
    </w:rPr>
  </w:style>
  <w:style w:type="paragraph" w:styleId="ruller51">
    <w:name w:val="ruller51"/>
    <w:basedOn w:val="Normal"/>
    <w:qFormat/>
    <w:pPr>
      <w:ind w:hanging="0" w:start="1642" w:end="1282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2112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case/23421128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case/26151950" TargetMode="External"/><Relationship Id="rId15" Type="http://schemas.openxmlformats.org/officeDocument/2006/relationships/hyperlink" Target="http://www.nevo.co.il/law/70301/186.a" TargetMode="External"/><Relationship Id="rId16" Type="http://schemas.openxmlformats.org/officeDocument/2006/relationships/hyperlink" Target="http://www.nevo.co.il/case/6046145" TargetMode="External"/><Relationship Id="rId17" Type="http://schemas.openxmlformats.org/officeDocument/2006/relationships/hyperlink" Target="http://www.nevo.co.il/case/5585346" TargetMode="External"/><Relationship Id="rId18" Type="http://schemas.openxmlformats.org/officeDocument/2006/relationships/hyperlink" Target="http://www.nevo.co.il/case/5852209" TargetMode="External"/><Relationship Id="rId19" Type="http://schemas.openxmlformats.org/officeDocument/2006/relationships/hyperlink" Target="http://www.nevo.co.il/case/17918261" TargetMode="External"/><Relationship Id="rId20" Type="http://schemas.openxmlformats.org/officeDocument/2006/relationships/hyperlink" Target="http://www.nevo.co.il/case/5590305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case/13104267" TargetMode="External"/><Relationship Id="rId24" Type="http://schemas.openxmlformats.org/officeDocument/2006/relationships/hyperlink" Target="http://www.nevo.co.il/case/5733798" TargetMode="External"/><Relationship Id="rId25" Type="http://schemas.openxmlformats.org/officeDocument/2006/relationships/hyperlink" Target="http://www.nevo.co.il/case/18654248" TargetMode="External"/><Relationship Id="rId26" Type="http://schemas.openxmlformats.org/officeDocument/2006/relationships/hyperlink" Target="http://www.nevo.co.il/case/20787917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2021-01-31T08:54:00Z</dcterms:created>
  <dc:creator>h4</dc:creator>
  <dc:description/>
  <cp:keywords/>
  <dc:language>en-IL</dc:language>
  <cp:lastModifiedBy>orly</cp:lastModifiedBy>
  <cp:lastPrinted>2021-01-28T11:37:00Z</cp:lastPrinted>
  <dcterms:modified xsi:type="dcterms:W3CDTF">2021-01-31T08:54:00Z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זגורי;שמואל זגורי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23421128:2;26151950;6046145;5585346;5852209;17918261;5590305;13104267;5733798;18654248;20787917</vt:lpwstr>
  </property>
  <property fmtid="{D5CDD505-2E9C-101B-9397-08002B2CF9AE}" pid="9" name="CITY">
    <vt:lpwstr/>
  </property>
  <property fmtid="{D5CDD505-2E9C-101B-9397-08002B2CF9AE}" pid="10" name="DATE">
    <vt:lpwstr>20210128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מזוז;א' שטיין;ה א' חיות</vt:lpwstr>
  </property>
  <property fmtid="{D5CDD505-2E9C-101B-9397-08002B2CF9AE}" pid="14" name="LAWLISTTMP1">
    <vt:lpwstr>70301/333;335.a.2;192;186.a;040d</vt:lpwstr>
  </property>
  <property fmtid="{D5CDD505-2E9C-101B-9397-08002B2CF9AE}" pid="15" name="LAWYER">
    <vt:lpwstr>רוני זלושינסקי;ברכה וייס;גיל פרידמן;תומר סעדה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שיקום</vt:lpwstr>
  </property>
  <property fmtid="{D5CDD505-2E9C-101B-9397-08002B2CF9AE}" pid="52" name="NOSE34">
    <vt:lpwstr>מדיניות ענישה: אחדות הענישה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8984;8995;14346;13222</vt:lpwstr>
  </property>
  <property fmtid="{D5CDD505-2E9C-101B-9397-08002B2CF9AE}" pid="59" name="PADIDATE">
    <vt:lpwstr>20210131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3526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410120210128</vt:lpwstr>
  </property>
  <property fmtid="{D5CDD505-2E9C-101B-9397-08002B2CF9AE}" pid="69" name="TYPE_N_DATE">
    <vt:lpwstr>41020210128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