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72"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3541/17</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ע</w:t>
            </w:r>
            <w:r>
              <w:rPr>
                <w:rtl w:val="true"/>
              </w:rPr>
              <w:t xml:space="preserve">' </w:t>
            </w:r>
            <w:r>
              <w:rPr>
                <w:rtl w:val="true"/>
              </w:rPr>
              <w:t>ברון</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י</w:t>
            </w:r>
            <w:r>
              <w:rPr>
                <w:rtl w:val="true"/>
              </w:rPr>
              <w:t xml:space="preserve">' </w:t>
            </w:r>
            <w:r>
              <w:rPr>
                <w:rtl w:val="true"/>
              </w:rPr>
              <w:t>וילנר</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שטיין</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cs="David" w:ascii="David" w:hAnsi="David"/>
                <w:rtl w:val="true"/>
              </w:rPr>
              <w:t>:</w:t>
            </w:r>
          </w:p>
        </w:tc>
        <w:tc>
          <w:tcPr>
            <w:tcW w:w="5154" w:type="dxa"/>
            <w:tcBorders/>
          </w:tcPr>
          <w:p>
            <w:pPr>
              <w:pStyle w:val="BodyRuller1"/>
              <w:ind w:end="0"/>
              <w:jc w:val="start"/>
              <w:rPr/>
            </w:pPr>
            <w:r>
              <w:rPr>
                <w:rtl w:val="true"/>
              </w:rPr>
              <w:t>פלוני</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ה</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tab/>
        <w:tab/>
        <w:t xml:space="preserve">     </w:t>
      </w: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rFonts w:ascii="Century" w:hAnsi="Century" w:cs="Century"/>
                <w:spacing w:val="10"/>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10.10.2016</w:t>
            </w:r>
            <w:r>
              <w:rPr>
                <w:sz w:val="24"/>
                <w:szCs w:val="24"/>
                <w:rtl w:val="true"/>
              </w:rPr>
              <w:t xml:space="preserve"> </w:t>
            </w:r>
            <w:r>
              <w:rPr>
                <w:sz w:val="24"/>
                <w:sz w:val="24"/>
                <w:szCs w:val="24"/>
                <w:rtl w:val="true"/>
              </w:rPr>
              <w:t>ועל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מ</w:t>
            </w:r>
            <w:r>
              <w:rPr>
                <w:sz w:val="24"/>
                <w:sz w:val="24"/>
                <w:szCs w:val="24"/>
                <w:rtl w:val="true"/>
              </w:rPr>
              <w:t>יום</w:t>
            </w:r>
            <w:r>
              <w:rPr>
                <w:rFonts w:cs="Times New Roman"/>
                <w:sz w:val="24"/>
                <w:sz w:val="24"/>
                <w:szCs w:val="24"/>
                <w:rtl w:val="true"/>
              </w:rPr>
              <w:t xml:space="preserve"> </w:t>
            </w:r>
            <w:r>
              <w:rPr>
                <w:sz w:val="24"/>
                <w:szCs w:val="24"/>
              </w:rPr>
              <w:t>8.1.2017</w:t>
            </w:r>
            <w:r>
              <w:rPr>
                <w:sz w:val="24"/>
                <w:szCs w:val="24"/>
                <w:rtl w:val="true"/>
              </w:rPr>
              <w:t xml:space="preserve"> </w:t>
            </w:r>
            <w:r>
              <w:rPr>
                <w:sz w:val="24"/>
                <w:sz w:val="24"/>
                <w:szCs w:val="24"/>
                <w:rtl w:val="true"/>
              </w:rPr>
              <w:t>שניתנו</w:t>
            </w:r>
            <w:r>
              <w:rPr>
                <w:rFonts w:cs="Times New Roman"/>
                <w:sz w:val="24"/>
                <w:sz w:val="24"/>
                <w:szCs w:val="24"/>
                <w:rtl w:val="true"/>
              </w:rPr>
              <w:t xml:space="preserve"> </w:t>
            </w:r>
            <w:r>
              <w:rPr>
                <w:sz w:val="24"/>
                <w:sz w:val="24"/>
                <w:szCs w:val="24"/>
                <w:rtl w:val="true"/>
              </w:rPr>
              <w:t>בבית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ירושלים</w:t>
            </w:r>
            <w:r>
              <w:rPr>
                <w:rFonts w:cs="Times New Roman"/>
                <w:sz w:val="24"/>
                <w:sz w:val="24"/>
                <w:szCs w:val="24"/>
                <w:rtl w:val="true"/>
              </w:rPr>
              <w:t xml:space="preserve"> </w:t>
            </w:r>
            <w:r>
              <w:rPr>
                <w:sz w:val="24"/>
                <w:sz w:val="24"/>
                <w:szCs w:val="24"/>
                <w:rtl w:val="true"/>
              </w:rPr>
              <w:t>ב</w:t>
            </w:r>
            <w:r>
              <w:rPr>
                <w:sz w:val="24"/>
                <w:sz w:val="24"/>
                <w:szCs w:val="24"/>
                <w:rtl w:val="true"/>
              </w:rPr>
              <w:t>תפ</w:t>
            </w:r>
            <w:r>
              <w:rPr>
                <w:sz w:val="24"/>
                <w:szCs w:val="24"/>
                <w:rtl w:val="true"/>
              </w:rPr>
              <w:t>"</w:t>
            </w:r>
            <w:r>
              <w:rPr>
                <w:sz w:val="24"/>
                <w:sz w:val="24"/>
                <w:szCs w:val="24"/>
                <w:rtl w:val="true"/>
              </w:rPr>
              <w:t>ח</w:t>
            </w:r>
            <w:r>
              <w:rPr>
                <w:rFonts w:cs="Times New Roman"/>
                <w:sz w:val="24"/>
                <w:sz w:val="24"/>
                <w:szCs w:val="24"/>
                <w:rtl w:val="true"/>
              </w:rPr>
              <w:t xml:space="preserve"> </w:t>
            </w:r>
            <w:r>
              <w:rPr>
                <w:sz w:val="24"/>
                <w:szCs w:val="24"/>
              </w:rPr>
              <w:t>53400-06-14</w:t>
            </w:r>
            <w:r>
              <w:rPr>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השופטים</w:t>
            </w:r>
            <w:r>
              <w:rPr>
                <w:rFonts w:cs="Times New Roman"/>
                <w:sz w:val="24"/>
                <w:sz w:val="24"/>
                <w:szCs w:val="24"/>
                <w:rtl w:val="true"/>
              </w:rPr>
              <w:t xml:space="preserve"> </w:t>
            </w:r>
            <w:r>
              <w:rPr>
                <w:sz w:val="24"/>
                <w:sz w:val="24"/>
                <w:szCs w:val="24"/>
                <w:rtl w:val="true"/>
              </w:rPr>
              <w:t>ר</w:t>
            </w:r>
            <w:r>
              <w:rPr>
                <w:sz w:val="24"/>
                <w:szCs w:val="24"/>
                <w:rtl w:val="true"/>
              </w:rPr>
              <w:t>'</w:t>
            </w:r>
            <w:r>
              <w:rPr>
                <w:sz w:val="24"/>
                <w:szCs w:val="24"/>
                <w:rtl w:val="true"/>
              </w:rPr>
              <w:t xml:space="preserve"> </w:t>
            </w:r>
            <w:r>
              <w:rPr>
                <w:sz w:val="24"/>
                <w:sz w:val="24"/>
                <w:szCs w:val="24"/>
                <w:rtl w:val="true"/>
              </w:rPr>
              <w:t>כרמל</w:t>
            </w:r>
            <w:r>
              <w:rPr>
                <w:sz w:val="24"/>
                <w:szCs w:val="24"/>
                <w:rtl w:val="true"/>
              </w:rPr>
              <w:t xml:space="preserve">, </w:t>
            </w:r>
            <w:r>
              <w:rPr>
                <w:sz w:val="24"/>
                <w:sz w:val="24"/>
                <w:szCs w:val="24"/>
                <w:rtl w:val="true"/>
              </w:rPr>
              <w:t>כ</w:t>
            </w:r>
            <w:r>
              <w:rPr>
                <w:sz w:val="24"/>
                <w:szCs w:val="24"/>
                <w:rtl w:val="true"/>
              </w:rPr>
              <w:t xml:space="preserve">' </w:t>
            </w:r>
            <w:r>
              <w:rPr>
                <w:sz w:val="24"/>
                <w:sz w:val="24"/>
                <w:szCs w:val="24"/>
                <w:rtl w:val="true"/>
              </w:rPr>
              <w:t>מוסק</w:t>
            </w:r>
            <w:r>
              <w:rPr>
                <w:rFonts w:cs="Times New Roman"/>
                <w:sz w:val="24"/>
                <w:sz w:val="24"/>
                <w:szCs w:val="24"/>
                <w:rtl w:val="true"/>
              </w:rPr>
              <w:t xml:space="preserve"> </w:t>
            </w:r>
            <w:r>
              <w:rPr>
                <w:sz w:val="24"/>
                <w:sz w:val="24"/>
                <w:szCs w:val="24"/>
                <w:rtl w:val="true"/>
              </w:rPr>
              <w:t>וש</w:t>
            </w:r>
            <w:r>
              <w:rPr>
                <w:sz w:val="24"/>
                <w:szCs w:val="24"/>
                <w:rtl w:val="true"/>
              </w:rPr>
              <w:t xml:space="preserve">' </w:t>
            </w:r>
            <w:r>
              <w:rPr>
                <w:sz w:val="24"/>
                <w:sz w:val="24"/>
                <w:szCs w:val="24"/>
                <w:rtl w:val="true"/>
              </w:rPr>
              <w:t>רנר</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י</w:t>
            </w:r>
            <w:r>
              <w:rPr>
                <w:sz w:val="24"/>
                <w:szCs w:val="24"/>
                <w:rtl w:val="true"/>
              </w:rPr>
              <w:t>"</w:t>
            </w:r>
            <w:r>
              <w:rPr>
                <w:sz w:val="24"/>
                <w:sz w:val="24"/>
                <w:szCs w:val="24"/>
                <w:rtl w:val="true"/>
              </w:rPr>
              <w:t>א</w:t>
            </w:r>
            <w:r>
              <w:rPr>
                <w:rFonts w:cs="Times New Roman"/>
                <w:sz w:val="24"/>
                <w:sz w:val="24"/>
                <w:szCs w:val="24"/>
                <w:rtl w:val="true"/>
              </w:rPr>
              <w:t xml:space="preserve"> </w:t>
            </w:r>
            <w:r>
              <w:rPr>
                <w:sz w:val="24"/>
                <w:sz w:val="24"/>
                <w:szCs w:val="24"/>
                <w:rtl w:val="true"/>
              </w:rPr>
              <w:t>בשבט</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ט</w:t>
            </w:r>
          </w:p>
        </w:tc>
        <w:tc>
          <w:tcPr>
            <w:tcW w:w="2710" w:type="dxa"/>
            <w:tcBorders/>
          </w:tcPr>
          <w:p>
            <w:pPr>
              <w:pStyle w:val="BodyRuller1"/>
              <w:ind w:end="0"/>
              <w:jc w:val="start"/>
              <w:rPr>
                <w:sz w:val="24"/>
                <w:szCs w:val="24"/>
              </w:rPr>
            </w:pPr>
            <w:r>
              <w:rPr>
                <w:rtl w:val="true"/>
              </w:rPr>
              <w:t>(</w:t>
            </w:r>
            <w:r>
              <w:rPr/>
              <w:t>17.01.2019</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1"/>
        <w:gridCol w:w="5152"/>
      </w:tblGrid>
      <w:tr>
        <w:trPr/>
        <w:tc>
          <w:tcPr>
            <w:tcW w:w="3211" w:type="dxa"/>
            <w:tcBorders/>
          </w:tcPr>
          <w:p>
            <w:pPr>
              <w:pStyle w:val="BodyRuller1"/>
              <w:ind w:end="0"/>
              <w:jc w:val="start"/>
              <w:rPr>
                <w:sz w:val="28"/>
              </w:rPr>
            </w:pPr>
            <w:r>
              <w:rPr>
                <w:sz w:val="28"/>
                <w:sz w:val="28"/>
                <w:rtl w:val="true"/>
              </w:rPr>
              <w:t>בשם</w:t>
            </w:r>
            <w:r>
              <w:rPr>
                <w:rFonts w:cs="Times New Roman"/>
                <w:sz w:val="28"/>
                <w:sz w:val="28"/>
                <w:rtl w:val="true"/>
              </w:rPr>
              <w:t xml:space="preserve"> </w:t>
            </w:r>
            <w:r>
              <w:rPr>
                <w:sz w:val="28"/>
                <w:sz w:val="28"/>
                <w:rtl w:val="true"/>
              </w:rPr>
              <w:t>המערער</w:t>
            </w:r>
            <w:r>
              <w:rPr>
                <w:sz w:val="28"/>
                <w:rtl w:val="true"/>
              </w:rPr>
              <w:t>:</w:t>
            </w:r>
          </w:p>
        </w:tc>
        <w:tc>
          <w:tcPr>
            <w:tcW w:w="5152" w:type="dxa"/>
            <w:tcBorders/>
          </w:tcPr>
          <w:p>
            <w:pPr>
              <w:pStyle w:val="BodyRuller1"/>
              <w:ind w:end="0"/>
              <w:jc w:val="start"/>
              <w:rPr>
                <w:sz w:val="28"/>
              </w:rPr>
            </w:pPr>
            <w:r>
              <w:rPr>
                <w:sz w:val="28"/>
                <w:sz w:val="28"/>
                <w:rtl w:val="true"/>
              </w:rPr>
              <w:t>עו</w:t>
            </w:r>
            <w:r>
              <w:rPr>
                <w:sz w:val="28"/>
                <w:rtl w:val="true"/>
              </w:rPr>
              <w:t>"</w:t>
            </w:r>
            <w:r>
              <w:rPr>
                <w:sz w:val="28"/>
                <w:sz w:val="28"/>
                <w:rtl w:val="true"/>
              </w:rPr>
              <w:t>ד</w:t>
            </w:r>
            <w:r>
              <w:rPr>
                <w:rFonts w:cs="Times New Roman"/>
                <w:sz w:val="28"/>
                <w:sz w:val="28"/>
                <w:rtl w:val="true"/>
              </w:rPr>
              <w:t xml:space="preserve"> </w:t>
            </w:r>
            <w:r>
              <w:rPr>
                <w:sz w:val="28"/>
                <w:sz w:val="28"/>
                <w:rtl w:val="true"/>
              </w:rPr>
              <w:t>גד</w:t>
            </w:r>
            <w:r>
              <w:rPr>
                <w:rFonts w:cs="Times New Roman"/>
                <w:sz w:val="28"/>
                <w:sz w:val="28"/>
                <w:rtl w:val="true"/>
              </w:rPr>
              <w:t xml:space="preserve"> </w:t>
            </w:r>
            <w:r>
              <w:rPr>
                <w:sz w:val="28"/>
                <w:sz w:val="28"/>
                <w:rtl w:val="true"/>
              </w:rPr>
              <w:t>זילברשלג</w:t>
            </w:r>
            <w:r>
              <w:rPr>
                <w:sz w:val="28"/>
                <w:rtl w:val="true"/>
              </w:rPr>
              <w:t xml:space="preserve">; </w:t>
            </w:r>
            <w:r>
              <w:rPr>
                <w:sz w:val="28"/>
                <w:sz w:val="28"/>
                <w:rtl w:val="true"/>
              </w:rPr>
              <w:t>עו</w:t>
            </w:r>
            <w:r>
              <w:rPr>
                <w:sz w:val="28"/>
                <w:rtl w:val="true"/>
              </w:rPr>
              <w:t>"</w:t>
            </w:r>
            <w:r>
              <w:rPr>
                <w:sz w:val="28"/>
                <w:sz w:val="28"/>
                <w:rtl w:val="true"/>
              </w:rPr>
              <w:t>ד</w:t>
            </w:r>
            <w:r>
              <w:rPr>
                <w:rFonts w:cs="Times New Roman"/>
                <w:sz w:val="28"/>
                <w:sz w:val="28"/>
                <w:rtl w:val="true"/>
              </w:rPr>
              <w:t xml:space="preserve"> </w:t>
            </w:r>
            <w:r>
              <w:rPr>
                <w:sz w:val="28"/>
                <w:sz w:val="28"/>
                <w:rtl w:val="true"/>
              </w:rPr>
              <w:t>ליאור</w:t>
            </w:r>
            <w:r>
              <w:rPr>
                <w:rFonts w:cs="Times New Roman"/>
                <w:sz w:val="28"/>
                <w:sz w:val="28"/>
                <w:rtl w:val="true"/>
              </w:rPr>
              <w:t xml:space="preserve"> </w:t>
            </w:r>
            <w:r>
              <w:rPr>
                <w:sz w:val="28"/>
                <w:sz w:val="28"/>
                <w:rtl w:val="true"/>
              </w:rPr>
              <w:t>בר</w:t>
            </w:r>
            <w:r>
              <w:rPr>
                <w:rFonts w:cs="Times New Roman"/>
                <w:sz w:val="28"/>
                <w:sz w:val="28"/>
                <w:rtl w:val="true"/>
              </w:rPr>
              <w:t xml:space="preserve"> </w:t>
            </w:r>
            <w:r>
              <w:rPr>
                <w:sz w:val="28"/>
                <w:sz w:val="28"/>
                <w:rtl w:val="true"/>
              </w:rPr>
              <w:t>ניר</w:t>
            </w:r>
          </w:p>
        </w:tc>
      </w:tr>
    </w:tbl>
    <w:p>
      <w:pPr>
        <w:pStyle w:val="Ruller31"/>
        <w:ind w:end="0"/>
        <w:jc w:val="start"/>
        <w:rPr>
          <w:sz w:val="28"/>
        </w:rPr>
      </w:pPr>
      <w:r>
        <w:rPr>
          <w:sz w:val="28"/>
          <w:rtl w:val="true"/>
        </w:rPr>
      </w:r>
    </w:p>
    <w:tbl>
      <w:tblPr>
        <w:bidiVisual w:val="true"/>
        <w:tblW w:w="8363" w:type="dxa"/>
        <w:jc w:val="start"/>
        <w:tblInd w:w="138" w:type="dxa"/>
        <w:tblLayout w:type="fixed"/>
        <w:tblCellMar>
          <w:top w:w="0" w:type="dxa"/>
          <w:start w:w="108" w:type="dxa"/>
          <w:bottom w:w="0" w:type="dxa"/>
          <w:end w:w="108" w:type="dxa"/>
        </w:tblCellMar>
      </w:tblPr>
      <w:tblGrid>
        <w:gridCol w:w="3212"/>
        <w:gridCol w:w="5151"/>
      </w:tblGrid>
      <w:tr>
        <w:trPr/>
        <w:tc>
          <w:tcPr>
            <w:tcW w:w="3212" w:type="dxa"/>
            <w:tcBorders/>
          </w:tcPr>
          <w:p>
            <w:pPr>
              <w:pStyle w:val="BodyRuller1"/>
              <w:ind w:end="0"/>
              <w:jc w:val="start"/>
              <w:rPr>
                <w:sz w:val="28"/>
              </w:rPr>
            </w:pPr>
            <w:bookmarkStart w:id="4" w:name="FirstLawyer"/>
            <w:bookmarkEnd w:id="4"/>
            <w:r>
              <w:rPr>
                <w:sz w:val="28"/>
                <w:sz w:val="28"/>
                <w:rtl w:val="true"/>
              </w:rPr>
              <w:t>בשם</w:t>
            </w:r>
            <w:r>
              <w:rPr>
                <w:rFonts w:cs="Times New Roman"/>
                <w:sz w:val="28"/>
                <w:sz w:val="28"/>
                <w:rtl w:val="true"/>
              </w:rPr>
              <w:t xml:space="preserve"> </w:t>
            </w:r>
            <w:r>
              <w:rPr>
                <w:sz w:val="28"/>
                <w:sz w:val="28"/>
                <w:rtl w:val="true"/>
              </w:rPr>
              <w:t>המשיב</w:t>
            </w:r>
            <w:r>
              <w:rPr>
                <w:sz w:val="28"/>
                <w:sz w:val="28"/>
                <w:rtl w:val="true"/>
              </w:rPr>
              <w:t>ה</w:t>
            </w:r>
            <w:r>
              <w:rPr>
                <w:sz w:val="28"/>
                <w:rtl w:val="true"/>
              </w:rPr>
              <w:t>:</w:t>
            </w:r>
          </w:p>
        </w:tc>
        <w:tc>
          <w:tcPr>
            <w:tcW w:w="5151" w:type="dxa"/>
            <w:tcBorders/>
          </w:tcPr>
          <w:p>
            <w:pPr>
              <w:pStyle w:val="BodyRuller1"/>
              <w:ind w:end="0"/>
              <w:jc w:val="start"/>
              <w:rPr>
                <w:sz w:val="28"/>
              </w:rPr>
            </w:pPr>
            <w:r>
              <w:rPr>
                <w:sz w:val="28"/>
                <w:sz w:val="28"/>
                <w:rtl w:val="true"/>
              </w:rPr>
              <w:t>עו</w:t>
            </w:r>
            <w:r>
              <w:rPr>
                <w:sz w:val="28"/>
                <w:rtl w:val="true"/>
              </w:rPr>
              <w:t>"</w:t>
            </w:r>
            <w:r>
              <w:rPr>
                <w:sz w:val="28"/>
                <w:sz w:val="28"/>
                <w:rtl w:val="true"/>
              </w:rPr>
              <w:t>ד</w:t>
            </w:r>
            <w:r>
              <w:rPr>
                <w:rFonts w:cs="Times New Roman"/>
                <w:sz w:val="28"/>
                <w:sz w:val="28"/>
                <w:rtl w:val="true"/>
              </w:rPr>
              <w:t xml:space="preserve"> </w:t>
            </w:r>
            <w:r>
              <w:rPr>
                <w:sz w:val="28"/>
                <w:sz w:val="28"/>
                <w:rtl w:val="true"/>
              </w:rPr>
              <w:t>מירי</w:t>
            </w:r>
            <w:r>
              <w:rPr>
                <w:rFonts w:cs="Times New Roman"/>
                <w:sz w:val="28"/>
                <w:sz w:val="28"/>
                <w:rtl w:val="true"/>
              </w:rPr>
              <w:t xml:space="preserve"> </w:t>
            </w:r>
            <w:r>
              <w:rPr>
                <w:sz w:val="28"/>
                <w:sz w:val="28"/>
                <w:rtl w:val="true"/>
              </w:rPr>
              <w:t>קולומבוס</w:t>
            </w:r>
          </w:p>
          <w:p>
            <w:pPr>
              <w:pStyle w:val="BodyRuller1"/>
              <w:ind w:end="0"/>
              <w:jc w:val="start"/>
              <w:rPr>
                <w:sz w:val="28"/>
              </w:rPr>
            </w:pPr>
            <w:r>
              <w:rPr>
                <w:sz w:val="28"/>
                <w:rtl w:val="true"/>
              </w:rPr>
            </w:r>
          </w:p>
        </w:tc>
      </w:tr>
    </w:tbl>
    <w:p>
      <w:pPr>
        <w:pStyle w:val="DocumentHead"/>
        <w:ind w:end="0"/>
        <w:jc w:val="center"/>
        <w:rPr>
          <w:bCs w:val="false"/>
          <w:u w:val="none"/>
        </w:rPr>
      </w:pPr>
      <w:r>
        <w:rPr>
          <w:bCs w:val="false"/>
          <w:u w:val="none"/>
          <w:rtl w:val="true"/>
        </w:rPr>
      </w:r>
      <w:bookmarkStart w:id="5" w:name="BeginProtocol"/>
      <w:bookmarkStart w:id="6" w:name="secretary"/>
      <w:bookmarkStart w:id="7" w:name="BeginProtocol"/>
      <w:bookmarkStart w:id="8" w:name="secretary"/>
      <w:bookmarkEnd w:id="7"/>
      <w:bookmarkEnd w:id="8"/>
    </w:p>
    <w:p>
      <w:pPr>
        <w:pStyle w:val="DocumentHead"/>
        <w:spacing w:lineRule="exact" w:line="240" w:before="0" w:after="120"/>
        <w:ind w:hanging="283" w:start="283" w:end="0"/>
        <w:jc w:val="both"/>
        <w:rPr>
          <w:rFonts w:ascii="FrankRuehl" w:hAnsi="FrankRuehl" w:cs="FrankRuehl"/>
          <w:bCs w:val="false"/>
          <w:spacing w:val="0"/>
          <w:sz w:val="24"/>
          <w:szCs w:val="24"/>
          <w:u w:val="none"/>
        </w:rPr>
      </w:pPr>
      <w:bookmarkStart w:id="9" w:name="LawTable"/>
      <w:bookmarkEnd w:id="9"/>
      <w:r>
        <w:rPr>
          <w:rFonts w:ascii="FrankRuehl" w:hAnsi="FrankRuehl" w:cs="FrankRuehl"/>
          <w:bCs w:val="false"/>
          <w:spacing w:val="0"/>
          <w:sz w:val="24"/>
          <w:sz w:val="24"/>
          <w:szCs w:val="24"/>
          <w:u w:val="none"/>
          <w:rtl w:val="true"/>
        </w:rPr>
        <w:t>חקיקה שאוזכרה</w:t>
      </w:r>
      <w:r>
        <w:rPr>
          <w:rFonts w:cs="FrankRuehl" w:ascii="FrankRuehl" w:hAnsi="FrankRuehl"/>
          <w:bCs w:val="false"/>
          <w:spacing w:val="0"/>
          <w:sz w:val="24"/>
          <w:szCs w:val="24"/>
          <w:u w:val="none"/>
          <w:rtl w:val="true"/>
        </w:rPr>
        <w:t xml:space="preserve">: </w:t>
      </w:r>
    </w:p>
    <w:p>
      <w:pPr>
        <w:pStyle w:val="DocumentHead"/>
        <w:spacing w:lineRule="exact" w:line="240" w:before="0" w:after="120"/>
        <w:ind w:hanging="283" w:start="283" w:end="0"/>
        <w:jc w:val="both"/>
        <w:rPr>
          <w:rFonts w:ascii="FrankRuehl" w:hAnsi="FrankRuehl" w:cs="FrankRuehl"/>
          <w:bCs w:val="false"/>
          <w:spacing w:val="0"/>
          <w:sz w:val="24"/>
          <w:szCs w:val="24"/>
          <w:u w:val="none"/>
        </w:rPr>
      </w:pPr>
      <w:hyperlink r:id="rId2">
        <w:r>
          <w:rPr>
            <w:rStyle w:val="Hyperlink"/>
            <w:rFonts w:ascii="FrankRuehl" w:hAnsi="FrankRuehl" w:cs="FrankRuehl"/>
            <w:bCs w:val="false"/>
            <w:color w:val="0000FF"/>
            <w:spacing w:val="0"/>
            <w:sz w:val="24"/>
            <w:sz w:val="24"/>
            <w:szCs w:val="24"/>
            <w:rtl w:val="true"/>
          </w:rPr>
          <w:t>חוק העונשין</w:t>
        </w:r>
        <w:r>
          <w:rPr>
            <w:rStyle w:val="Hyperlink"/>
            <w:rFonts w:cs="FrankRuehl" w:ascii="FrankRuehl" w:hAnsi="FrankRuehl"/>
            <w:bCs w:val="false"/>
            <w:color w:val="0000FF"/>
            <w:spacing w:val="0"/>
            <w:sz w:val="24"/>
            <w:szCs w:val="24"/>
            <w:rtl w:val="true"/>
          </w:rPr>
          <w:t xml:space="preserve">, </w:t>
        </w:r>
        <w:r>
          <w:rPr>
            <w:rStyle w:val="Hyperlink"/>
            <w:rFonts w:ascii="FrankRuehl" w:hAnsi="FrankRuehl" w:cs="FrankRuehl"/>
            <w:bCs w:val="false"/>
            <w:color w:val="0000FF"/>
            <w:spacing w:val="0"/>
            <w:sz w:val="24"/>
            <w:sz w:val="24"/>
            <w:szCs w:val="24"/>
            <w:rtl w:val="true"/>
          </w:rPr>
          <w:t>תשל</w:t>
        </w:r>
        <w:r>
          <w:rPr>
            <w:rStyle w:val="Hyperlink"/>
            <w:rFonts w:cs="FrankRuehl" w:ascii="FrankRuehl" w:hAnsi="FrankRuehl"/>
            <w:bCs w:val="false"/>
            <w:color w:val="0000FF"/>
            <w:spacing w:val="0"/>
            <w:sz w:val="24"/>
            <w:szCs w:val="24"/>
            <w:rtl w:val="true"/>
          </w:rPr>
          <w:t>"</w:t>
        </w:r>
        <w:r>
          <w:rPr>
            <w:rStyle w:val="Hyperlink"/>
            <w:rFonts w:ascii="FrankRuehl" w:hAnsi="FrankRuehl" w:cs="FrankRuehl"/>
            <w:bCs w:val="false"/>
            <w:color w:val="0000FF"/>
            <w:spacing w:val="0"/>
            <w:sz w:val="24"/>
            <w:sz w:val="24"/>
            <w:szCs w:val="24"/>
            <w:rtl w:val="true"/>
          </w:rPr>
          <w:t>ז</w:t>
        </w:r>
        <w:r>
          <w:rPr>
            <w:rStyle w:val="Hyperlink"/>
            <w:rFonts w:cs="FrankRuehl" w:ascii="FrankRuehl" w:hAnsi="FrankRuehl"/>
            <w:bCs w:val="false"/>
            <w:color w:val="0000FF"/>
            <w:spacing w:val="0"/>
            <w:sz w:val="24"/>
            <w:szCs w:val="24"/>
            <w:rtl w:val="true"/>
          </w:rPr>
          <w:t>-</w:t>
        </w:r>
        <w:r>
          <w:rPr>
            <w:rStyle w:val="Hyperlink"/>
            <w:rFonts w:cs="FrankRuehl" w:ascii="FrankRuehl" w:hAnsi="FrankRuehl"/>
            <w:bCs w:val="false"/>
            <w:color w:val="0000FF"/>
            <w:spacing w:val="0"/>
            <w:sz w:val="24"/>
            <w:szCs w:val="24"/>
          </w:rPr>
          <w:t>1977</w:t>
        </w:r>
      </w:hyperlink>
      <w:r>
        <w:rPr>
          <w:rFonts w:cs="FrankRuehl" w:ascii="FrankRuehl" w:hAnsi="FrankRuehl"/>
          <w:bCs w:val="false"/>
          <w:spacing w:val="0"/>
          <w:sz w:val="24"/>
          <w:szCs w:val="24"/>
          <w:u w:val="none"/>
          <w:rtl w:val="true"/>
        </w:rPr>
        <w:t xml:space="preserve">: </w:t>
      </w:r>
      <w:r>
        <w:rPr>
          <w:rFonts w:ascii="FrankRuehl" w:hAnsi="FrankRuehl" w:cs="FrankRuehl"/>
          <w:bCs w:val="false"/>
          <w:spacing w:val="0"/>
          <w:sz w:val="24"/>
          <w:sz w:val="24"/>
          <w:szCs w:val="24"/>
          <w:u w:val="none"/>
          <w:rtl w:val="true"/>
        </w:rPr>
        <w:t>סע</w:t>
      </w:r>
      <w:r>
        <w:rPr>
          <w:rFonts w:cs="FrankRuehl" w:ascii="FrankRuehl" w:hAnsi="FrankRuehl"/>
          <w:bCs w:val="false"/>
          <w:spacing w:val="0"/>
          <w:sz w:val="24"/>
          <w:szCs w:val="24"/>
          <w:u w:val="none"/>
          <w:rtl w:val="true"/>
        </w:rPr>
        <w:t xml:space="preserve">'  </w:t>
      </w:r>
      <w:hyperlink r:id="rId3">
        <w:r>
          <w:rPr>
            <w:rStyle w:val="Hyperlink"/>
            <w:rFonts w:cs="FrankRuehl" w:ascii="FrankRuehl" w:hAnsi="FrankRuehl"/>
            <w:bCs w:val="false"/>
            <w:color w:val="0000FF"/>
            <w:spacing w:val="0"/>
            <w:sz w:val="24"/>
            <w:szCs w:val="24"/>
          </w:rPr>
          <w:t>40</w:t>
        </w:r>
        <w:r>
          <w:rPr>
            <w:rStyle w:val="Hyperlink"/>
            <w:rFonts w:ascii="FrankRuehl" w:hAnsi="FrankRuehl" w:cs="FrankRuehl"/>
            <w:bCs w:val="false"/>
            <w:color w:val="0000FF"/>
            <w:spacing w:val="0"/>
            <w:sz w:val="24"/>
            <w:sz w:val="24"/>
            <w:szCs w:val="24"/>
            <w:rtl w:val="true"/>
          </w:rPr>
          <w:t>ד</w:t>
        </w:r>
      </w:hyperlink>
      <w:r>
        <w:rPr>
          <w:rFonts w:cs="FrankRuehl" w:ascii="FrankRuehl" w:hAnsi="FrankRuehl"/>
          <w:bCs w:val="false"/>
          <w:spacing w:val="0"/>
          <w:sz w:val="24"/>
          <w:szCs w:val="24"/>
          <w:u w:val="none"/>
          <w:rtl w:val="true"/>
        </w:rPr>
        <w:t xml:space="preserve">, </w:t>
      </w:r>
      <w:hyperlink r:id="rId4">
        <w:r>
          <w:rPr>
            <w:rStyle w:val="Hyperlink"/>
            <w:rFonts w:cs="FrankRuehl" w:ascii="FrankRuehl" w:hAnsi="FrankRuehl"/>
            <w:bCs w:val="false"/>
            <w:color w:val="0000FF"/>
            <w:spacing w:val="0"/>
            <w:sz w:val="24"/>
            <w:szCs w:val="24"/>
          </w:rPr>
          <w:t>40</w:t>
        </w:r>
        <w:r>
          <w:rPr>
            <w:rStyle w:val="Hyperlink"/>
            <w:rFonts w:ascii="FrankRuehl" w:hAnsi="FrankRuehl" w:cs="FrankRuehl"/>
            <w:bCs w:val="false"/>
            <w:color w:val="0000FF"/>
            <w:spacing w:val="0"/>
            <w:sz w:val="24"/>
            <w:sz w:val="24"/>
            <w:szCs w:val="24"/>
            <w:rtl w:val="true"/>
          </w:rPr>
          <w:t>ד</w:t>
        </w:r>
        <w:r>
          <w:rPr>
            <w:rStyle w:val="Hyperlink"/>
            <w:rFonts w:cs="FrankRuehl" w:ascii="FrankRuehl" w:hAnsi="FrankRuehl"/>
            <w:bCs w:val="false"/>
            <w:color w:val="0000FF"/>
            <w:spacing w:val="0"/>
            <w:sz w:val="24"/>
            <w:szCs w:val="24"/>
            <w:rtl w:val="true"/>
          </w:rPr>
          <w:t>(</w:t>
        </w:r>
        <w:r>
          <w:rPr>
            <w:rStyle w:val="Hyperlink"/>
            <w:rFonts w:ascii="FrankRuehl" w:hAnsi="FrankRuehl" w:cs="FrankRuehl"/>
            <w:bCs w:val="false"/>
            <w:color w:val="0000FF"/>
            <w:spacing w:val="0"/>
            <w:sz w:val="24"/>
            <w:sz w:val="24"/>
            <w:szCs w:val="24"/>
            <w:rtl w:val="true"/>
          </w:rPr>
          <w:t>ב</w:t>
        </w:r>
        <w:r>
          <w:rPr>
            <w:rStyle w:val="Hyperlink"/>
            <w:rFonts w:cs="FrankRuehl" w:ascii="FrankRuehl" w:hAnsi="FrankRuehl"/>
            <w:bCs w:val="false"/>
            <w:color w:val="0000FF"/>
            <w:spacing w:val="0"/>
            <w:sz w:val="24"/>
            <w:szCs w:val="24"/>
            <w:rtl w:val="true"/>
          </w:rPr>
          <w:t>)</w:t>
        </w:r>
      </w:hyperlink>
      <w:r>
        <w:rPr>
          <w:rFonts w:cs="FrankRuehl" w:ascii="FrankRuehl" w:hAnsi="FrankRuehl"/>
          <w:bCs w:val="false"/>
          <w:spacing w:val="0"/>
          <w:sz w:val="24"/>
          <w:szCs w:val="24"/>
          <w:u w:val="none"/>
          <w:rtl w:val="true"/>
        </w:rPr>
        <w:t xml:space="preserve">, </w:t>
      </w:r>
      <w:hyperlink r:id="rId5">
        <w:r>
          <w:rPr>
            <w:rStyle w:val="Hyperlink"/>
            <w:rFonts w:cs="FrankRuehl" w:ascii="FrankRuehl" w:hAnsi="FrankRuehl"/>
            <w:bCs w:val="false"/>
            <w:color w:val="0000FF"/>
            <w:spacing w:val="0"/>
            <w:sz w:val="24"/>
            <w:szCs w:val="24"/>
          </w:rPr>
          <w:t>345</w:t>
        </w:r>
        <w:r>
          <w:rPr>
            <w:rStyle w:val="Hyperlink"/>
            <w:rFonts w:cs="FrankRuehl" w:ascii="FrankRuehl" w:hAnsi="FrankRuehl"/>
            <w:bCs w:val="false"/>
            <w:color w:val="0000FF"/>
            <w:spacing w:val="0"/>
            <w:sz w:val="24"/>
            <w:szCs w:val="24"/>
            <w:rtl w:val="true"/>
          </w:rPr>
          <w:t>(</w:t>
        </w:r>
        <w:r>
          <w:rPr>
            <w:rStyle w:val="Hyperlink"/>
            <w:rFonts w:ascii="FrankRuehl" w:hAnsi="FrankRuehl" w:cs="FrankRuehl"/>
            <w:bCs w:val="false"/>
            <w:color w:val="0000FF"/>
            <w:spacing w:val="0"/>
            <w:sz w:val="24"/>
            <w:sz w:val="24"/>
            <w:szCs w:val="24"/>
            <w:rtl w:val="true"/>
          </w:rPr>
          <w:t>א</w:t>
        </w:r>
        <w:r>
          <w:rPr>
            <w:rStyle w:val="Hyperlink"/>
            <w:rFonts w:cs="FrankRuehl" w:ascii="FrankRuehl" w:hAnsi="FrankRuehl"/>
            <w:bCs w:val="false"/>
            <w:color w:val="0000FF"/>
            <w:spacing w:val="0"/>
            <w:sz w:val="24"/>
            <w:szCs w:val="24"/>
            <w:rtl w:val="true"/>
          </w:rPr>
          <w:t>)(</w:t>
        </w:r>
        <w:r>
          <w:rPr>
            <w:rStyle w:val="Hyperlink"/>
            <w:rFonts w:cs="FrankRuehl" w:ascii="FrankRuehl" w:hAnsi="FrankRuehl"/>
            <w:bCs w:val="false"/>
            <w:color w:val="0000FF"/>
            <w:spacing w:val="0"/>
            <w:sz w:val="24"/>
            <w:szCs w:val="24"/>
          </w:rPr>
          <w:t>3</w:t>
        </w:r>
        <w:r>
          <w:rPr>
            <w:rStyle w:val="Hyperlink"/>
            <w:rFonts w:cs="FrankRuehl" w:ascii="FrankRuehl" w:hAnsi="FrankRuehl"/>
            <w:bCs w:val="false"/>
            <w:color w:val="0000FF"/>
            <w:spacing w:val="0"/>
            <w:sz w:val="24"/>
            <w:szCs w:val="24"/>
            <w:rtl w:val="true"/>
          </w:rPr>
          <w:t>)</w:t>
        </w:r>
      </w:hyperlink>
      <w:r>
        <w:rPr>
          <w:rFonts w:cs="FrankRuehl" w:ascii="FrankRuehl" w:hAnsi="FrankRuehl"/>
          <w:bCs w:val="false"/>
          <w:spacing w:val="0"/>
          <w:sz w:val="24"/>
          <w:szCs w:val="24"/>
          <w:u w:val="none"/>
          <w:rtl w:val="true"/>
        </w:rPr>
        <w:t xml:space="preserve">, </w:t>
      </w:r>
      <w:hyperlink r:id="rId6">
        <w:r>
          <w:rPr>
            <w:rStyle w:val="Hyperlink"/>
            <w:rFonts w:cs="FrankRuehl" w:ascii="FrankRuehl" w:hAnsi="FrankRuehl"/>
            <w:bCs w:val="false"/>
            <w:color w:val="0000FF"/>
            <w:spacing w:val="0"/>
            <w:sz w:val="24"/>
            <w:szCs w:val="24"/>
          </w:rPr>
          <w:t>351</w:t>
        </w:r>
        <w:r>
          <w:rPr>
            <w:rStyle w:val="Hyperlink"/>
            <w:rFonts w:cs="FrankRuehl" w:ascii="FrankRuehl" w:hAnsi="FrankRuehl"/>
            <w:bCs w:val="false"/>
            <w:color w:val="0000FF"/>
            <w:spacing w:val="0"/>
            <w:sz w:val="24"/>
            <w:szCs w:val="24"/>
            <w:rtl w:val="true"/>
          </w:rPr>
          <w:t>(</w:t>
        </w:r>
        <w:r>
          <w:rPr>
            <w:rStyle w:val="Hyperlink"/>
            <w:rFonts w:ascii="FrankRuehl" w:hAnsi="FrankRuehl" w:cs="FrankRuehl"/>
            <w:bCs w:val="false"/>
            <w:color w:val="0000FF"/>
            <w:spacing w:val="0"/>
            <w:sz w:val="24"/>
            <w:sz w:val="24"/>
            <w:szCs w:val="24"/>
            <w:rtl w:val="true"/>
          </w:rPr>
          <w:t>א</w:t>
        </w:r>
        <w:r>
          <w:rPr>
            <w:rStyle w:val="Hyperlink"/>
            <w:rFonts w:cs="FrankRuehl" w:ascii="FrankRuehl" w:hAnsi="FrankRuehl"/>
            <w:bCs w:val="false"/>
            <w:color w:val="0000FF"/>
            <w:spacing w:val="0"/>
            <w:sz w:val="24"/>
            <w:szCs w:val="24"/>
            <w:rtl w:val="true"/>
          </w:rPr>
          <w:t>)(</w:t>
        </w:r>
        <w:r>
          <w:rPr>
            <w:rStyle w:val="Hyperlink"/>
            <w:rFonts w:cs="FrankRuehl" w:ascii="FrankRuehl" w:hAnsi="FrankRuehl"/>
            <w:bCs w:val="false"/>
            <w:color w:val="0000FF"/>
            <w:spacing w:val="0"/>
            <w:sz w:val="24"/>
            <w:szCs w:val="24"/>
          </w:rPr>
          <w:t>3</w:t>
        </w:r>
        <w:r>
          <w:rPr>
            <w:rStyle w:val="Hyperlink"/>
            <w:rFonts w:cs="FrankRuehl" w:ascii="FrankRuehl" w:hAnsi="FrankRuehl"/>
            <w:bCs w:val="false"/>
            <w:color w:val="0000FF"/>
            <w:spacing w:val="0"/>
            <w:sz w:val="24"/>
            <w:szCs w:val="24"/>
            <w:rtl w:val="true"/>
          </w:rPr>
          <w:t>)</w:t>
        </w:r>
      </w:hyperlink>
      <w:r>
        <w:rPr>
          <w:rFonts w:cs="FrankRuehl" w:ascii="FrankRuehl" w:hAnsi="FrankRuehl"/>
          <w:bCs w:val="false"/>
          <w:spacing w:val="0"/>
          <w:sz w:val="24"/>
          <w:szCs w:val="24"/>
          <w:u w:val="none"/>
          <w:rtl w:val="true"/>
        </w:rPr>
        <w:t xml:space="preserve">, </w:t>
      </w:r>
      <w:hyperlink r:id="rId7">
        <w:r>
          <w:rPr>
            <w:rStyle w:val="Hyperlink"/>
            <w:rFonts w:cs="FrankRuehl" w:ascii="FrankRuehl" w:hAnsi="FrankRuehl"/>
            <w:bCs w:val="false"/>
            <w:color w:val="0000FF"/>
            <w:spacing w:val="0"/>
            <w:sz w:val="24"/>
            <w:szCs w:val="24"/>
          </w:rPr>
          <w:t>351</w:t>
        </w:r>
        <w:r>
          <w:rPr>
            <w:rStyle w:val="Hyperlink"/>
            <w:rFonts w:cs="FrankRuehl" w:ascii="FrankRuehl" w:hAnsi="FrankRuehl"/>
            <w:bCs w:val="false"/>
            <w:color w:val="0000FF"/>
            <w:spacing w:val="0"/>
            <w:sz w:val="24"/>
            <w:szCs w:val="24"/>
            <w:rtl w:val="true"/>
          </w:rPr>
          <w:t>(</w:t>
        </w:r>
        <w:r>
          <w:rPr>
            <w:rStyle w:val="Hyperlink"/>
            <w:rFonts w:ascii="FrankRuehl" w:hAnsi="FrankRuehl" w:cs="FrankRuehl"/>
            <w:bCs w:val="false"/>
            <w:color w:val="0000FF"/>
            <w:spacing w:val="0"/>
            <w:sz w:val="24"/>
            <w:sz w:val="24"/>
            <w:szCs w:val="24"/>
            <w:rtl w:val="true"/>
          </w:rPr>
          <w:t>ג</w:t>
        </w:r>
        <w:r>
          <w:rPr>
            <w:rStyle w:val="Hyperlink"/>
            <w:rFonts w:cs="FrankRuehl" w:ascii="FrankRuehl" w:hAnsi="FrankRuehl"/>
            <w:bCs w:val="false"/>
            <w:color w:val="0000FF"/>
            <w:spacing w:val="0"/>
            <w:sz w:val="24"/>
            <w:szCs w:val="24"/>
            <w:rtl w:val="true"/>
          </w:rPr>
          <w:t>)(</w:t>
        </w:r>
        <w:r>
          <w:rPr>
            <w:rStyle w:val="Hyperlink"/>
            <w:rFonts w:cs="FrankRuehl" w:ascii="FrankRuehl" w:hAnsi="FrankRuehl"/>
            <w:bCs w:val="false"/>
            <w:color w:val="0000FF"/>
            <w:spacing w:val="0"/>
            <w:sz w:val="24"/>
            <w:szCs w:val="24"/>
          </w:rPr>
          <w:t>3</w:t>
        </w:r>
        <w:r>
          <w:rPr>
            <w:rStyle w:val="Hyperlink"/>
            <w:rFonts w:cs="FrankRuehl" w:ascii="FrankRuehl" w:hAnsi="FrankRuehl"/>
            <w:bCs w:val="false"/>
            <w:color w:val="0000FF"/>
            <w:spacing w:val="0"/>
            <w:sz w:val="24"/>
            <w:szCs w:val="24"/>
            <w:rtl w:val="true"/>
          </w:rPr>
          <w:t>)</w:t>
        </w:r>
      </w:hyperlink>
      <w:r>
        <w:rPr>
          <w:rFonts w:cs="FrankRuehl" w:ascii="FrankRuehl" w:hAnsi="FrankRuehl"/>
          <w:bCs w:val="false"/>
          <w:spacing w:val="0"/>
          <w:sz w:val="24"/>
          <w:szCs w:val="24"/>
          <w:u w:val="none"/>
          <w:rtl w:val="true"/>
        </w:rPr>
        <w:t xml:space="preserve">, </w:t>
      </w:r>
      <w:hyperlink r:id="rId8">
        <w:r>
          <w:rPr>
            <w:rStyle w:val="Hyperlink"/>
            <w:rFonts w:ascii="FrankRuehl" w:hAnsi="FrankRuehl" w:cs="FrankRuehl"/>
            <w:bCs w:val="false"/>
            <w:color w:val="0000FF"/>
            <w:spacing w:val="0"/>
            <w:sz w:val="24"/>
            <w:sz w:val="24"/>
            <w:szCs w:val="24"/>
            <w:rtl w:val="true"/>
          </w:rPr>
          <w:t>ה</w:t>
        </w:r>
        <w:r>
          <w:rPr>
            <w:rStyle w:val="Hyperlink"/>
            <w:rFonts w:cs="FrankRuehl" w:ascii="FrankRuehl" w:hAnsi="FrankRuehl"/>
            <w:bCs w:val="false"/>
            <w:color w:val="0000FF"/>
            <w:spacing w:val="0"/>
            <w:sz w:val="24"/>
            <w:szCs w:val="24"/>
            <w:rtl w:val="true"/>
          </w:rPr>
          <w:t>'</w:t>
        </w:r>
      </w:hyperlink>
    </w:p>
    <w:p>
      <w:pPr>
        <w:pStyle w:val="DocumentHead"/>
        <w:spacing w:lineRule="exact" w:line="240" w:before="0" w:after="120"/>
        <w:ind w:hanging="283" w:start="283" w:end="0"/>
        <w:jc w:val="both"/>
        <w:rPr>
          <w:rFonts w:ascii="FrankRuehl" w:hAnsi="FrankRuehl" w:cs="FrankRuehl"/>
          <w:bCs w:val="false"/>
          <w:spacing w:val="0"/>
          <w:sz w:val="24"/>
          <w:szCs w:val="24"/>
          <w:u w:val="none"/>
        </w:rPr>
      </w:pPr>
      <w:hyperlink r:id="rId9">
        <w:r>
          <w:rPr>
            <w:rStyle w:val="Hyperlink"/>
            <w:rFonts w:ascii="FrankRuehl" w:hAnsi="FrankRuehl" w:cs="FrankRuehl"/>
            <w:bCs w:val="false"/>
            <w:color w:val="0000FF"/>
            <w:spacing w:val="0"/>
            <w:sz w:val="24"/>
            <w:sz w:val="24"/>
            <w:szCs w:val="24"/>
            <w:rtl w:val="true"/>
          </w:rPr>
          <w:t xml:space="preserve">פקודת הראיות </w:t>
        </w:r>
        <w:r>
          <w:rPr>
            <w:rStyle w:val="Hyperlink"/>
            <w:rFonts w:cs="FrankRuehl" w:ascii="FrankRuehl" w:hAnsi="FrankRuehl"/>
            <w:bCs w:val="false"/>
            <w:color w:val="0000FF"/>
            <w:spacing w:val="0"/>
            <w:sz w:val="24"/>
            <w:szCs w:val="24"/>
            <w:rtl w:val="true"/>
          </w:rPr>
          <w:t>[</w:t>
        </w:r>
        <w:r>
          <w:rPr>
            <w:rStyle w:val="Hyperlink"/>
            <w:rFonts w:ascii="FrankRuehl" w:hAnsi="FrankRuehl" w:cs="FrankRuehl"/>
            <w:bCs w:val="false"/>
            <w:color w:val="0000FF"/>
            <w:spacing w:val="0"/>
            <w:sz w:val="24"/>
            <w:sz w:val="24"/>
            <w:szCs w:val="24"/>
            <w:rtl w:val="true"/>
          </w:rPr>
          <w:t>נוסח חדש</w:t>
        </w:r>
        <w:r>
          <w:rPr>
            <w:rStyle w:val="Hyperlink"/>
            <w:rFonts w:cs="FrankRuehl" w:ascii="FrankRuehl" w:hAnsi="FrankRuehl"/>
            <w:bCs w:val="false"/>
            <w:color w:val="0000FF"/>
            <w:spacing w:val="0"/>
            <w:sz w:val="24"/>
            <w:szCs w:val="24"/>
            <w:rtl w:val="true"/>
          </w:rPr>
          <w:t xml:space="preserve">], </w:t>
        </w:r>
        <w:r>
          <w:rPr>
            <w:rStyle w:val="Hyperlink"/>
            <w:rFonts w:ascii="FrankRuehl" w:hAnsi="FrankRuehl" w:cs="FrankRuehl"/>
            <w:bCs w:val="false"/>
            <w:color w:val="0000FF"/>
            <w:spacing w:val="0"/>
            <w:sz w:val="24"/>
            <w:sz w:val="24"/>
            <w:szCs w:val="24"/>
            <w:rtl w:val="true"/>
          </w:rPr>
          <w:t>תשל</w:t>
        </w:r>
        <w:r>
          <w:rPr>
            <w:rStyle w:val="Hyperlink"/>
            <w:rFonts w:cs="FrankRuehl" w:ascii="FrankRuehl" w:hAnsi="FrankRuehl"/>
            <w:bCs w:val="false"/>
            <w:color w:val="0000FF"/>
            <w:spacing w:val="0"/>
            <w:sz w:val="24"/>
            <w:szCs w:val="24"/>
            <w:rtl w:val="true"/>
          </w:rPr>
          <w:t>"</w:t>
        </w:r>
        <w:r>
          <w:rPr>
            <w:rStyle w:val="Hyperlink"/>
            <w:rFonts w:ascii="FrankRuehl" w:hAnsi="FrankRuehl" w:cs="FrankRuehl"/>
            <w:bCs w:val="false"/>
            <w:color w:val="0000FF"/>
            <w:spacing w:val="0"/>
            <w:sz w:val="24"/>
            <w:sz w:val="24"/>
            <w:szCs w:val="24"/>
            <w:rtl w:val="true"/>
          </w:rPr>
          <w:t>א</w:t>
        </w:r>
        <w:r>
          <w:rPr>
            <w:rStyle w:val="Hyperlink"/>
            <w:rFonts w:cs="FrankRuehl" w:ascii="FrankRuehl" w:hAnsi="FrankRuehl"/>
            <w:bCs w:val="false"/>
            <w:color w:val="0000FF"/>
            <w:spacing w:val="0"/>
            <w:sz w:val="24"/>
            <w:szCs w:val="24"/>
            <w:rtl w:val="true"/>
          </w:rPr>
          <w:t>-</w:t>
        </w:r>
        <w:r>
          <w:rPr>
            <w:rStyle w:val="Hyperlink"/>
            <w:rFonts w:cs="FrankRuehl" w:ascii="FrankRuehl" w:hAnsi="FrankRuehl"/>
            <w:bCs w:val="false"/>
            <w:color w:val="0000FF"/>
            <w:spacing w:val="0"/>
            <w:sz w:val="24"/>
            <w:szCs w:val="24"/>
          </w:rPr>
          <w:t>1971</w:t>
        </w:r>
      </w:hyperlink>
      <w:r>
        <w:rPr>
          <w:rFonts w:cs="FrankRuehl" w:ascii="FrankRuehl" w:hAnsi="FrankRuehl"/>
          <w:bCs w:val="false"/>
          <w:spacing w:val="0"/>
          <w:sz w:val="24"/>
          <w:szCs w:val="24"/>
          <w:u w:val="none"/>
          <w:rtl w:val="true"/>
        </w:rPr>
        <w:t xml:space="preserve">: </w:t>
      </w:r>
      <w:r>
        <w:rPr>
          <w:rFonts w:ascii="FrankRuehl" w:hAnsi="FrankRuehl" w:cs="FrankRuehl"/>
          <w:bCs w:val="false"/>
          <w:spacing w:val="0"/>
          <w:sz w:val="24"/>
          <w:sz w:val="24"/>
          <w:szCs w:val="24"/>
          <w:u w:val="none"/>
          <w:rtl w:val="true"/>
        </w:rPr>
        <w:t>סע</w:t>
      </w:r>
      <w:r>
        <w:rPr>
          <w:rFonts w:cs="FrankRuehl" w:ascii="FrankRuehl" w:hAnsi="FrankRuehl"/>
          <w:bCs w:val="false"/>
          <w:spacing w:val="0"/>
          <w:sz w:val="24"/>
          <w:szCs w:val="24"/>
          <w:u w:val="none"/>
          <w:rtl w:val="true"/>
        </w:rPr>
        <w:t xml:space="preserve">'  </w:t>
      </w:r>
      <w:hyperlink r:id="rId10">
        <w:r>
          <w:rPr>
            <w:rStyle w:val="Hyperlink"/>
            <w:rFonts w:cs="FrankRuehl" w:ascii="FrankRuehl" w:hAnsi="FrankRuehl"/>
            <w:bCs w:val="false"/>
            <w:color w:val="0000FF"/>
            <w:spacing w:val="0"/>
            <w:sz w:val="24"/>
            <w:szCs w:val="24"/>
          </w:rPr>
          <w:t>1</w:t>
        </w:r>
        <w:r>
          <w:rPr>
            <w:rStyle w:val="Hyperlink"/>
            <w:rFonts w:cs="FrankRuehl" w:ascii="FrankRuehl" w:hAnsi="FrankRuehl"/>
            <w:bCs w:val="false"/>
            <w:color w:val="0000FF"/>
            <w:spacing w:val="0"/>
            <w:sz w:val="24"/>
            <w:szCs w:val="24"/>
            <w:rtl w:val="true"/>
          </w:rPr>
          <w:t>(</w:t>
        </w:r>
        <w:r>
          <w:rPr>
            <w:rStyle w:val="Hyperlink"/>
            <w:rFonts w:ascii="FrankRuehl" w:hAnsi="FrankRuehl" w:cs="FrankRuehl"/>
            <w:bCs w:val="false"/>
            <w:color w:val="0000FF"/>
            <w:spacing w:val="0"/>
            <w:sz w:val="24"/>
            <w:sz w:val="24"/>
            <w:szCs w:val="24"/>
            <w:rtl w:val="true"/>
          </w:rPr>
          <w:t>א</w:t>
        </w:r>
        <w:r>
          <w:rPr>
            <w:rStyle w:val="Hyperlink"/>
            <w:rFonts w:cs="FrankRuehl" w:ascii="FrankRuehl" w:hAnsi="FrankRuehl"/>
            <w:bCs w:val="false"/>
            <w:color w:val="0000FF"/>
            <w:spacing w:val="0"/>
            <w:sz w:val="24"/>
            <w:szCs w:val="24"/>
            <w:rtl w:val="true"/>
          </w:rPr>
          <w:t>)</w:t>
        </w:r>
      </w:hyperlink>
      <w:r>
        <w:rPr>
          <w:rFonts w:cs="FrankRuehl" w:ascii="FrankRuehl" w:hAnsi="FrankRuehl"/>
          <w:bCs w:val="false"/>
          <w:spacing w:val="0"/>
          <w:sz w:val="24"/>
          <w:szCs w:val="24"/>
          <w:u w:val="none"/>
          <w:rtl w:val="true"/>
        </w:rPr>
        <w:t xml:space="preserve">, </w:t>
      </w:r>
      <w:hyperlink r:id="rId11">
        <w:r>
          <w:rPr>
            <w:rStyle w:val="Hyperlink"/>
            <w:rFonts w:cs="FrankRuehl" w:ascii="FrankRuehl" w:hAnsi="FrankRuehl"/>
            <w:bCs w:val="false"/>
            <w:color w:val="0000FF"/>
            <w:spacing w:val="0"/>
            <w:sz w:val="24"/>
            <w:szCs w:val="24"/>
          </w:rPr>
          <w:t>54</w:t>
        </w:r>
        <w:r>
          <w:rPr>
            <w:rStyle w:val="Hyperlink"/>
            <w:rFonts w:ascii="FrankRuehl" w:hAnsi="FrankRuehl" w:cs="FrankRuehl"/>
            <w:bCs w:val="false"/>
            <w:color w:val="0000FF"/>
            <w:spacing w:val="0"/>
            <w:sz w:val="24"/>
            <w:sz w:val="24"/>
            <w:szCs w:val="24"/>
            <w:rtl w:val="true"/>
          </w:rPr>
          <w:t>א</w:t>
        </w:r>
        <w:r>
          <w:rPr>
            <w:rStyle w:val="Hyperlink"/>
            <w:rFonts w:cs="FrankRuehl" w:ascii="FrankRuehl" w:hAnsi="FrankRuehl"/>
            <w:bCs w:val="false"/>
            <w:color w:val="0000FF"/>
            <w:spacing w:val="0"/>
            <w:sz w:val="24"/>
            <w:szCs w:val="24"/>
            <w:rtl w:val="true"/>
          </w:rPr>
          <w:t>(</w:t>
        </w:r>
        <w:r>
          <w:rPr>
            <w:rStyle w:val="Hyperlink"/>
            <w:rFonts w:ascii="FrankRuehl" w:hAnsi="FrankRuehl" w:cs="FrankRuehl"/>
            <w:bCs w:val="false"/>
            <w:color w:val="0000FF"/>
            <w:spacing w:val="0"/>
            <w:sz w:val="24"/>
            <w:sz w:val="24"/>
            <w:szCs w:val="24"/>
            <w:rtl w:val="true"/>
          </w:rPr>
          <w:t>ב</w:t>
        </w:r>
        <w:r>
          <w:rPr>
            <w:rStyle w:val="Hyperlink"/>
            <w:rFonts w:cs="FrankRuehl" w:ascii="FrankRuehl" w:hAnsi="FrankRuehl"/>
            <w:bCs w:val="false"/>
            <w:color w:val="0000FF"/>
            <w:spacing w:val="0"/>
            <w:sz w:val="24"/>
            <w:szCs w:val="24"/>
            <w:rtl w:val="true"/>
          </w:rPr>
          <w:t>)</w:t>
        </w:r>
      </w:hyperlink>
    </w:p>
    <w:p>
      <w:pPr>
        <w:pStyle w:val="DocumentHead"/>
        <w:spacing w:lineRule="exact" w:line="240" w:before="0" w:after="120"/>
        <w:ind w:hanging="283" w:start="283" w:end="0"/>
        <w:jc w:val="both"/>
        <w:rPr>
          <w:rFonts w:ascii="FrankRuehl" w:hAnsi="FrankRuehl" w:cs="FrankRuehl"/>
          <w:bCs w:val="false"/>
          <w:spacing w:val="0"/>
          <w:sz w:val="24"/>
          <w:szCs w:val="24"/>
          <w:u w:val="none"/>
        </w:rPr>
      </w:pPr>
      <w:hyperlink r:id="rId12">
        <w:r>
          <w:rPr>
            <w:rStyle w:val="Hyperlink"/>
            <w:rFonts w:ascii="FrankRuehl" w:hAnsi="FrankRuehl" w:cs="FrankRuehl"/>
            <w:bCs w:val="false"/>
            <w:color w:val="0000FF"/>
            <w:spacing w:val="0"/>
            <w:sz w:val="24"/>
            <w:sz w:val="24"/>
            <w:szCs w:val="24"/>
            <w:rtl w:val="true"/>
          </w:rPr>
          <w:t xml:space="preserve">חוק בתי המשפט </w:t>
        </w:r>
        <w:r>
          <w:rPr>
            <w:rStyle w:val="Hyperlink"/>
            <w:rFonts w:cs="FrankRuehl" w:ascii="FrankRuehl" w:hAnsi="FrankRuehl"/>
            <w:bCs w:val="false"/>
            <w:color w:val="0000FF"/>
            <w:spacing w:val="0"/>
            <w:sz w:val="24"/>
            <w:szCs w:val="24"/>
            <w:rtl w:val="true"/>
          </w:rPr>
          <w:t>[</w:t>
        </w:r>
        <w:r>
          <w:rPr>
            <w:rStyle w:val="Hyperlink"/>
            <w:rFonts w:ascii="FrankRuehl" w:hAnsi="FrankRuehl" w:cs="FrankRuehl"/>
            <w:bCs w:val="false"/>
            <w:color w:val="0000FF"/>
            <w:spacing w:val="0"/>
            <w:sz w:val="24"/>
            <w:sz w:val="24"/>
            <w:szCs w:val="24"/>
            <w:rtl w:val="true"/>
          </w:rPr>
          <w:t>נוסח משולב</w:t>
        </w:r>
        <w:r>
          <w:rPr>
            <w:rStyle w:val="Hyperlink"/>
            <w:rFonts w:cs="FrankRuehl" w:ascii="FrankRuehl" w:hAnsi="FrankRuehl"/>
            <w:bCs w:val="false"/>
            <w:color w:val="0000FF"/>
            <w:spacing w:val="0"/>
            <w:sz w:val="24"/>
            <w:szCs w:val="24"/>
            <w:rtl w:val="true"/>
          </w:rPr>
          <w:t xml:space="preserve">], </w:t>
        </w:r>
        <w:r>
          <w:rPr>
            <w:rStyle w:val="Hyperlink"/>
            <w:rFonts w:ascii="FrankRuehl" w:hAnsi="FrankRuehl" w:cs="FrankRuehl"/>
            <w:bCs w:val="false"/>
            <w:color w:val="0000FF"/>
            <w:spacing w:val="0"/>
            <w:sz w:val="24"/>
            <w:sz w:val="24"/>
            <w:szCs w:val="24"/>
            <w:rtl w:val="true"/>
          </w:rPr>
          <w:t>תשמ</w:t>
        </w:r>
        <w:r>
          <w:rPr>
            <w:rStyle w:val="Hyperlink"/>
            <w:rFonts w:cs="FrankRuehl" w:ascii="FrankRuehl" w:hAnsi="FrankRuehl"/>
            <w:bCs w:val="false"/>
            <w:color w:val="0000FF"/>
            <w:spacing w:val="0"/>
            <w:sz w:val="24"/>
            <w:szCs w:val="24"/>
            <w:rtl w:val="true"/>
          </w:rPr>
          <w:t>"</w:t>
        </w:r>
        <w:r>
          <w:rPr>
            <w:rStyle w:val="Hyperlink"/>
            <w:rFonts w:ascii="FrankRuehl" w:hAnsi="FrankRuehl" w:cs="FrankRuehl"/>
            <w:bCs w:val="false"/>
            <w:color w:val="0000FF"/>
            <w:spacing w:val="0"/>
            <w:sz w:val="24"/>
            <w:sz w:val="24"/>
            <w:szCs w:val="24"/>
            <w:rtl w:val="true"/>
          </w:rPr>
          <w:t>ד</w:t>
        </w:r>
        <w:r>
          <w:rPr>
            <w:rStyle w:val="Hyperlink"/>
            <w:rFonts w:cs="FrankRuehl" w:ascii="FrankRuehl" w:hAnsi="FrankRuehl"/>
            <w:bCs w:val="false"/>
            <w:color w:val="0000FF"/>
            <w:spacing w:val="0"/>
            <w:sz w:val="24"/>
            <w:szCs w:val="24"/>
            <w:rtl w:val="true"/>
          </w:rPr>
          <w:t>-</w:t>
        </w:r>
        <w:r>
          <w:rPr>
            <w:rStyle w:val="Hyperlink"/>
            <w:rFonts w:cs="FrankRuehl" w:ascii="FrankRuehl" w:hAnsi="FrankRuehl"/>
            <w:bCs w:val="false"/>
            <w:color w:val="0000FF"/>
            <w:spacing w:val="0"/>
            <w:sz w:val="24"/>
            <w:szCs w:val="24"/>
          </w:rPr>
          <w:t>1984</w:t>
        </w:r>
      </w:hyperlink>
      <w:r>
        <w:rPr>
          <w:rFonts w:cs="FrankRuehl" w:ascii="FrankRuehl" w:hAnsi="FrankRuehl"/>
          <w:bCs w:val="false"/>
          <w:spacing w:val="0"/>
          <w:sz w:val="24"/>
          <w:szCs w:val="24"/>
          <w:u w:val="none"/>
          <w:rtl w:val="true"/>
        </w:rPr>
        <w:t xml:space="preserve">: </w:t>
      </w:r>
      <w:r>
        <w:rPr>
          <w:rFonts w:ascii="FrankRuehl" w:hAnsi="FrankRuehl" w:cs="FrankRuehl"/>
          <w:bCs w:val="false"/>
          <w:spacing w:val="0"/>
          <w:sz w:val="24"/>
          <w:sz w:val="24"/>
          <w:szCs w:val="24"/>
          <w:u w:val="none"/>
          <w:rtl w:val="true"/>
        </w:rPr>
        <w:t>סע</w:t>
      </w:r>
      <w:r>
        <w:rPr>
          <w:rFonts w:cs="FrankRuehl" w:ascii="FrankRuehl" w:hAnsi="FrankRuehl"/>
          <w:bCs w:val="false"/>
          <w:spacing w:val="0"/>
          <w:sz w:val="24"/>
          <w:szCs w:val="24"/>
          <w:u w:val="none"/>
          <w:rtl w:val="true"/>
        </w:rPr>
        <w:t xml:space="preserve">'  </w:t>
      </w:r>
      <w:hyperlink r:id="rId13">
        <w:r>
          <w:rPr>
            <w:rStyle w:val="Hyperlink"/>
            <w:rFonts w:cs="FrankRuehl" w:ascii="FrankRuehl" w:hAnsi="FrankRuehl"/>
            <w:bCs w:val="false"/>
            <w:color w:val="0000FF"/>
            <w:spacing w:val="0"/>
            <w:sz w:val="24"/>
            <w:szCs w:val="24"/>
          </w:rPr>
          <w:t>73</w:t>
        </w:r>
      </w:hyperlink>
      <w:r>
        <w:rPr>
          <w:rFonts w:cs="FrankRuehl" w:ascii="FrankRuehl" w:hAnsi="FrankRuehl"/>
          <w:bCs w:val="false"/>
          <w:spacing w:val="0"/>
          <w:sz w:val="24"/>
          <w:szCs w:val="24"/>
          <w:u w:val="none"/>
          <w:rtl w:val="true"/>
        </w:rPr>
        <w:t xml:space="preserve">, </w:t>
      </w:r>
      <w:hyperlink r:id="rId14">
        <w:r>
          <w:rPr>
            <w:rStyle w:val="Hyperlink"/>
            <w:rFonts w:cs="FrankRuehl" w:ascii="FrankRuehl" w:hAnsi="FrankRuehl"/>
            <w:bCs w:val="false"/>
            <w:color w:val="0000FF"/>
            <w:spacing w:val="0"/>
            <w:sz w:val="24"/>
            <w:szCs w:val="24"/>
          </w:rPr>
          <w:t>73</w:t>
        </w:r>
        <w:r>
          <w:rPr>
            <w:rStyle w:val="Hyperlink"/>
            <w:rFonts w:ascii="FrankRuehl" w:hAnsi="FrankRuehl" w:cs="FrankRuehl"/>
            <w:bCs w:val="false"/>
            <w:color w:val="0000FF"/>
            <w:spacing w:val="0"/>
            <w:sz w:val="24"/>
            <w:sz w:val="24"/>
            <w:szCs w:val="24"/>
            <w:rtl w:val="true"/>
          </w:rPr>
          <w:t>א</w:t>
        </w:r>
      </w:hyperlink>
    </w:p>
    <w:p>
      <w:pPr>
        <w:pStyle w:val="DocumentHead"/>
        <w:spacing w:lineRule="exact" w:line="240" w:before="0" w:after="120"/>
        <w:ind w:hanging="283" w:start="283" w:end="0"/>
        <w:jc w:val="both"/>
        <w:rPr>
          <w:rFonts w:ascii="FrankRuehl" w:hAnsi="FrankRuehl" w:cs="FrankRuehl"/>
          <w:bCs w:val="false"/>
          <w:spacing w:val="0"/>
          <w:sz w:val="24"/>
          <w:szCs w:val="24"/>
          <w:u w:val="none"/>
        </w:rPr>
      </w:pPr>
      <w:hyperlink r:id="rId15">
        <w:r>
          <w:rPr>
            <w:rStyle w:val="Hyperlink"/>
            <w:rFonts w:ascii="FrankRuehl" w:hAnsi="FrankRuehl" w:cs="FrankRuehl"/>
            <w:bCs w:val="false"/>
            <w:color w:val="0000FF"/>
            <w:spacing w:val="0"/>
            <w:sz w:val="24"/>
            <w:sz w:val="24"/>
            <w:szCs w:val="24"/>
            <w:rtl w:val="true"/>
          </w:rPr>
          <w:t xml:space="preserve">חוק סדר הדין הפלילי </w:t>
        </w:r>
        <w:r>
          <w:rPr>
            <w:rStyle w:val="Hyperlink"/>
            <w:rFonts w:cs="FrankRuehl" w:ascii="FrankRuehl" w:hAnsi="FrankRuehl"/>
            <w:bCs w:val="false"/>
            <w:color w:val="0000FF"/>
            <w:spacing w:val="0"/>
            <w:sz w:val="24"/>
            <w:szCs w:val="24"/>
            <w:rtl w:val="true"/>
          </w:rPr>
          <w:t>[</w:t>
        </w:r>
        <w:r>
          <w:rPr>
            <w:rStyle w:val="Hyperlink"/>
            <w:rFonts w:ascii="FrankRuehl" w:hAnsi="FrankRuehl" w:cs="FrankRuehl"/>
            <w:bCs w:val="false"/>
            <w:color w:val="0000FF"/>
            <w:spacing w:val="0"/>
            <w:sz w:val="24"/>
            <w:sz w:val="24"/>
            <w:szCs w:val="24"/>
            <w:rtl w:val="true"/>
          </w:rPr>
          <w:t>נוסח משולב</w:t>
        </w:r>
        <w:r>
          <w:rPr>
            <w:rStyle w:val="Hyperlink"/>
            <w:rFonts w:cs="FrankRuehl" w:ascii="FrankRuehl" w:hAnsi="FrankRuehl"/>
            <w:bCs w:val="false"/>
            <w:color w:val="0000FF"/>
            <w:spacing w:val="0"/>
            <w:sz w:val="24"/>
            <w:szCs w:val="24"/>
            <w:rtl w:val="true"/>
          </w:rPr>
          <w:t xml:space="preserve">], </w:t>
        </w:r>
        <w:r>
          <w:rPr>
            <w:rStyle w:val="Hyperlink"/>
            <w:rFonts w:ascii="FrankRuehl" w:hAnsi="FrankRuehl" w:cs="FrankRuehl"/>
            <w:bCs w:val="false"/>
            <w:color w:val="0000FF"/>
            <w:spacing w:val="0"/>
            <w:sz w:val="24"/>
            <w:sz w:val="24"/>
            <w:szCs w:val="24"/>
            <w:rtl w:val="true"/>
          </w:rPr>
          <w:t>תשמ</w:t>
        </w:r>
        <w:r>
          <w:rPr>
            <w:rStyle w:val="Hyperlink"/>
            <w:rFonts w:cs="FrankRuehl" w:ascii="FrankRuehl" w:hAnsi="FrankRuehl"/>
            <w:bCs w:val="false"/>
            <w:color w:val="0000FF"/>
            <w:spacing w:val="0"/>
            <w:sz w:val="24"/>
            <w:szCs w:val="24"/>
            <w:rtl w:val="true"/>
          </w:rPr>
          <w:t>"</w:t>
        </w:r>
        <w:r>
          <w:rPr>
            <w:rStyle w:val="Hyperlink"/>
            <w:rFonts w:ascii="FrankRuehl" w:hAnsi="FrankRuehl" w:cs="FrankRuehl"/>
            <w:bCs w:val="false"/>
            <w:color w:val="0000FF"/>
            <w:spacing w:val="0"/>
            <w:sz w:val="24"/>
            <w:sz w:val="24"/>
            <w:szCs w:val="24"/>
            <w:rtl w:val="true"/>
          </w:rPr>
          <w:t>ב</w:t>
        </w:r>
        <w:r>
          <w:rPr>
            <w:rStyle w:val="Hyperlink"/>
            <w:rFonts w:cs="FrankRuehl" w:ascii="FrankRuehl" w:hAnsi="FrankRuehl"/>
            <w:bCs w:val="false"/>
            <w:color w:val="0000FF"/>
            <w:spacing w:val="0"/>
            <w:sz w:val="24"/>
            <w:szCs w:val="24"/>
            <w:rtl w:val="true"/>
          </w:rPr>
          <w:t>-</w:t>
        </w:r>
        <w:r>
          <w:rPr>
            <w:rStyle w:val="Hyperlink"/>
            <w:rFonts w:cs="FrankRuehl" w:ascii="FrankRuehl" w:hAnsi="FrankRuehl"/>
            <w:bCs w:val="false"/>
            <w:color w:val="0000FF"/>
            <w:spacing w:val="0"/>
            <w:sz w:val="24"/>
            <w:szCs w:val="24"/>
          </w:rPr>
          <w:t>1982</w:t>
        </w:r>
      </w:hyperlink>
      <w:r>
        <w:rPr>
          <w:rFonts w:cs="FrankRuehl" w:ascii="FrankRuehl" w:hAnsi="FrankRuehl"/>
          <w:bCs w:val="false"/>
          <w:spacing w:val="0"/>
          <w:sz w:val="24"/>
          <w:szCs w:val="24"/>
          <w:u w:val="none"/>
          <w:rtl w:val="true"/>
        </w:rPr>
        <w:t xml:space="preserve">: </w:t>
      </w:r>
      <w:r>
        <w:rPr>
          <w:rFonts w:ascii="FrankRuehl" w:hAnsi="FrankRuehl" w:cs="FrankRuehl"/>
          <w:bCs w:val="false"/>
          <w:spacing w:val="0"/>
          <w:sz w:val="24"/>
          <w:sz w:val="24"/>
          <w:szCs w:val="24"/>
          <w:u w:val="none"/>
          <w:rtl w:val="true"/>
        </w:rPr>
        <w:t>סע</w:t>
      </w:r>
      <w:r>
        <w:rPr>
          <w:rFonts w:cs="FrankRuehl" w:ascii="FrankRuehl" w:hAnsi="FrankRuehl"/>
          <w:bCs w:val="false"/>
          <w:spacing w:val="0"/>
          <w:sz w:val="24"/>
          <w:szCs w:val="24"/>
          <w:u w:val="none"/>
          <w:rtl w:val="true"/>
        </w:rPr>
        <w:t xml:space="preserve">'  </w:t>
      </w:r>
      <w:hyperlink r:id="rId16">
        <w:r>
          <w:rPr>
            <w:rStyle w:val="Hyperlink"/>
            <w:rFonts w:cs="FrankRuehl" w:ascii="FrankRuehl" w:hAnsi="FrankRuehl"/>
            <w:bCs w:val="false"/>
            <w:color w:val="0000FF"/>
            <w:spacing w:val="0"/>
            <w:sz w:val="24"/>
            <w:szCs w:val="24"/>
          </w:rPr>
          <w:t>184</w:t>
        </w:r>
      </w:hyperlink>
    </w:p>
    <w:p>
      <w:pPr>
        <w:pStyle w:val="DocumentHead"/>
        <w:spacing w:lineRule="exact" w:line="240" w:before="0" w:after="120"/>
        <w:ind w:hanging="283" w:start="283" w:end="0"/>
        <w:jc w:val="both"/>
        <w:rPr>
          <w:rFonts w:ascii="FrankRuehl" w:hAnsi="FrankRuehl" w:cs="FrankRuehl"/>
          <w:bCs w:val="false"/>
          <w:spacing w:val="0"/>
          <w:sz w:val="24"/>
          <w:szCs w:val="24"/>
          <w:u w:val="none"/>
        </w:rPr>
      </w:pPr>
      <w:r>
        <w:rPr>
          <w:rFonts w:cs="FrankRuehl" w:ascii="FrankRuehl" w:hAnsi="FrankRuehl"/>
          <w:bCs w:val="false"/>
          <w:spacing w:val="0"/>
          <w:sz w:val="24"/>
          <w:szCs w:val="24"/>
          <w:u w:val="none"/>
          <w:rtl w:val="true"/>
        </w:rPr>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10" w:name="ABSTRACT_START"/>
      <w:bookmarkStart w:id="11" w:name="LawTable_End"/>
      <w:bookmarkEnd w:id="10"/>
      <w:bookmarkEnd w:id="11"/>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נדחה ערעור על הרשעת המערער בביצוע עבירות מין בקטינה בת משפחה שטרם מלאו לה </w:t>
      </w:r>
      <w:r>
        <w:rPr>
          <w:rFonts w:cs="Times New Roman" w:ascii="Times New Roman" w:hAnsi="Times New Roman"/>
          <w:spacing w:val="0"/>
          <w:szCs w:val="26"/>
        </w:rPr>
        <w:t>14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נפסק כי אין זה מקרה חריג המצדיק התערבות בממצאי עובדה ומהימנות שקבעה הערכאה הדיונית וכי עדות נפגעת העבירה לא הי</w:t>
      </w:r>
      <w:r>
        <w:rPr>
          <w:rFonts w:ascii="Times New Roman" w:hAnsi="Times New Roman" w:cs="Times New Roman"/>
          <w:spacing w:val="0"/>
          <w:szCs w:val="26"/>
          <w:rtl w:val="true"/>
        </w:rPr>
        <w:t>י</w:t>
      </w:r>
      <w:r>
        <w:rPr>
          <w:rFonts w:ascii="Times New Roman" w:hAnsi="Times New Roman" w:cs="Times New Roman"/>
          <w:spacing w:val="0"/>
          <w:szCs w:val="26"/>
          <w:rtl w:val="true"/>
        </w:rPr>
        <w:t>תה עדות יחידה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נתמכה בראיות חיצוניות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ומכל מקום עדותה נבחנה ונמצאה אמינה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כן נדחה הערעור על העונש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שכלל </w:t>
      </w:r>
      <w:r>
        <w:rPr>
          <w:rFonts w:cs="Times New Roman" w:ascii="Times New Roman" w:hAnsi="Times New Roman"/>
          <w:spacing w:val="0"/>
          <w:szCs w:val="26"/>
        </w:rPr>
        <w:t>8</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 בפועל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בהיותו ראוי ומאוזן ועולה בקנה אחד עם מדיניות הענישה</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ערעור – אי</w:t>
      </w:r>
      <w:r>
        <w:rPr>
          <w:rFonts w:cs="Times New Roman" w:ascii="Times New Roman" w:hAnsi="Times New Roman"/>
          <w:spacing w:val="0"/>
          <w:szCs w:val="26"/>
          <w:rtl w:val="true"/>
        </w:rPr>
        <w:t>-</w:t>
      </w:r>
      <w:r>
        <w:rPr>
          <w:rFonts w:ascii="Times New Roman" w:hAnsi="Times New Roman" w:cs="Times New Roman"/>
          <w:spacing w:val="0"/>
          <w:szCs w:val="26"/>
          <w:rtl w:val="true"/>
        </w:rPr>
        <w:t>התערבות בממצאים עובדתיים</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ערעור – אי</w:t>
      </w:r>
      <w:r>
        <w:rPr>
          <w:rFonts w:cs="Times New Roman" w:ascii="Times New Roman" w:hAnsi="Times New Roman"/>
          <w:spacing w:val="0"/>
          <w:szCs w:val="26"/>
          <w:rtl w:val="true"/>
        </w:rPr>
        <w:t>-</w:t>
      </w:r>
      <w:r>
        <w:rPr>
          <w:rFonts w:ascii="Times New Roman" w:hAnsi="Times New Roman" w:cs="Times New Roman"/>
          <w:spacing w:val="0"/>
          <w:szCs w:val="26"/>
          <w:rtl w:val="true"/>
        </w:rPr>
        <w:t>התערבות במידת העונש</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 מין במשפחה</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התערבות ערכאת ערעור</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ערעור על פסק דין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אשר הרשיע את המערער באינוס קטינה בת משפחה </w:t>
      </w:r>
      <w:r>
        <w:rPr>
          <w:rFonts w:cs="Times New Roman" w:ascii="Times New Roman" w:hAnsi="Times New Roman"/>
          <w:spacing w:val="0"/>
          <w:szCs w:val="26"/>
          <w:rtl w:val="true"/>
        </w:rPr>
        <w:t>(</w:t>
      </w:r>
      <w:r>
        <w:rPr>
          <w:rFonts w:ascii="Times New Roman" w:hAnsi="Times New Roman" w:cs="Times New Roman"/>
          <w:spacing w:val="0"/>
          <w:szCs w:val="26"/>
          <w:rtl w:val="true"/>
        </w:rPr>
        <w:t>מ</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שהיא אחות אשתו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שטרם מלאו לה </w:t>
      </w:r>
      <w:r>
        <w:rPr>
          <w:rFonts w:cs="Times New Roman" w:ascii="Times New Roman" w:hAnsi="Times New Roman"/>
          <w:spacing w:val="0"/>
          <w:szCs w:val="26"/>
        </w:rPr>
        <w:t>14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שנה </w:t>
      </w:r>
      <w:r>
        <w:rPr>
          <w:rFonts w:cs="Times New Roman" w:ascii="Times New Roman" w:hAnsi="Times New Roman"/>
          <w:spacing w:val="0"/>
          <w:szCs w:val="26"/>
          <w:rtl w:val="true"/>
        </w:rPr>
        <w:t>(</w:t>
      </w:r>
      <w:r>
        <w:rPr>
          <w:rFonts w:ascii="Times New Roman" w:hAnsi="Times New Roman" w:cs="Times New Roman"/>
          <w:spacing w:val="0"/>
          <w:szCs w:val="26"/>
          <w:rtl w:val="true"/>
        </w:rPr>
        <w:t>ריבוי עבירות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ובמעשה מגונה בקטינה בת משפחה שטרם מלאו לה </w:t>
      </w:r>
      <w:r>
        <w:rPr>
          <w:rFonts w:cs="Times New Roman" w:ascii="Times New Roman" w:hAnsi="Times New Roman"/>
          <w:spacing w:val="0"/>
          <w:szCs w:val="26"/>
        </w:rPr>
        <w:t>14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זוכה ממעשי העבירה שבוצעו כלפי האחות 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בעקבות הרשעה זו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הושת על המערער מאסר בפועל למשך </w:t>
      </w:r>
      <w:r>
        <w:rPr>
          <w:rFonts w:cs="Times New Roman" w:ascii="Times New Roman" w:hAnsi="Times New Roman"/>
          <w:spacing w:val="0"/>
          <w:szCs w:val="26"/>
        </w:rPr>
        <w:t>8</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שנים</w:t>
      </w:r>
      <w:r>
        <w:rPr>
          <w:rFonts w:cs="Times New Roman" w:ascii="Times New Roman" w:hAnsi="Times New Roman"/>
          <w:spacing w:val="0"/>
          <w:szCs w:val="26"/>
          <w:rtl w:val="true"/>
        </w:rPr>
        <w:t xml:space="preserve">, </w:t>
      </w:r>
      <w:r>
        <w:rPr>
          <w:rFonts w:cs="Times New Roman" w:ascii="Times New Roman" w:hAnsi="Times New Roman"/>
          <w:spacing w:val="0"/>
          <w:szCs w:val="26"/>
        </w:rPr>
        <w:t>8</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 מאסר על תנאי ופיצוי מ</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בסך של </w:t>
      </w:r>
      <w:r>
        <w:rPr>
          <w:rFonts w:cs="Times New Roman" w:ascii="Times New Roman" w:hAnsi="Times New Roman"/>
          <w:spacing w:val="0"/>
          <w:szCs w:val="26"/>
        </w:rPr>
        <w:t>50,000</w:t>
      </w:r>
      <w:r>
        <w:rPr>
          <w:rFonts w:cs="Times New Roman" w:ascii="Times New Roman" w:hAnsi="Times New Roman"/>
          <w:spacing w:val="0"/>
          <w:szCs w:val="26"/>
          <w:rtl w:val="true"/>
        </w:rPr>
        <w:t xml:space="preserve"> ₪.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שטיין ובהסכמת השופטות ברון ו</w:t>
      </w:r>
      <w:r>
        <w:rPr>
          <w:rFonts w:cs="Times New Roman" w:ascii="Times New Roman" w:hAnsi="Times New Roman"/>
          <w:spacing w:val="0"/>
          <w:szCs w:val="26"/>
          <w:rtl w:val="true"/>
        </w:rPr>
        <w:t>-</w:t>
      </w:r>
      <w:r>
        <w:rPr>
          <w:rFonts w:ascii="Times New Roman" w:hAnsi="Times New Roman" w:cs="Times New Roman"/>
          <w:spacing w:val="0"/>
          <w:szCs w:val="26"/>
          <w:rtl w:val="true"/>
        </w:rPr>
        <w:t>וילנר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הערעור ופסק כי</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הלכה היא כי בימ</w:t>
      </w:r>
      <w:r>
        <w:rPr>
          <w:rFonts w:cs="Times New Roman" w:ascii="Times New Roman" w:hAnsi="Times New Roman"/>
          <w:spacing w:val="0"/>
          <w:szCs w:val="26"/>
          <w:rtl w:val="true"/>
        </w:rPr>
        <w:t>"</w:t>
      </w:r>
      <w:r>
        <w:rPr>
          <w:rFonts w:ascii="Times New Roman" w:hAnsi="Times New Roman" w:cs="Times New Roman"/>
          <w:spacing w:val="0"/>
          <w:szCs w:val="26"/>
          <w:rtl w:val="true"/>
        </w:rPr>
        <w:t>ש ביושבו כערכאת ערעור בהליך פלילי לא יתערב בממצאים עובדתיים שקבעה הערכאה הדיונית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במקרים חריגים של טעות משפטית וקיפוח זכות שיש בהם כדי לשנות את תוצאת המשפט או בהימצא פגם בקבלת ראיות או בניתוחן אשר יורד לשורש העניין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מקום שמדובר בהרשעת נאשם בעבירת מין על בסיס עדותה היחידה של נפגעת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נכונות בימ</w:t>
      </w:r>
      <w:r>
        <w:rPr>
          <w:rFonts w:cs="Times New Roman" w:ascii="Times New Roman" w:hAnsi="Times New Roman"/>
          <w:spacing w:val="0"/>
          <w:szCs w:val="26"/>
          <w:rtl w:val="true"/>
        </w:rPr>
        <w:t>"</w:t>
      </w:r>
      <w:r>
        <w:rPr>
          <w:rFonts w:ascii="Times New Roman" w:hAnsi="Times New Roman" w:cs="Times New Roman"/>
          <w:spacing w:val="0"/>
          <w:szCs w:val="26"/>
          <w:rtl w:val="true"/>
        </w:rPr>
        <w:t>ש של ערעור להתערב בממצאים כאמור הולכת וגדלה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במקרים אלו חלה חובה מיוחדת על הערכאה הדיונית לנמק באופן פרטני את ממצאי המהימנות שלה ביחס לאותה עדות יחידה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כאמור בסעיף </w:t>
      </w:r>
      <w:r>
        <w:rPr>
          <w:rFonts w:cs="Times New Roman" w:ascii="Times New Roman" w:hAnsi="Times New Roman"/>
          <w:spacing w:val="0"/>
          <w:szCs w:val="26"/>
        </w:rPr>
        <w:t>54</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ascii="Times New Roman" w:hAnsi="Times New Roman" w:cs="Times New Roman"/>
          <w:spacing w:val="0"/>
          <w:szCs w:val="26"/>
          <w:rtl w:val="true"/>
        </w:rPr>
        <w:t>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לפקודת הראיות</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עם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מקרה זה לא חוסה בצלו של הסעיף הנ</w:t>
      </w:r>
      <w:r>
        <w:rPr>
          <w:rFonts w:cs="Times New Roman" w:ascii="Times New Roman" w:hAnsi="Times New Roman"/>
          <w:spacing w:val="0"/>
          <w:szCs w:val="26"/>
          <w:rtl w:val="true"/>
        </w:rPr>
        <w:t>"</w:t>
      </w:r>
      <w:r>
        <w:rPr>
          <w:rFonts w:ascii="Times New Roman" w:hAnsi="Times New Roman" w:cs="Times New Roman"/>
          <w:spacing w:val="0"/>
          <w:szCs w:val="26"/>
          <w:rtl w:val="true"/>
        </w:rPr>
        <w:t>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עדותה של מ</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נפגעת העבירות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הי</w:t>
      </w:r>
      <w:r>
        <w:rPr>
          <w:rFonts w:ascii="Times New Roman" w:hAnsi="Times New Roman" w:cs="Times New Roman"/>
          <w:spacing w:val="0"/>
          <w:szCs w:val="26"/>
          <w:rtl w:val="true"/>
        </w:rPr>
        <w:t>י</w:t>
      </w:r>
      <w:r>
        <w:rPr>
          <w:rFonts w:ascii="Times New Roman" w:hAnsi="Times New Roman" w:cs="Times New Roman"/>
          <w:spacing w:val="0"/>
          <w:szCs w:val="26"/>
          <w:rtl w:val="true"/>
        </w:rPr>
        <w:t>תה עדות יחידה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נתמכה בראיות חיצוניות שכללו את עדות אחותה 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מהווה חיזוק בהיותה עדות על מעשים דומים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אם לא עדות שיטה ממש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חיזוק נוסף נמצא בכך שה</w:t>
      </w:r>
      <w:r>
        <w:rPr>
          <w:rFonts w:ascii="Times New Roman" w:hAnsi="Times New Roman" w:cs="Times New Roman"/>
          <w:spacing w:val="0"/>
          <w:szCs w:val="26"/>
          <w:rtl w:val="true"/>
        </w:rPr>
        <w:t>י</w:t>
      </w:r>
      <w:r>
        <w:rPr>
          <w:rFonts w:ascii="Times New Roman" w:hAnsi="Times New Roman" w:cs="Times New Roman"/>
          <w:spacing w:val="0"/>
          <w:szCs w:val="26"/>
          <w:rtl w:val="true"/>
        </w:rPr>
        <w:t>יתה זו מ</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שחשפה את מעשי המערער לראשונה בפני בעלה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באופן שהיה מנותק מכל שרשרת אירועים אחרת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ומבלי שידעה אז על אשר אירע לאחותה 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למרות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נימק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את ממצאי המהימנות שלו ביחס למ</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ובהנמקה זו לא נפלה כל טעות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בנוסף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הגרעין הקשה של האמת שבעדות נפגעת העבירה הוא הקובע גם כאשר מדובר בעדות שאיננה חלקה ונקיה מסתירות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במקרה דנן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לא הסתפק בגרעין הקשה של העדות שמסרה מ</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ובדק את פרטי העדות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אותה מצא עקבית וללא סתירות מהותיות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מצאהּ אמינה מעבר לספק סביר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ואין להתערב בכך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מאידך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עדות המערער נמצאה בלתי אמינה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טענתו בדבר טעות אפשרית בזיהוי מבצע העבירות קרסה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וכך גם טענתו על מחדלי המשטרה והתביעה</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עונשו של המערער אינו מצדיק התערבות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מדובר בעונש ראוי ומאוזן שעולה בקנה אחד עם מדיניות הענישה ביחס לעבירות מין בקטינים בני משפחה ויש בו גם מידה רבה של התחשבות בעינוי הדין שנגרם למערער שלא באשמתו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מקום לטענה כי העונש שנגזר על המערער הוא חמור בהתחשב בריבוי העבירות ובחומרתן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כבר נפסק כי ראוי להטיל על עברייני מין עונשים חמורים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תוך עריכת איזון מוסרי בין העבריין לקורבן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כאשר עקרון ההלימה מחייב כי ענישת העבריין תביא לתיקון מוסרי אשר ישקם את ערכה של הנפגעת מן העבירה כאדם בן חורין הזכאי לשלמות גוף ולחופש הרצון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עקרונות הענישה ומטרות הענישה ייפגעו אם יופחת מעונשו של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ולו במקצת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אמנם שיקום יכול שיהווה שיקול להקלה בעונש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שהקלה בעונש של עבריין שביצע עבירות מין בעלות חומרה יתרה תתאפשר רק במקרים מיוחדים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שמקרה זה לא נמנה עליהם</w:t>
      </w:r>
      <w:r>
        <w:rPr>
          <w:rFonts w:cs="Times New Roman" w:ascii="Times New Roman" w:hAnsi="Times New Roman"/>
          <w:spacing w:val="0"/>
          <w:szCs w:val="26"/>
          <w:rtl w:val="true"/>
        </w:rPr>
        <w:t xml:space="preserve">.  </w:t>
      </w:r>
    </w:p>
    <w:p>
      <w:pPr>
        <w:pStyle w:val="DocumentHead"/>
        <w:spacing w:lineRule="exact" w:line="240" w:before="0" w:after="120"/>
        <w:ind w:hanging="283" w:start="283" w:end="0"/>
        <w:jc w:val="both"/>
        <w:rPr>
          <w:rFonts w:ascii="FrankRuehl" w:hAnsi="FrankRuehl" w:cs="FrankRuehl"/>
          <w:bCs w:val="false"/>
          <w:spacing w:val="0"/>
          <w:sz w:val="24"/>
          <w:szCs w:val="24"/>
          <w:u w:val="none"/>
        </w:rPr>
      </w:pPr>
      <w:r>
        <w:rPr>
          <w:rFonts w:cs="FrankRuehl" w:ascii="FrankRuehl" w:hAnsi="FrankRuehl"/>
          <w:bCs w:val="false"/>
          <w:spacing w:val="0"/>
          <w:sz w:val="24"/>
          <w:szCs w:val="24"/>
          <w:u w:val="none"/>
          <w:rtl w:val="true"/>
        </w:rPr>
      </w:r>
      <w:bookmarkStart w:id="12" w:name="ABSTRACT_END"/>
      <w:bookmarkStart w:id="13" w:name="ABSTRACT_END"/>
      <w:bookmarkEnd w:id="13"/>
    </w:p>
    <w:p>
      <w:pPr>
        <w:pStyle w:val="DocumentHead"/>
        <w:ind w:end="0"/>
        <w:jc w:val="center"/>
        <w:rPr/>
      </w:pPr>
      <w:bookmarkStart w:id="14" w:name="PsakDin"/>
      <w:r>
        <w:rPr>
          <w:rtl w:val="true"/>
        </w:rPr>
        <w:t>פסק</w:t>
      </w:r>
      <w:r>
        <w:rPr>
          <w:rtl w:val="true"/>
        </w:rPr>
        <w:t>-</w:t>
      </w:r>
      <w:r>
        <w:rPr>
          <w:rtl w:val="true"/>
        </w:rPr>
        <w:t>דין</w:t>
      </w:r>
      <w:bookmarkEnd w:id="14"/>
    </w:p>
    <w:p>
      <w:pPr>
        <w:pStyle w:val="BODYVERDICT"/>
        <w:ind w:end="0"/>
        <w:jc w:val="start"/>
        <w:rPr/>
      </w:pPr>
      <w:r>
        <w:rPr>
          <w:rtl w:val="true"/>
        </w:rPr>
      </w:r>
    </w:p>
    <w:p>
      <w:pPr>
        <w:pStyle w:val="BODYVERDICT"/>
        <w:ind w:end="0"/>
        <w:jc w:val="start"/>
        <w:rPr>
          <w:rFonts w:cs="Miriam"/>
          <w:sz w:val="24"/>
          <w:szCs w:val="24"/>
          <w:u w:val="single"/>
        </w:rPr>
      </w:pPr>
      <w:bookmarkStart w:id="15" w:name="Writer_Name"/>
      <w:bookmarkEnd w:id="15"/>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א</w:t>
      </w:r>
      <w:r>
        <w:rPr>
          <w:rFonts w:cs="Miriam"/>
          <w:sz w:val="24"/>
          <w:szCs w:val="24"/>
          <w:u w:val="single"/>
          <w:rtl w:val="true"/>
        </w:rPr>
        <w:t xml:space="preserve">' </w:t>
      </w:r>
      <w:r>
        <w:rPr>
          <w:rFonts w:cs="Miriam"/>
          <w:sz w:val="24"/>
          <w:sz w:val="24"/>
          <w:szCs w:val="24"/>
          <w:u w:val="single"/>
          <w:rtl w:val="true"/>
        </w:rPr>
        <w:t>שטיין</w:t>
      </w:r>
      <w:r>
        <w:rPr>
          <w:rFonts w:cs="Miriam"/>
          <w:sz w:val="24"/>
          <w:szCs w:val="24"/>
          <w:u w:val="single"/>
          <w:rtl w:val="true"/>
        </w:rPr>
        <w:t>:</w:t>
      </w:r>
    </w:p>
    <w:p>
      <w:pPr>
        <w:pStyle w:val="Ruller4"/>
        <w:ind w:end="0"/>
        <w:jc w:val="both"/>
        <w:rPr>
          <w:rFonts w:cs="Miriam"/>
          <w:sz w:val="24"/>
          <w:szCs w:val="24"/>
          <w:u w:val="single"/>
        </w:rPr>
      </w:pPr>
      <w:r>
        <w:rPr>
          <w:rFonts w:cs="Miriam"/>
          <w:sz w:val="24"/>
          <w:szCs w:val="24"/>
          <w:u w:val="single"/>
          <w:rtl w:val="true"/>
        </w:rPr>
      </w:r>
      <w:bookmarkStart w:id="16" w:name="Start_Write"/>
      <w:bookmarkStart w:id="17" w:name="Start_Write"/>
      <w:bookmarkEnd w:id="17"/>
    </w:p>
    <w:p>
      <w:pPr>
        <w:pStyle w:val="Ruller41"/>
        <w:numPr>
          <w:ilvl w:val="0"/>
          <w:numId w:val="1"/>
        </w:numPr>
        <w:ind w:hanging="0" w:start="0" w:end="0"/>
        <w:jc w:val="both"/>
        <w:rPr/>
      </w:pPr>
      <w:r>
        <w:rPr>
          <w:rtl w:val="true"/>
        </w:rPr>
        <w:t xml:space="preserve">לפנינו ערעור על פסק דינו של בית המשפט המחוזי ירושלים </w:t>
      </w:r>
      <w:r>
        <w:rPr>
          <w:rtl w:val="true"/>
        </w:rPr>
        <w:t>(</w:t>
      </w:r>
      <w:r>
        <w:rPr>
          <w:rtl w:val="true"/>
        </w:rPr>
        <w:t xml:space="preserve">השופטים </w:t>
      </w:r>
      <w:r>
        <w:rPr>
          <w:rFonts w:ascii="Century" w:hAnsi="Century" w:cs="Miriam"/>
          <w:b/>
          <w:b/>
          <w:spacing w:val="0"/>
          <w:sz w:val="22"/>
          <w:sz w:val="22"/>
          <w:szCs w:val="24"/>
          <w:rtl w:val="true"/>
        </w:rPr>
        <w:t>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כרמל</w:t>
      </w:r>
      <w:r>
        <w:rPr>
          <w:rtl w:val="true"/>
        </w:rPr>
        <w:t xml:space="preserve">, </w:t>
      </w:r>
      <w:r>
        <w:rPr>
          <w:rFonts w:ascii="Century" w:hAnsi="Century" w:cs="Miriam"/>
          <w:b/>
          <w:b/>
          <w:spacing w:val="0"/>
          <w:sz w:val="22"/>
          <w:sz w:val="22"/>
          <w:szCs w:val="24"/>
          <w:rtl w:val="true"/>
        </w:rPr>
        <w:t>כ</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מוסק</w:t>
      </w:r>
      <w:r>
        <w:rPr>
          <w:rtl w:val="true"/>
        </w:rPr>
        <w:t xml:space="preserve"> ו</w:t>
      </w:r>
      <w:r>
        <w:rPr>
          <w:rFonts w:ascii="Century" w:hAnsi="Century" w:cs="Miriam"/>
          <w:b/>
          <w:b/>
          <w:spacing w:val="0"/>
          <w:sz w:val="22"/>
          <w:sz w:val="22"/>
          <w:szCs w:val="24"/>
          <w:rtl w:val="true"/>
        </w:rPr>
        <w:t>ש</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רנר</w:t>
      </w:r>
      <w:r>
        <w:rPr>
          <w:rtl w:val="true"/>
        </w:rPr>
        <w:t xml:space="preserve">) </w:t>
      </w:r>
      <w:r>
        <w:rPr>
          <w:rtl w:val="true"/>
        </w:rPr>
        <w:t>ב</w:t>
      </w:r>
      <w:r>
        <w:rPr>
          <w:rtl w:val="true"/>
        </w:rPr>
        <w:t>תפ״ח</w:t>
      </w:r>
      <w:r>
        <w:rPr>
          <w:rtl w:val="true"/>
        </w:rPr>
        <w:t xml:space="preserve"> </w:t>
      </w:r>
      <w:r>
        <w:rPr/>
        <w:t>53400-06-14</w:t>
      </w:r>
      <w:r>
        <w:rPr>
          <w:rtl w:val="true"/>
        </w:rPr>
        <w:t xml:space="preserve">, </w:t>
      </w:r>
      <w:r>
        <w:rPr>
          <w:rtl w:val="true"/>
        </w:rPr>
        <w:t xml:space="preserve">אשר הרשיע את המערער באינוס קטינה בת משפחה שטרם מלאו לה </w:t>
      </w:r>
      <w:r>
        <w:rPr/>
        <w:t>14</w:t>
      </w:r>
      <w:r>
        <w:rPr>
          <w:rtl w:val="true"/>
        </w:rPr>
        <w:t xml:space="preserve"> </w:t>
      </w:r>
      <w:r>
        <w:rPr>
          <w:rtl w:val="true"/>
        </w:rPr>
        <w:t>שנה</w:t>
      </w:r>
      <w:r>
        <w:rPr>
          <w:rtl w:val="true"/>
        </w:rPr>
        <w:t xml:space="preserve">, </w:t>
      </w:r>
      <w:r>
        <w:rPr>
          <w:rtl w:val="true"/>
        </w:rPr>
        <w:t xml:space="preserve">עבירה לפי </w:t>
      </w:r>
      <w:hyperlink r:id="rId17">
        <w:r>
          <w:rPr>
            <w:rStyle w:val="Hyperlink"/>
            <w:color w:val="0000FF"/>
            <w:u w:val="single"/>
            <w:rtl w:val="true"/>
          </w:rPr>
          <w:t>סעיף</w:t>
        </w:r>
        <w:r>
          <w:rPr>
            <w:rStyle w:val="Hyperlink"/>
            <w:color w:val="0000FF"/>
            <w:u w:val="single"/>
            <w:rtl w:val="true"/>
          </w:rPr>
          <w:t xml:space="preserve"> </w:t>
        </w:r>
        <w:r>
          <w:rPr>
            <w:rStyle w:val="Hyperlink"/>
            <w:color w:val="0000FF"/>
            <w:u w:val="single"/>
          </w:rPr>
          <w:t>351</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3</w:t>
        </w:r>
        <w:r>
          <w:rPr>
            <w:rStyle w:val="Hyperlink"/>
            <w:color w:val="0000FF"/>
            <w:u w:val="single"/>
            <w:rtl w:val="true"/>
          </w:rPr>
          <w:t>)</w:t>
        </w:r>
      </w:hyperlink>
      <w:r>
        <w:rPr>
          <w:rtl w:val="true"/>
        </w:rPr>
        <w:t xml:space="preserve"> </w:t>
      </w:r>
      <w:r>
        <w:rPr>
          <w:rtl w:val="true"/>
        </w:rPr>
        <w:t xml:space="preserve">בנסיבות </w:t>
      </w:r>
      <w:hyperlink r:id="rId18">
        <w:r>
          <w:rPr>
            <w:rStyle w:val="Hyperlink"/>
            <w:color w:val="0000FF"/>
            <w:u w:val="single"/>
            <w:rtl w:val="true"/>
          </w:rPr>
          <w:t>סעיף</w:t>
        </w:r>
        <w:r>
          <w:rPr>
            <w:rStyle w:val="Hyperlink"/>
            <w:color w:val="0000FF"/>
            <w:u w:val="single"/>
            <w:rtl w:val="true"/>
          </w:rPr>
          <w:t xml:space="preserve"> </w:t>
        </w:r>
        <w:r>
          <w:rPr>
            <w:rStyle w:val="Hyperlink"/>
            <w:color w:val="0000FF"/>
            <w:u w:val="single"/>
          </w:rPr>
          <w:t>345</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3</w:t>
        </w:r>
        <w:r>
          <w:rPr>
            <w:rStyle w:val="Hyperlink"/>
            <w:color w:val="0000FF"/>
            <w:u w:val="single"/>
            <w:rtl w:val="true"/>
          </w:rPr>
          <w:t>)</w:t>
        </w:r>
      </w:hyperlink>
      <w:r>
        <w:rPr>
          <w:rtl w:val="true"/>
        </w:rPr>
        <w:t xml:space="preserve"> </w:t>
      </w:r>
      <w:r>
        <w:rPr>
          <w:rtl w:val="true"/>
        </w:rPr>
        <w:t>ל</w:t>
      </w:r>
      <w:hyperlink r:id="rId1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Fonts w:cs="Century" w:ascii="Century" w:hAnsi="Century"/>
          <w:sz w:val="22"/>
          <w:rtl w:val="true"/>
        </w:rPr>
        <w:t>)</w:t>
      </w:r>
      <w:r>
        <w:rPr>
          <w:rtl w:val="true"/>
        </w:rPr>
        <w:t xml:space="preserve"> (</w:t>
      </w:r>
      <w:r>
        <w:rPr>
          <w:rtl w:val="true"/>
        </w:rPr>
        <w:t>ריבוי עבירות</w:t>
      </w:r>
      <w:r>
        <w:rPr>
          <w:rtl w:val="true"/>
        </w:rPr>
        <w:t xml:space="preserve">), </w:t>
      </w:r>
      <w:r>
        <w:rPr>
          <w:rtl w:val="true"/>
        </w:rPr>
        <w:t xml:space="preserve">וכן במעשה מגונה בקטינה בת משפחה שטרם מלאו לה </w:t>
      </w:r>
      <w:r>
        <w:rPr/>
        <w:t>14</w:t>
      </w:r>
      <w:r>
        <w:rPr>
          <w:rtl w:val="true"/>
        </w:rPr>
        <w:t xml:space="preserve"> </w:t>
      </w:r>
      <w:r>
        <w:rPr>
          <w:rtl w:val="true"/>
        </w:rPr>
        <w:t>שנה</w:t>
      </w:r>
      <w:r>
        <w:rPr>
          <w:rtl w:val="true"/>
        </w:rPr>
        <w:t xml:space="preserve">, </w:t>
      </w:r>
      <w:r>
        <w:rPr>
          <w:rtl w:val="true"/>
        </w:rPr>
        <w:t xml:space="preserve">עבירה לפי </w:t>
      </w:r>
      <w:hyperlink r:id="rId20">
        <w:r>
          <w:rPr>
            <w:rStyle w:val="Hyperlink"/>
            <w:color w:val="0000FF"/>
            <w:u w:val="single"/>
            <w:rtl w:val="true"/>
          </w:rPr>
          <w:t>סעיף</w:t>
        </w:r>
        <w:r>
          <w:rPr>
            <w:rStyle w:val="Hyperlink"/>
            <w:color w:val="0000FF"/>
            <w:u w:val="single"/>
            <w:rtl w:val="true"/>
          </w:rPr>
          <w:t xml:space="preserve"> </w:t>
        </w:r>
        <w:r>
          <w:rPr>
            <w:rStyle w:val="Hyperlink"/>
            <w:color w:val="0000FF"/>
            <w:u w:val="single"/>
          </w:rPr>
          <w:t>351</w:t>
        </w:r>
        <w:r>
          <w:rPr>
            <w:rStyle w:val="Hyperlink"/>
            <w:color w:val="0000FF"/>
            <w:u w:val="single"/>
            <w:rtl w:val="true"/>
          </w:rPr>
          <w:t>(</w:t>
        </w:r>
        <w:r>
          <w:rPr>
            <w:rStyle w:val="Hyperlink"/>
            <w:color w:val="0000FF"/>
            <w:u w:val="single"/>
            <w:rtl w:val="true"/>
          </w:rPr>
          <w:t>ג</w:t>
        </w:r>
        <w:r>
          <w:rPr>
            <w:rStyle w:val="Hyperlink"/>
            <w:color w:val="0000FF"/>
            <w:u w:val="single"/>
            <w:rtl w:val="true"/>
          </w:rPr>
          <w:t>)(</w:t>
        </w:r>
        <w:r>
          <w:rPr>
            <w:rStyle w:val="Hyperlink"/>
            <w:color w:val="0000FF"/>
            <w:u w:val="single"/>
          </w:rPr>
          <w:t>3</w:t>
        </w:r>
        <w:r>
          <w:rPr>
            <w:rStyle w:val="Hyperlink"/>
            <w:color w:val="0000FF"/>
            <w:u w:val="single"/>
            <w:rtl w:val="true"/>
          </w:rPr>
          <w:t>)</w:t>
        </w:r>
      </w:hyperlink>
      <w:r>
        <w:rPr>
          <w:rtl w:val="true"/>
        </w:rPr>
        <w:t xml:space="preserve"> </w:t>
      </w:r>
      <w:r>
        <w:rPr>
          <w:rtl w:val="true"/>
        </w:rPr>
        <w:t>לחוק העונשין</w:t>
      </w:r>
      <w:r>
        <w:rPr>
          <w:rtl w:val="true"/>
        </w:rPr>
        <w:t xml:space="preserve">. </w:t>
      </w:r>
      <w:r>
        <w:rPr>
          <w:rtl w:val="true"/>
        </w:rPr>
        <w:t>בעקבות הרשעה זו</w:t>
      </w:r>
      <w:r>
        <w:rPr>
          <w:rtl w:val="true"/>
        </w:rPr>
        <w:t xml:space="preserve">, </w:t>
      </w:r>
      <w:r>
        <w:rPr>
          <w:rtl w:val="true"/>
        </w:rPr>
        <w:t xml:space="preserve">השית בית משפט קמא על המערער מאסר בפועל למשך </w:t>
      </w:r>
      <w:r>
        <w:rPr/>
        <w:t>8</w:t>
      </w:r>
      <w:r>
        <w:rPr>
          <w:rtl w:val="true"/>
        </w:rPr>
        <w:t xml:space="preserve"> </w:t>
      </w:r>
      <w:r>
        <w:rPr>
          <w:rtl w:val="true"/>
        </w:rPr>
        <w:t>שנים</w:t>
      </w:r>
      <w:r>
        <w:rPr>
          <w:rtl w:val="true"/>
        </w:rPr>
        <w:t xml:space="preserve">, </w:t>
      </w:r>
      <w:r>
        <w:rPr>
          <w:rtl w:val="true"/>
        </w:rPr>
        <w:t>בניכוי ימי מעצרו</w:t>
      </w:r>
      <w:r>
        <w:rPr>
          <w:rtl w:val="true"/>
        </w:rPr>
        <w:t xml:space="preserve">, </w:t>
      </w:r>
      <w:r>
        <w:rPr>
          <w:rtl w:val="true"/>
        </w:rPr>
        <w:t xml:space="preserve">שמונה חודשי מאסר על תנאי לבל יעבור עבירת מין לפי </w:t>
      </w:r>
      <w:hyperlink r:id="rId21">
        <w:r>
          <w:rPr>
            <w:rStyle w:val="Hyperlink"/>
            <w:color w:val="0000FF"/>
            <w:u w:val="single"/>
            <w:rtl w:val="true"/>
          </w:rPr>
          <w:t>סימן</w:t>
        </w:r>
        <w:r>
          <w:rPr>
            <w:rStyle w:val="Hyperlink"/>
            <w:color w:val="0000FF"/>
            <w:u w:val="single"/>
            <w:rtl w:val="true"/>
          </w:rPr>
          <w:t xml:space="preserve"> </w:t>
        </w:r>
        <w:r>
          <w:rPr>
            <w:rStyle w:val="Hyperlink"/>
            <w:color w:val="0000FF"/>
            <w:u w:val="single"/>
            <w:rtl w:val="true"/>
          </w:rPr>
          <w:t>ה</w:t>
        </w:r>
        <w:r>
          <w:rPr>
            <w:rStyle w:val="Hyperlink"/>
            <w:color w:val="0000FF"/>
            <w:u w:val="single"/>
            <w:rtl w:val="true"/>
          </w:rPr>
          <w:t>'</w:t>
        </w:r>
      </w:hyperlink>
      <w:r>
        <w:rPr>
          <w:rtl w:val="true"/>
        </w:rPr>
        <w:t xml:space="preserve"> </w:t>
      </w:r>
      <w:r>
        <w:rPr>
          <w:rtl w:val="true"/>
        </w:rPr>
        <w:t>לפרק י</w:t>
      </w:r>
      <w:r>
        <w:rPr>
          <w:rtl w:val="true"/>
        </w:rPr>
        <w:t xml:space="preserve">' </w:t>
      </w:r>
      <w:r>
        <w:rPr>
          <w:rtl w:val="true"/>
        </w:rPr>
        <w:t>ל</w:t>
      </w:r>
      <w:hyperlink r:id="rId2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וכן חייבו לשלם לנפגעת העבירות פיצויים בסך של </w:t>
      </w:r>
      <w:r>
        <w:rPr/>
        <w:t>50,000</w:t>
      </w:r>
      <w:r>
        <w:rPr>
          <w:rtl w:val="true"/>
        </w:rPr>
        <w:t xml:space="preserve"> </w:t>
      </w:r>
      <w:r>
        <w:rPr>
          <w:rFonts w:cs="Times New Roman" w:ascii="Times New Roman" w:hAnsi="Times New Roman"/>
          <w:rtl w:val="true"/>
        </w:rPr>
        <w:t>₪</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ההליך</w:t>
      </w:r>
      <w:r>
        <w:rPr>
          <w:rFonts w:ascii="Century" w:hAnsi="Century" w:eastAsia="Century" w:cs="Century"/>
          <w:b/>
          <w:b/>
          <w:spacing w:val="0"/>
          <w:szCs w:val="24"/>
          <w:rtl w:val="true"/>
        </w:rPr>
        <w:t xml:space="preserve"> </w:t>
      </w:r>
      <w:r>
        <w:rPr>
          <w:rFonts w:ascii="Century" w:hAnsi="Century" w:cs="Miriam"/>
          <w:b/>
          <w:b/>
          <w:spacing w:val="0"/>
          <w:szCs w:val="24"/>
          <w:rtl w:val="true"/>
        </w:rPr>
        <w:t>קמא</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כתב האישום ייחס למערער ביצוע עבירות מין בש</w:t>
      </w:r>
      <w:r>
        <w:rPr>
          <w:rtl w:val="true"/>
        </w:rPr>
        <w:t xml:space="preserve">' </w:t>
      </w:r>
      <w:r>
        <w:rPr>
          <w:rtl w:val="true"/>
        </w:rPr>
        <w:t>ובמ</w:t>
      </w:r>
      <w:r>
        <w:rPr>
          <w:rtl w:val="true"/>
        </w:rPr>
        <w:t xml:space="preserve">', </w:t>
      </w:r>
      <w:r>
        <w:rPr>
          <w:rtl w:val="true"/>
        </w:rPr>
        <w:t>אחיותיה של אשתו ט</w:t>
      </w:r>
      <w:r>
        <w:rPr>
          <w:rtl w:val="true"/>
        </w:rPr>
        <w:t xml:space="preserve">'. </w:t>
      </w:r>
      <w:r>
        <w:rPr>
          <w:rtl w:val="true"/>
        </w:rPr>
        <w:t>חלקו הכללי של כתב האישום מתאר כי בתקופה הרלבנטית</w:t>
      </w:r>
      <w:r>
        <w:rPr>
          <w:rtl w:val="true"/>
        </w:rPr>
        <w:t xml:space="preserve">, </w:t>
      </w:r>
      <w:r>
        <w:rPr>
          <w:rtl w:val="true"/>
        </w:rPr>
        <w:t>נהגו המערער ואשתו לשהות בבית הוריה של אשתו במספר רב של שבתות וחגים</w:t>
      </w:r>
      <w:r>
        <w:rPr>
          <w:rtl w:val="true"/>
        </w:rPr>
        <w:t xml:space="preserve">, </w:t>
      </w:r>
      <w:r>
        <w:rPr>
          <w:rtl w:val="true"/>
        </w:rPr>
        <w:t>וכי במועדים אלו ביצע המערער בש</w:t>
      </w:r>
      <w:r>
        <w:rPr>
          <w:rtl w:val="true"/>
        </w:rPr>
        <w:t xml:space="preserve">' </w:t>
      </w:r>
      <w:r>
        <w:rPr>
          <w:rtl w:val="true"/>
        </w:rPr>
        <w:t>ובמ</w:t>
      </w:r>
      <w:r>
        <w:rPr>
          <w:rtl w:val="true"/>
        </w:rPr>
        <w:t xml:space="preserve">', </w:t>
      </w:r>
      <w:r>
        <w:rPr>
          <w:rtl w:val="true"/>
        </w:rPr>
        <w:t>בעודן קטינות</w:t>
      </w:r>
      <w:r>
        <w:rPr>
          <w:rtl w:val="true"/>
        </w:rPr>
        <w:t xml:space="preserve">, </w:t>
      </w:r>
      <w:r>
        <w:rPr>
          <w:rtl w:val="true"/>
        </w:rPr>
        <w:t>מספר רב של עבירות מין חמורות אשר כללו אינוס ומעשה מגונה</w:t>
      </w:r>
      <w:r>
        <w:rPr>
          <w:rtl w:val="true"/>
        </w:rPr>
        <w:t>.</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האישום הראשון ייחס למערער ביצוע של מעשים מגונים בש</w:t>
      </w:r>
      <w:r>
        <w:rPr>
          <w:rtl w:val="true"/>
        </w:rPr>
        <w:t xml:space="preserve">' </w:t>
      </w:r>
      <w:r>
        <w:rPr>
          <w:rtl w:val="true"/>
        </w:rPr>
        <w:t xml:space="preserve">בהיותה בגילאים </w:t>
      </w:r>
      <w:r>
        <w:rPr/>
        <w:t>17-15</w:t>
      </w:r>
      <w:r>
        <w:rPr>
          <w:rtl w:val="true"/>
        </w:rPr>
        <w:t xml:space="preserve">. </w:t>
      </w:r>
      <w:r>
        <w:rPr>
          <w:rtl w:val="true"/>
        </w:rPr>
        <w:t>במסגרתו של אישום זה</w:t>
      </w:r>
      <w:r>
        <w:rPr>
          <w:rtl w:val="true"/>
        </w:rPr>
        <w:t xml:space="preserve">, </w:t>
      </w:r>
      <w:r>
        <w:rPr>
          <w:rtl w:val="true"/>
        </w:rPr>
        <w:t>טענה המדינה כי בזמנים שונים</w:t>
      </w:r>
      <w:r>
        <w:rPr>
          <w:rtl w:val="true"/>
        </w:rPr>
        <w:t xml:space="preserve">, </w:t>
      </w:r>
      <w:r>
        <w:rPr>
          <w:rtl w:val="true"/>
        </w:rPr>
        <w:t>בהם לן המערער</w:t>
      </w:r>
      <w:r>
        <w:rPr>
          <w:rtl w:val="true"/>
        </w:rPr>
        <w:t xml:space="preserve">, </w:t>
      </w:r>
      <w:r>
        <w:rPr>
          <w:rtl w:val="true"/>
        </w:rPr>
        <w:t>יחד עם אשתו ט</w:t>
      </w:r>
      <w:r>
        <w:rPr>
          <w:rtl w:val="true"/>
        </w:rPr>
        <w:t xml:space="preserve">', </w:t>
      </w:r>
      <w:r>
        <w:rPr>
          <w:rtl w:val="true"/>
        </w:rPr>
        <w:t>בבית חמיו הוא נהג להיכנס לחדרה של ש</w:t>
      </w:r>
      <w:r>
        <w:rPr>
          <w:rtl w:val="true"/>
        </w:rPr>
        <w:t xml:space="preserve">' </w:t>
      </w:r>
      <w:r>
        <w:rPr>
          <w:rtl w:val="true"/>
        </w:rPr>
        <w:t>בשעת לילה</w:t>
      </w:r>
      <w:r>
        <w:rPr>
          <w:rtl w:val="true"/>
        </w:rPr>
        <w:t xml:space="preserve">, </w:t>
      </w:r>
      <w:r>
        <w:rPr>
          <w:rtl w:val="true"/>
        </w:rPr>
        <w:t>להרים את חולצתה</w:t>
      </w:r>
      <w:r>
        <w:rPr>
          <w:rtl w:val="true"/>
        </w:rPr>
        <w:t xml:space="preserve">, </w:t>
      </w:r>
      <w:r>
        <w:rPr>
          <w:rtl w:val="true"/>
        </w:rPr>
        <w:t>ללטף את בטנה ולגעת באיבר מינה</w:t>
      </w:r>
      <w:r>
        <w:rPr>
          <w:rtl w:val="true"/>
        </w:rPr>
        <w:t xml:space="preserve">. </w:t>
      </w:r>
      <w:r>
        <w:rPr>
          <w:rtl w:val="true"/>
        </w:rPr>
        <w:t>ברוב המקרים הללו העמידה ש</w:t>
      </w:r>
      <w:r>
        <w:rPr>
          <w:rtl w:val="true"/>
        </w:rPr>
        <w:t xml:space="preserve">' </w:t>
      </w:r>
      <w:r>
        <w:rPr>
          <w:rtl w:val="true"/>
        </w:rPr>
        <w:t>פני ישנה ולעיתים הצליחה לגרום למערער לחדול ממעשיו באמצעות אנחות שהיתה משמיעה או על ידי התהפכות במיטתה</w:t>
      </w:r>
      <w:r>
        <w:rPr>
          <w:rtl w:val="true"/>
        </w:rPr>
        <w:t xml:space="preserve">. </w:t>
      </w:r>
      <w:r>
        <w:rPr>
          <w:rtl w:val="true"/>
        </w:rPr>
        <w:t xml:space="preserve">בגין מעשים אלו ייחסה המדינה למערער ריבוי עבירות של מעשה מגונה בקטינה בת משפחה שטרם מלאו לה </w:t>
      </w:r>
      <w:r>
        <w:rPr/>
        <w:t>16</w:t>
      </w:r>
      <w:r>
        <w:rPr>
          <w:rtl w:val="true"/>
        </w:rPr>
        <w:t xml:space="preserve"> </w:t>
      </w:r>
      <w:r>
        <w:rPr>
          <w:rtl w:val="true"/>
        </w:rPr>
        <w:t>שנה שלא בהסכמתה החופשית</w:t>
      </w:r>
      <w:r>
        <w:rPr>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לפי האישום השני</w:t>
      </w:r>
      <w:r>
        <w:rPr>
          <w:rtl w:val="true"/>
        </w:rPr>
        <w:t xml:space="preserve">, </w:t>
      </w:r>
      <w:r>
        <w:rPr>
          <w:rtl w:val="true"/>
        </w:rPr>
        <w:t xml:space="preserve">במקרים רבים שאירעו במהלך השנים </w:t>
      </w:r>
      <w:r>
        <w:rPr/>
        <w:t>2001-1998</w:t>
      </w:r>
      <w:r>
        <w:rPr>
          <w:rtl w:val="true"/>
        </w:rPr>
        <w:t xml:space="preserve">, </w:t>
      </w:r>
      <w:r>
        <w:rPr>
          <w:rtl w:val="true"/>
        </w:rPr>
        <w:t>נהג המערער להיכנס לחדרה של מ</w:t>
      </w:r>
      <w:r>
        <w:rPr>
          <w:rtl w:val="true"/>
        </w:rPr>
        <w:t xml:space="preserve">' </w:t>
      </w:r>
      <w:r>
        <w:rPr>
          <w:rtl w:val="true"/>
        </w:rPr>
        <w:t>בשעת לילה ולבצע בה מעשי אינוס</w:t>
      </w:r>
      <w:r>
        <w:rPr>
          <w:rtl w:val="true"/>
        </w:rPr>
        <w:t xml:space="preserve">. </w:t>
      </w:r>
      <w:r>
        <w:rPr>
          <w:rtl w:val="true"/>
        </w:rPr>
        <w:t>המערער נהג להפשיל את מכנסיה ותחתוניה של מ</w:t>
      </w:r>
      <w:r>
        <w:rPr>
          <w:rtl w:val="true"/>
        </w:rPr>
        <w:t xml:space="preserve">' </w:t>
      </w:r>
      <w:r>
        <w:rPr>
          <w:rtl w:val="true"/>
        </w:rPr>
        <w:t>ולהחדיר את אצבעותיו לאיבר מינה</w:t>
      </w:r>
      <w:r>
        <w:rPr>
          <w:rtl w:val="true"/>
        </w:rPr>
        <w:t xml:space="preserve">. </w:t>
      </w:r>
      <w:r>
        <w:rPr>
          <w:rtl w:val="true"/>
        </w:rPr>
        <w:t>בדומה לאחותה ש</w:t>
      </w:r>
      <w:r>
        <w:rPr>
          <w:rtl w:val="true"/>
        </w:rPr>
        <w:t xml:space="preserve">', </w:t>
      </w:r>
      <w:r>
        <w:rPr>
          <w:rtl w:val="true"/>
        </w:rPr>
        <w:t>מ</w:t>
      </w:r>
      <w:r>
        <w:rPr>
          <w:rtl w:val="true"/>
        </w:rPr>
        <w:t xml:space="preserve">' </w:t>
      </w:r>
      <w:r>
        <w:rPr>
          <w:rtl w:val="true"/>
        </w:rPr>
        <w:t>נהגה להעמיד פני ישנה כיוון שפחדה מהמערער וכיוון שחשה בושה</w:t>
      </w:r>
      <w:r>
        <w:rPr>
          <w:rtl w:val="true"/>
        </w:rPr>
        <w:t xml:space="preserve">. </w:t>
      </w:r>
      <w:r>
        <w:rPr>
          <w:rtl w:val="true"/>
        </w:rPr>
        <w:t>כמו אחותה</w:t>
      </w:r>
      <w:r>
        <w:rPr>
          <w:rtl w:val="true"/>
        </w:rPr>
        <w:t xml:space="preserve">, </w:t>
      </w:r>
      <w:r>
        <w:rPr>
          <w:rtl w:val="true"/>
        </w:rPr>
        <w:t>מ</w:t>
      </w:r>
      <w:r>
        <w:rPr>
          <w:rtl w:val="true"/>
        </w:rPr>
        <w:t xml:space="preserve">' </w:t>
      </w:r>
      <w:r>
        <w:rPr>
          <w:rtl w:val="true"/>
        </w:rPr>
        <w:t>ניסתה לגרום למערער לחדול ממעשיו באמצעות התהפכויות במיטתה</w:t>
      </w:r>
      <w:r>
        <w:rPr>
          <w:rtl w:val="true"/>
        </w:rPr>
        <w:t xml:space="preserve">. </w:t>
      </w:r>
      <w:r>
        <w:rPr>
          <w:rtl w:val="true"/>
        </w:rPr>
        <w:t>אף על פי כן</w:t>
      </w:r>
      <w:r>
        <w:rPr>
          <w:rtl w:val="true"/>
        </w:rPr>
        <w:t xml:space="preserve">, </w:t>
      </w:r>
      <w:r>
        <w:rPr>
          <w:rtl w:val="true"/>
        </w:rPr>
        <w:t>ברוב המקרים ניסיונותיה כשלו והמערער היה ממשיך במעשיו</w:t>
      </w:r>
      <w:r>
        <w:rPr>
          <w:rtl w:val="true"/>
        </w:rPr>
        <w:t>.</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rFonts w:ascii="Century" w:hAnsi="Century" w:cs="Century"/>
        </w:rPr>
      </w:pPr>
      <w:r>
        <w:rPr>
          <w:rtl w:val="true"/>
        </w:rPr>
        <w:t>האישום השני מתאר גם מספר מקרים ספציפיים</w:t>
      </w:r>
      <w:r>
        <w:rPr>
          <w:rtl w:val="true"/>
        </w:rPr>
        <w:t xml:space="preserve">. </w:t>
      </w:r>
      <w:r>
        <w:rPr>
          <w:rtl w:val="true"/>
        </w:rPr>
        <w:t xml:space="preserve">הראשון שבהם אירע במועד לא ידוע בשנת </w:t>
      </w:r>
      <w:r>
        <w:rPr/>
        <w:t>1998</w:t>
      </w:r>
      <w:r>
        <w:rPr>
          <w:rtl w:val="true"/>
        </w:rPr>
        <w:t xml:space="preserve">: </w:t>
      </w:r>
      <w:r>
        <w:rPr>
          <w:rtl w:val="true"/>
        </w:rPr>
        <w:t>לטענת המדינה</w:t>
      </w:r>
      <w:r>
        <w:rPr>
          <w:rtl w:val="true"/>
        </w:rPr>
        <w:t xml:space="preserve">, </w:t>
      </w:r>
      <w:r>
        <w:rPr>
          <w:rtl w:val="true"/>
        </w:rPr>
        <w:t>בעת שמ</w:t>
      </w:r>
      <w:r>
        <w:rPr>
          <w:rtl w:val="true"/>
        </w:rPr>
        <w:t xml:space="preserve">' </w:t>
      </w:r>
      <w:r>
        <w:rPr>
          <w:rtl w:val="true"/>
        </w:rPr>
        <w:t>שיחקה במחשב בביתה</w:t>
      </w:r>
      <w:r>
        <w:rPr>
          <w:rtl w:val="true"/>
        </w:rPr>
        <w:t xml:space="preserve">, </w:t>
      </w:r>
      <w:r>
        <w:rPr>
          <w:rtl w:val="true"/>
        </w:rPr>
        <w:t>הציע לה המערער לגעת בו</w:t>
      </w:r>
      <w:r>
        <w:rPr>
          <w:rtl w:val="true"/>
        </w:rPr>
        <w:t xml:space="preserve">. </w:t>
      </w:r>
      <w:r>
        <w:rPr>
          <w:rtl w:val="true"/>
        </w:rPr>
        <w:t>לכך מ</w:t>
      </w:r>
      <w:r>
        <w:rPr>
          <w:rtl w:val="true"/>
        </w:rPr>
        <w:t xml:space="preserve">' </w:t>
      </w:r>
      <w:r>
        <w:rPr>
          <w:rtl w:val="true"/>
        </w:rPr>
        <w:t>השיבה בשלילה ויצאה מהחדר</w:t>
      </w:r>
      <w:r>
        <w:rPr>
          <w:rtl w:val="true"/>
        </w:rPr>
        <w:t xml:space="preserve">. </w:t>
      </w:r>
      <w:r>
        <w:rPr>
          <w:rFonts w:ascii="Century" w:hAnsi="Century" w:cs="Century"/>
          <w:rtl w:val="true"/>
        </w:rPr>
        <w:t>המקרה השני אירע</w:t>
      </w:r>
      <w:r>
        <w:rPr>
          <w:rFonts w:cs="Century" w:ascii="Century" w:hAnsi="Century"/>
          <w:rtl w:val="true"/>
        </w:rPr>
        <w:t xml:space="preserve">, </w:t>
      </w:r>
      <w:r>
        <w:rPr>
          <w:rFonts w:ascii="Century" w:hAnsi="Century" w:cs="Century"/>
          <w:rtl w:val="true"/>
        </w:rPr>
        <w:t>לטענת המדינה</w:t>
      </w:r>
      <w:r>
        <w:rPr>
          <w:rFonts w:cs="Century" w:ascii="Century" w:hAnsi="Century"/>
          <w:rtl w:val="true"/>
        </w:rPr>
        <w:t xml:space="preserve">, </w:t>
      </w:r>
      <w:r>
        <w:rPr>
          <w:rFonts w:ascii="Century" w:hAnsi="Century" w:cs="Century"/>
          <w:rtl w:val="true"/>
        </w:rPr>
        <w:t>בעת ששתי האחיות</w:t>
      </w:r>
      <w:r>
        <w:rPr>
          <w:rFonts w:cs="Century" w:ascii="Century" w:hAnsi="Century"/>
          <w:rtl w:val="true"/>
        </w:rPr>
        <w:t xml:space="preserve">, </w:t>
      </w:r>
      <w:r>
        <w:rPr>
          <w:rFonts w:ascii="Century" w:hAnsi="Century" w:cs="Century"/>
          <w:rtl w:val="true"/>
        </w:rPr>
        <w:t>מ</w:t>
      </w:r>
      <w:r>
        <w:rPr>
          <w:rFonts w:cs="Century" w:ascii="Century" w:hAnsi="Century"/>
          <w:rtl w:val="true"/>
        </w:rPr>
        <w:t xml:space="preserve">' </w:t>
      </w:r>
      <w:r>
        <w:rPr>
          <w:rFonts w:ascii="Century" w:hAnsi="Century" w:cs="Century"/>
          <w:rtl w:val="true"/>
        </w:rPr>
        <w:t>וש</w:t>
      </w:r>
      <w:r>
        <w:rPr>
          <w:rFonts w:cs="Century" w:ascii="Century" w:hAnsi="Century"/>
          <w:rtl w:val="true"/>
        </w:rPr>
        <w:t xml:space="preserve">', </w:t>
      </w:r>
      <w:r>
        <w:rPr>
          <w:rFonts w:ascii="Century" w:hAnsi="Century" w:cs="Century"/>
          <w:rtl w:val="true"/>
        </w:rPr>
        <w:t>ובני משפחתן בילו את חג ראש השנה בבית נופש יחד עם המערער ואשתו</w:t>
      </w:r>
      <w:r>
        <w:rPr>
          <w:rFonts w:cs="Century" w:ascii="Century" w:hAnsi="Century"/>
          <w:rtl w:val="true"/>
        </w:rPr>
        <w:t xml:space="preserve">. </w:t>
      </w:r>
      <w:r>
        <w:rPr>
          <w:rFonts w:ascii="Century" w:hAnsi="Century" w:cs="Century"/>
          <w:rtl w:val="true"/>
        </w:rPr>
        <w:t>ילדי המשפחה</w:t>
      </w:r>
      <w:r>
        <w:rPr>
          <w:rFonts w:cs="Century" w:ascii="Century" w:hAnsi="Century"/>
          <w:rtl w:val="true"/>
        </w:rPr>
        <w:t xml:space="preserve">, </w:t>
      </w:r>
      <w:r>
        <w:rPr>
          <w:rFonts w:ascii="Century" w:hAnsi="Century" w:cs="Century"/>
          <w:rtl w:val="true"/>
        </w:rPr>
        <w:t>וביניהם מ</w:t>
      </w:r>
      <w:r>
        <w:rPr>
          <w:rFonts w:cs="Century" w:ascii="Century" w:hAnsi="Century"/>
          <w:rtl w:val="true"/>
        </w:rPr>
        <w:t xml:space="preserve">', </w:t>
      </w:r>
      <w:r>
        <w:rPr>
          <w:rFonts w:ascii="Century" w:hAnsi="Century" w:cs="Century"/>
          <w:rtl w:val="true"/>
        </w:rPr>
        <w:t>נהגו אז לישון יחדיו על מזרנים בסלון הבית</w:t>
      </w:r>
      <w:r>
        <w:rPr>
          <w:rFonts w:cs="Century" w:ascii="Century" w:hAnsi="Century"/>
          <w:rtl w:val="true"/>
        </w:rPr>
        <w:t xml:space="preserve">. </w:t>
      </w:r>
      <w:r>
        <w:rPr>
          <w:rFonts w:ascii="Century" w:hAnsi="Century" w:cs="Century"/>
          <w:rtl w:val="true"/>
        </w:rPr>
        <w:t>המדינה טוענת כי המערער ניצל זאת</w:t>
      </w:r>
      <w:r>
        <w:rPr>
          <w:rFonts w:cs="Century" w:ascii="Century" w:hAnsi="Century"/>
          <w:rtl w:val="true"/>
        </w:rPr>
        <w:t xml:space="preserve">: </w:t>
      </w:r>
      <w:r>
        <w:rPr>
          <w:rFonts w:ascii="Century" w:hAnsi="Century" w:cs="Century"/>
          <w:rtl w:val="true"/>
        </w:rPr>
        <w:t>הוא נהג לבצע במ</w:t>
      </w:r>
      <w:r>
        <w:rPr>
          <w:rFonts w:cs="Century" w:ascii="Century" w:hAnsi="Century"/>
          <w:rtl w:val="true"/>
        </w:rPr>
        <w:t xml:space="preserve">' </w:t>
      </w:r>
      <w:r>
        <w:rPr>
          <w:rFonts w:ascii="Century" w:hAnsi="Century" w:cs="Century"/>
          <w:rtl w:val="true"/>
        </w:rPr>
        <w:t>את מעשי האינוס המתוארים לעיל בזמן שיתר ילדי המשפחה ישנים בסמיכות</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rFonts w:ascii="Century" w:hAnsi="Century" w:cs="Century"/>
        </w:rPr>
      </w:pPr>
      <w:r>
        <w:rPr>
          <w:rFonts w:ascii="Century" w:hAnsi="Century" w:cs="Century"/>
          <w:rtl w:val="true"/>
        </w:rPr>
        <w:t>המערער כפר במיוחס לו בכתב האישום ומשפטו עבר לשלב ההוכחות</w:t>
      </w:r>
      <w:r>
        <w:rPr>
          <w:rFonts w:cs="Century" w:ascii="Century" w:hAnsi="Century"/>
          <w:rtl w:val="true"/>
        </w:rPr>
        <w:t xml:space="preserve">. </w:t>
      </w:r>
      <w:r>
        <w:rPr>
          <w:rFonts w:ascii="Century" w:hAnsi="Century" w:cs="Century"/>
          <w:rtl w:val="true"/>
        </w:rPr>
        <w:t>ראיות שהובאו נגד המערער כללו את עדויותיהם של מ</w:t>
      </w:r>
      <w:r>
        <w:rPr>
          <w:rFonts w:cs="Century" w:ascii="Century" w:hAnsi="Century"/>
          <w:rtl w:val="true"/>
        </w:rPr>
        <w:t xml:space="preserve">', </w:t>
      </w:r>
      <w:r>
        <w:rPr>
          <w:rFonts w:ascii="Century" w:hAnsi="Century" w:cs="Century"/>
          <w:rtl w:val="true"/>
        </w:rPr>
        <w:t>של ש</w:t>
      </w:r>
      <w:r>
        <w:rPr>
          <w:rFonts w:cs="Century" w:ascii="Century" w:hAnsi="Century"/>
          <w:rtl w:val="true"/>
        </w:rPr>
        <w:t xml:space="preserve">' </w:t>
      </w:r>
      <w:r>
        <w:rPr>
          <w:rFonts w:ascii="Century" w:hAnsi="Century" w:cs="Century"/>
          <w:rtl w:val="true"/>
        </w:rPr>
        <w:t>ושל הוריהן וכן אלו של כמה עדים נוספים</w:t>
      </w:r>
      <w:r>
        <w:rPr>
          <w:rFonts w:cs="Century" w:ascii="Century" w:hAnsi="Century"/>
          <w:rtl w:val="true"/>
        </w:rPr>
        <w:t xml:space="preserve">. </w:t>
      </w:r>
      <w:r>
        <w:rPr>
          <w:rFonts w:ascii="Century" w:hAnsi="Century" w:cs="Century"/>
          <w:rtl w:val="true"/>
        </w:rPr>
        <w:t>מנגד</w:t>
      </w:r>
      <w:r>
        <w:rPr>
          <w:rFonts w:cs="Century" w:ascii="Century" w:hAnsi="Century"/>
          <w:rtl w:val="true"/>
        </w:rPr>
        <w:t xml:space="preserve">, </w:t>
      </w:r>
      <w:r>
        <w:rPr>
          <w:rFonts w:ascii="Century" w:hAnsi="Century" w:cs="Century"/>
          <w:rtl w:val="true"/>
        </w:rPr>
        <w:t>העידו המערער</w:t>
      </w:r>
      <w:r>
        <w:rPr>
          <w:rFonts w:cs="Century" w:ascii="Century" w:hAnsi="Century"/>
          <w:rtl w:val="true"/>
        </w:rPr>
        <w:t xml:space="preserve">, </w:t>
      </w:r>
      <w:r>
        <w:rPr>
          <w:rFonts w:ascii="Century" w:hAnsi="Century" w:cs="Century"/>
          <w:rtl w:val="true"/>
        </w:rPr>
        <w:t>אשתו ט</w:t>
      </w:r>
      <w:r>
        <w:rPr>
          <w:rFonts w:cs="Century" w:ascii="Century" w:hAnsi="Century"/>
          <w:rtl w:val="true"/>
        </w:rPr>
        <w:t xml:space="preserve">' </w:t>
      </w:r>
      <w:r>
        <w:rPr>
          <w:rFonts w:ascii="Century" w:hAnsi="Century" w:cs="Century"/>
          <w:rtl w:val="true"/>
        </w:rPr>
        <w:t>ועד נוסף</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עיקרי</w:t>
      </w:r>
      <w:r>
        <w:rPr>
          <w:rFonts w:ascii="Century" w:hAnsi="Century" w:eastAsia="Century" w:cs="Century"/>
          <w:b/>
          <w:b/>
          <w:spacing w:val="0"/>
          <w:szCs w:val="24"/>
          <w:rtl w:val="true"/>
        </w:rPr>
        <w:t xml:space="preserve"> </w:t>
      </w:r>
      <w:r>
        <w:rPr>
          <w:rFonts w:ascii="Century" w:hAnsi="Century" w:cs="Miriam"/>
          <w:b/>
          <w:b/>
          <w:spacing w:val="0"/>
          <w:szCs w:val="24"/>
          <w:rtl w:val="true"/>
        </w:rPr>
        <w:t>עדותה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ש</w:t>
      </w:r>
      <w:r>
        <w:rPr>
          <w:rFonts w:cs="Miriam" w:ascii="Century" w:hAnsi="Century"/>
          <w:b/>
          <w:spacing w:val="0"/>
          <w:szCs w:val="24"/>
          <w:rtl w:val="true"/>
        </w:rPr>
        <w:t>'</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על פי עדותה של ש</w:t>
      </w:r>
      <w:r>
        <w:rPr>
          <w:rtl w:val="true"/>
        </w:rPr>
        <w:t>' (</w:t>
      </w:r>
      <w:r>
        <w:rPr>
          <w:rtl w:val="true"/>
        </w:rPr>
        <w:t xml:space="preserve">ראו פרוטוקול דיון מיום </w:t>
      </w:r>
      <w:r>
        <w:rPr/>
        <w:t>31.3.2015</w:t>
      </w:r>
      <w:r>
        <w:rPr>
          <w:rtl w:val="true"/>
        </w:rPr>
        <w:t xml:space="preserve">, </w:t>
      </w:r>
      <w:r>
        <w:rPr>
          <w:rtl w:val="true"/>
        </w:rPr>
        <w:t>להלן</w:t>
      </w:r>
      <w:r>
        <w:rPr>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פרוטוקול</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tl w:val="true"/>
        </w:rPr>
        <w:t xml:space="preserve">), </w:t>
      </w:r>
      <w:r>
        <w:rPr>
          <w:rtl w:val="true"/>
        </w:rPr>
        <w:t xml:space="preserve">בהיותה כבת </w:t>
      </w:r>
      <w:r>
        <w:rPr/>
        <w:t>16</w:t>
      </w:r>
      <w:r>
        <w:rPr>
          <w:rtl w:val="true"/>
        </w:rPr>
        <w:t xml:space="preserve">, </w:t>
      </w:r>
      <w:r>
        <w:rPr>
          <w:rtl w:val="true"/>
        </w:rPr>
        <w:t>היו נוהגים המערער ואשתו ט</w:t>
      </w:r>
      <w:r>
        <w:rPr>
          <w:rtl w:val="true"/>
        </w:rPr>
        <w:t xml:space="preserve">' </w:t>
      </w:r>
      <w:r>
        <w:rPr>
          <w:rtl w:val="true"/>
        </w:rPr>
        <w:t>להגיע לבקר בשבתות ובחגים בבית הוריה</w:t>
      </w:r>
      <w:r>
        <w:rPr>
          <w:rtl w:val="true"/>
        </w:rPr>
        <w:t xml:space="preserve">. </w:t>
      </w:r>
      <w:r>
        <w:rPr>
          <w:rtl w:val="true"/>
        </w:rPr>
        <w:t>באותה תקופה</w:t>
      </w:r>
      <w:r>
        <w:rPr>
          <w:rtl w:val="true"/>
        </w:rPr>
        <w:t xml:space="preserve">, </w:t>
      </w:r>
      <w:r>
        <w:rPr>
          <w:rtl w:val="true"/>
        </w:rPr>
        <w:t>ש</w:t>
      </w:r>
      <w:r>
        <w:rPr>
          <w:rtl w:val="true"/>
        </w:rPr>
        <w:t xml:space="preserve">' </w:t>
      </w:r>
      <w:r>
        <w:rPr>
          <w:rtl w:val="true"/>
        </w:rPr>
        <w:t>לנה בחדר שהיה מצוי בקומה התחתונה של הבית</w:t>
      </w:r>
      <w:r>
        <w:rPr>
          <w:rtl w:val="true"/>
        </w:rPr>
        <w:t xml:space="preserve">. </w:t>
      </w:r>
      <w:r>
        <w:rPr>
          <w:rtl w:val="true"/>
        </w:rPr>
        <w:t>במשך תקופה של כשנה וחצי עד שנתיים</w:t>
      </w:r>
      <w:r>
        <w:rPr>
          <w:rtl w:val="true"/>
        </w:rPr>
        <w:t xml:space="preserve">, </w:t>
      </w:r>
      <w:r>
        <w:rPr>
          <w:rtl w:val="true"/>
        </w:rPr>
        <w:t xml:space="preserve">נהג המערער להגיע באישון לילה לחדרה בערך אחת לחודש </w:t>
      </w:r>
      <w:r>
        <w:rPr>
          <w:rtl w:val="true"/>
        </w:rPr>
        <w:t>(</w:t>
      </w:r>
      <w:r>
        <w:rPr>
          <w:rtl w:val="true"/>
        </w:rPr>
        <w:t>ראו עמ</w:t>
      </w:r>
      <w:r>
        <w:rPr>
          <w:rtl w:val="true"/>
        </w:rPr>
        <w:t xml:space="preserve">' </w:t>
      </w:r>
      <w:r>
        <w:rPr/>
        <w:t>14-12</w:t>
      </w:r>
      <w:r>
        <w:rPr>
          <w:rtl w:val="true"/>
        </w:rPr>
        <w:t xml:space="preserve"> </w:t>
      </w:r>
      <w:r>
        <w:rPr>
          <w:rtl w:val="true"/>
        </w:rPr>
        <w:t xml:space="preserve">לפרוטוקול </w:t>
      </w:r>
      <w:r>
        <w:rPr/>
        <w:t>1</w:t>
      </w:r>
      <w:r>
        <w:rPr>
          <w:rtl w:val="true"/>
        </w:rPr>
        <w:t xml:space="preserve">). </w:t>
      </w:r>
      <w:r>
        <w:rPr>
          <w:rtl w:val="true"/>
        </w:rPr>
        <w:t>ש</w:t>
      </w:r>
      <w:r>
        <w:rPr>
          <w:rtl w:val="true"/>
        </w:rPr>
        <w:t xml:space="preserve">' </w:t>
      </w:r>
      <w:r>
        <w:rPr>
          <w:rtl w:val="true"/>
        </w:rPr>
        <w:t>סיפרה כי היתה מתעוררת מהרעש של ידית הדלת של חדר השינה</w:t>
      </w:r>
      <w:r>
        <w:rPr>
          <w:rtl w:val="true"/>
        </w:rPr>
        <w:t xml:space="preserve">, </w:t>
      </w:r>
      <w:r>
        <w:rPr>
          <w:rtl w:val="true"/>
        </w:rPr>
        <w:t>אולם היתה מעמידה פנים כאילו היא ישנה</w:t>
      </w:r>
      <w:r>
        <w:rPr>
          <w:rtl w:val="true"/>
        </w:rPr>
        <w:t xml:space="preserve">. </w:t>
      </w:r>
      <w:r>
        <w:rPr>
          <w:rtl w:val="true"/>
        </w:rPr>
        <w:t xml:space="preserve">היא העידה שהתביישה בשביל המערער על מעשיו וריחמה עליו </w:t>
      </w:r>
      <w:r>
        <w:rPr>
          <w:rtl w:val="true"/>
        </w:rPr>
        <w:t>(</w:t>
      </w:r>
      <w:r>
        <w:rPr>
          <w:rtl w:val="true"/>
        </w:rPr>
        <w:t>ראו עמ</w:t>
      </w:r>
      <w:r>
        <w:rPr>
          <w:rtl w:val="true"/>
        </w:rPr>
        <w:t xml:space="preserve">' </w:t>
      </w:r>
      <w:r>
        <w:rPr/>
        <w:t>13</w:t>
      </w:r>
      <w:r>
        <w:rPr>
          <w:rtl w:val="true"/>
        </w:rPr>
        <w:t xml:space="preserve">, </w:t>
      </w:r>
      <w:r>
        <w:rPr>
          <w:rtl w:val="true"/>
        </w:rPr>
        <w:t xml:space="preserve">שורות </w:t>
      </w:r>
      <w:r>
        <w:rPr/>
        <w:t>13-7</w:t>
      </w:r>
      <w:r>
        <w:rPr>
          <w:rtl w:val="true"/>
        </w:rPr>
        <w:t xml:space="preserve"> </w:t>
      </w:r>
      <w:r>
        <w:rPr>
          <w:rtl w:val="true"/>
        </w:rPr>
        <w:t xml:space="preserve">לפרוטוקול </w:t>
      </w:r>
      <w:r>
        <w:rPr/>
        <w:t>1</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באשר למעשים עצמם</w:t>
      </w:r>
      <w:r>
        <w:rPr>
          <w:rtl w:val="true"/>
        </w:rPr>
        <w:t xml:space="preserve">, </w:t>
      </w:r>
      <w:r>
        <w:rPr>
          <w:rtl w:val="true"/>
        </w:rPr>
        <w:t>ש</w:t>
      </w:r>
      <w:r>
        <w:rPr>
          <w:rtl w:val="true"/>
        </w:rPr>
        <w:t xml:space="preserve">' </w:t>
      </w:r>
      <w:r>
        <w:rPr>
          <w:rtl w:val="true"/>
        </w:rPr>
        <w:t>העידה כי המערער היה נוהג להרים את חולצתה ו</w:t>
      </w:r>
      <w:r>
        <w:rPr>
          <w:rtl w:val="true"/>
        </w:rPr>
        <w:t>"</w:t>
      </w:r>
      <w:r>
        <w:rPr>
          <w:rtl w:val="true"/>
        </w:rPr>
        <w:t>לטייל</w:t>
      </w:r>
      <w:r>
        <w:rPr>
          <w:rtl w:val="true"/>
        </w:rPr>
        <w:t xml:space="preserve">" </w:t>
      </w:r>
      <w:r>
        <w:rPr>
          <w:rtl w:val="true"/>
        </w:rPr>
        <w:t>על בטנה בתנועת הליכה עם אצבעותיו</w:t>
      </w:r>
      <w:r>
        <w:rPr>
          <w:rtl w:val="true"/>
        </w:rPr>
        <w:t xml:space="preserve">, </w:t>
      </w:r>
      <w:r>
        <w:rPr>
          <w:rtl w:val="true"/>
        </w:rPr>
        <w:t xml:space="preserve">מאזור הטבור ועד איבר מינה </w:t>
      </w:r>
      <w:r>
        <w:rPr>
          <w:rtl w:val="true"/>
        </w:rPr>
        <w:t>(</w:t>
      </w:r>
      <w:r>
        <w:rPr>
          <w:rtl w:val="true"/>
        </w:rPr>
        <w:t>ראו עמ</w:t>
      </w:r>
      <w:r>
        <w:rPr>
          <w:rtl w:val="true"/>
        </w:rPr>
        <w:t xml:space="preserve">' </w:t>
      </w:r>
      <w:r>
        <w:rPr/>
        <w:t>13</w:t>
      </w:r>
      <w:r>
        <w:rPr>
          <w:rtl w:val="true"/>
        </w:rPr>
        <w:t xml:space="preserve"> </w:t>
      </w:r>
      <w:r>
        <w:rPr>
          <w:rtl w:val="true"/>
        </w:rPr>
        <w:t xml:space="preserve">שורות </w:t>
      </w:r>
      <w:r>
        <w:rPr/>
        <w:t>22-18</w:t>
      </w:r>
      <w:r>
        <w:rPr>
          <w:rtl w:val="true"/>
        </w:rPr>
        <w:t xml:space="preserve"> </w:t>
      </w:r>
      <w:r>
        <w:rPr>
          <w:rtl w:val="true"/>
        </w:rPr>
        <w:t xml:space="preserve">לפרוטוקול </w:t>
      </w:r>
      <w:r>
        <w:rPr/>
        <w:t>1</w:t>
      </w:r>
      <w:r>
        <w:rPr>
          <w:rtl w:val="true"/>
        </w:rPr>
        <w:t xml:space="preserve">). </w:t>
      </w:r>
      <w:r>
        <w:rPr>
          <w:rtl w:val="true"/>
        </w:rPr>
        <w:t>בהקשר זה</w:t>
      </w:r>
      <w:r>
        <w:rPr>
          <w:rtl w:val="true"/>
        </w:rPr>
        <w:t xml:space="preserve">, </w:t>
      </w:r>
      <w:r>
        <w:rPr>
          <w:rtl w:val="true"/>
        </w:rPr>
        <w:t>סיפרה ש</w:t>
      </w:r>
      <w:r>
        <w:rPr>
          <w:rtl w:val="true"/>
        </w:rPr>
        <w:t xml:space="preserve">' </w:t>
      </w:r>
      <w:r>
        <w:rPr>
          <w:rtl w:val="true"/>
        </w:rPr>
        <w:t>לבית משפט קמא כי כאשר היה מגיע המערער לאזור איבר מינה</w:t>
      </w:r>
      <w:r>
        <w:rPr>
          <w:rtl w:val="true"/>
        </w:rPr>
        <w:t xml:space="preserve">, </w:t>
      </w:r>
      <w:r>
        <w:rPr>
          <w:rtl w:val="true"/>
        </w:rPr>
        <w:t xml:space="preserve">היא היתה לרוב נאנחת או מסתובבת על מנת שהמערער יחשוב שהיא התעוררה </w:t>
      </w:r>
      <w:r>
        <w:rPr>
          <w:rtl w:val="true"/>
        </w:rPr>
        <w:t>(</w:t>
      </w:r>
      <w:r>
        <w:rPr>
          <w:rtl w:val="true"/>
        </w:rPr>
        <w:t>שם</w:t>
      </w:r>
      <w:r>
        <w:rPr>
          <w:rtl w:val="true"/>
        </w:rPr>
        <w:t xml:space="preserve">, </w:t>
      </w:r>
      <w:r>
        <w:rPr>
          <w:rtl w:val="true"/>
        </w:rPr>
        <w:t xml:space="preserve">בשורה </w:t>
      </w:r>
      <w:r>
        <w:rPr/>
        <w:t>24</w:t>
      </w:r>
      <w:r>
        <w:rPr>
          <w:rtl w:val="true"/>
        </w:rPr>
        <w:t xml:space="preserve">). </w:t>
      </w:r>
      <w:r>
        <w:rPr>
          <w:rtl w:val="true"/>
        </w:rPr>
        <w:t xml:space="preserve">בתגובה לכך היה המערער נעמד לצד הספרייה </w:t>
      </w:r>
      <w:r>
        <w:rPr>
          <w:rtl w:val="true"/>
        </w:rPr>
        <w:t>(</w:t>
      </w:r>
      <w:r>
        <w:rPr>
          <w:rtl w:val="true"/>
        </w:rPr>
        <w:t>להלן</w:t>
      </w:r>
      <w:r>
        <w:rPr>
          <w:rtl w:val="true"/>
        </w:rPr>
        <w:t xml:space="preserve">: </w:t>
      </w:r>
      <w:r>
        <w:rPr>
          <w:rFonts w:ascii="Century" w:hAnsi="Century" w:cs="Miriam"/>
          <w:b/>
          <w:b/>
          <w:spacing w:val="0"/>
          <w:szCs w:val="24"/>
          <w:rtl w:val="true"/>
        </w:rPr>
        <w:t>הכוורת</w:t>
      </w:r>
      <w:r>
        <w:rPr>
          <w:rFonts w:cs="Century" w:ascii="Century" w:hAnsi="Century"/>
          <w:rtl w:val="true"/>
        </w:rPr>
        <w:t>)</w:t>
      </w:r>
      <w:r>
        <w:rPr>
          <w:rtl w:val="true"/>
        </w:rPr>
        <w:t xml:space="preserve"> </w:t>
      </w:r>
      <w:r>
        <w:rPr>
          <w:rtl w:val="true"/>
        </w:rPr>
        <w:t>שהיתה ממוקמת בקרבת מיטתה של ש</w:t>
      </w:r>
      <w:r>
        <w:rPr>
          <w:rtl w:val="true"/>
        </w:rPr>
        <w:t xml:space="preserve">' </w:t>
      </w:r>
      <w:r>
        <w:rPr>
          <w:rtl w:val="true"/>
        </w:rPr>
        <w:t>ומעמיד פנים כאילו הוא מעיין בספר</w:t>
      </w:r>
      <w:r>
        <w:rPr>
          <w:rtl w:val="true"/>
        </w:rPr>
        <w:t xml:space="preserve">. </w:t>
      </w:r>
      <w:r>
        <w:rPr>
          <w:rtl w:val="true"/>
        </w:rPr>
        <w:t>לעיתים</w:t>
      </w:r>
      <w:r>
        <w:rPr>
          <w:rtl w:val="true"/>
        </w:rPr>
        <w:t xml:space="preserve">, </w:t>
      </w:r>
      <w:r>
        <w:rPr>
          <w:rtl w:val="true"/>
        </w:rPr>
        <w:t xml:space="preserve">היה המערער מתכופף ומנסה להסתתר מאחורי מיטתה </w:t>
      </w:r>
      <w:r>
        <w:rPr>
          <w:rtl w:val="true"/>
        </w:rPr>
        <w:t>(</w:t>
      </w:r>
      <w:r>
        <w:rPr>
          <w:rtl w:val="true"/>
        </w:rPr>
        <w:t>שם</w:t>
      </w:r>
      <w:r>
        <w:rPr>
          <w:rtl w:val="true"/>
        </w:rPr>
        <w:t xml:space="preserve">, </w:t>
      </w:r>
      <w:r>
        <w:rPr>
          <w:rtl w:val="true"/>
        </w:rPr>
        <w:t xml:space="preserve">בשורות </w:t>
      </w:r>
      <w:r>
        <w:rPr/>
        <w:t>25-29</w:t>
      </w:r>
      <w:r>
        <w:rPr>
          <w:rtl w:val="true"/>
        </w:rPr>
        <w:t xml:space="preserve">). </w:t>
      </w:r>
      <w:r>
        <w:rPr>
          <w:rtl w:val="true"/>
        </w:rPr>
        <w:t>במענה לשאלה מדוע לא הפסיקה את המערער מפועלו מיד עם תחילת מעשיו</w:t>
      </w:r>
      <w:r>
        <w:rPr>
          <w:rtl w:val="true"/>
        </w:rPr>
        <w:t xml:space="preserve">, </w:t>
      </w:r>
      <w:r>
        <w:rPr>
          <w:rtl w:val="true"/>
        </w:rPr>
        <w:t>תיארה ש</w:t>
      </w:r>
      <w:r>
        <w:rPr>
          <w:rtl w:val="true"/>
        </w:rPr>
        <w:t xml:space="preserve">' </w:t>
      </w:r>
      <w:r>
        <w:rPr>
          <w:rtl w:val="true"/>
        </w:rPr>
        <w:t>תחושה של קיפאון</w:t>
      </w:r>
      <w:r>
        <w:rPr>
          <w:rtl w:val="true"/>
        </w:rPr>
        <w:t>: "</w:t>
      </w:r>
      <w:r>
        <w:rPr>
          <w:rtl w:val="true"/>
        </w:rPr>
        <w:t>משהו שפשוט קורה ואתה משתתק</w:t>
      </w:r>
      <w:r>
        <w:rPr>
          <w:rtl w:val="true"/>
        </w:rPr>
        <w:t xml:space="preserve">, </w:t>
      </w:r>
      <w:r>
        <w:rPr>
          <w:rtl w:val="true"/>
        </w:rPr>
        <w:t>ולא מעיז לעשות כלום</w:t>
      </w:r>
      <w:r>
        <w:rPr>
          <w:rtl w:val="true"/>
        </w:rPr>
        <w:t>" (</w:t>
      </w:r>
      <w:r>
        <w:rPr>
          <w:rtl w:val="true"/>
        </w:rPr>
        <w:t>בעמ</w:t>
      </w:r>
      <w:r>
        <w:rPr>
          <w:rtl w:val="true"/>
        </w:rPr>
        <w:t xml:space="preserve">' </w:t>
      </w:r>
      <w:r>
        <w:rPr/>
        <w:t>17</w:t>
      </w:r>
      <w:r>
        <w:rPr>
          <w:rtl w:val="true"/>
        </w:rPr>
        <w:t xml:space="preserve"> </w:t>
      </w:r>
      <w:r>
        <w:rPr>
          <w:rtl w:val="true"/>
        </w:rPr>
        <w:t xml:space="preserve">לפרוטוקול </w:t>
      </w:r>
      <w:r>
        <w:rPr/>
        <w:t>1</w:t>
      </w:r>
      <w:r>
        <w:rPr>
          <w:rtl w:val="true"/>
        </w:rPr>
        <w:t xml:space="preserve">). </w:t>
      </w:r>
      <w:r>
        <w:rPr>
          <w:rtl w:val="true"/>
        </w:rPr>
        <w:t>עוד סיפרה ש</w:t>
      </w:r>
      <w:r>
        <w:rPr>
          <w:rtl w:val="true"/>
        </w:rPr>
        <w:t xml:space="preserve">' </w:t>
      </w:r>
      <w:r>
        <w:rPr>
          <w:rtl w:val="true"/>
        </w:rPr>
        <w:t>במסגרת עדותה כי אירועים אלה התרחשו גם כאשר מ</w:t>
      </w:r>
      <w:r>
        <w:rPr>
          <w:rtl w:val="true"/>
        </w:rPr>
        <w:t xml:space="preserve">' </w:t>
      </w:r>
      <w:r>
        <w:rPr>
          <w:rtl w:val="true"/>
        </w:rPr>
        <w:t xml:space="preserve">ישנה עמה באותו חדר </w:t>
      </w:r>
      <w:r>
        <w:rPr>
          <w:rtl w:val="true"/>
        </w:rPr>
        <w:t>(</w:t>
      </w:r>
      <w:r>
        <w:rPr>
          <w:rtl w:val="true"/>
        </w:rPr>
        <w:t>בעמ</w:t>
      </w:r>
      <w:r>
        <w:rPr>
          <w:rtl w:val="true"/>
        </w:rPr>
        <w:t xml:space="preserve">' </w:t>
      </w:r>
      <w:r>
        <w:rPr/>
        <w:t>37</w:t>
      </w:r>
      <w:r>
        <w:rPr>
          <w:rtl w:val="true"/>
        </w:rPr>
        <w:t xml:space="preserve">, </w:t>
      </w:r>
      <w:r>
        <w:rPr>
          <w:rtl w:val="true"/>
        </w:rPr>
        <w:t xml:space="preserve">שורה </w:t>
      </w:r>
      <w:r>
        <w:rPr/>
        <w:t>24</w:t>
      </w:r>
      <w:r>
        <w:rPr>
          <w:rtl w:val="true"/>
        </w:rPr>
        <w:t xml:space="preserve"> </w:t>
      </w:r>
      <w:r>
        <w:rPr>
          <w:rtl w:val="true"/>
        </w:rPr>
        <w:t xml:space="preserve">לפרוטוקול </w:t>
      </w:r>
      <w:r>
        <w:rPr/>
        <w:t>1</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ש</w:t>
      </w:r>
      <w:r>
        <w:rPr>
          <w:rtl w:val="true"/>
        </w:rPr>
        <w:t xml:space="preserve">' </w:t>
      </w:r>
      <w:r>
        <w:rPr>
          <w:rtl w:val="true"/>
        </w:rPr>
        <w:t>ציינה בעדותה כי לא היה לה האומץ לחשוף בפני הוריה או אחת מאחיותיה את אשר התרחש</w:t>
      </w:r>
      <w:r>
        <w:rPr>
          <w:rtl w:val="true"/>
        </w:rPr>
        <w:t xml:space="preserve">. </w:t>
      </w:r>
      <w:r>
        <w:rPr>
          <w:rtl w:val="true"/>
        </w:rPr>
        <w:t>היא תיארה בעדותה יחסים קרובים וחמים עם אחותה הגדולה ט</w:t>
      </w:r>
      <w:r>
        <w:rPr>
          <w:rtl w:val="true"/>
        </w:rPr>
        <w:t xml:space="preserve">', </w:t>
      </w:r>
      <w:r>
        <w:rPr>
          <w:rtl w:val="true"/>
        </w:rPr>
        <w:t>אשתו של המערער</w:t>
      </w:r>
      <w:r>
        <w:rPr>
          <w:rtl w:val="true"/>
        </w:rPr>
        <w:t xml:space="preserve">. </w:t>
      </w:r>
      <w:r>
        <w:rPr>
          <w:rtl w:val="true"/>
        </w:rPr>
        <w:t>כמו כן תיארה ש</w:t>
      </w:r>
      <w:r>
        <w:rPr>
          <w:rtl w:val="true"/>
        </w:rPr>
        <w:t xml:space="preserve">' </w:t>
      </w:r>
      <w:r>
        <w:rPr>
          <w:rtl w:val="true"/>
        </w:rPr>
        <w:t>יחסים חמים עם המערער</w:t>
      </w:r>
      <w:r>
        <w:rPr>
          <w:rtl w:val="true"/>
        </w:rPr>
        <w:t xml:space="preserve">. </w:t>
      </w:r>
      <w:r>
        <w:rPr>
          <w:rtl w:val="true"/>
        </w:rPr>
        <w:t>היא סיפרה כי חשה כלפיו תחושה של שותפות סוד</w:t>
      </w:r>
      <w:r>
        <w:rPr>
          <w:rtl w:val="true"/>
        </w:rPr>
        <w:t xml:space="preserve">; </w:t>
      </w:r>
      <w:r>
        <w:rPr>
          <w:rtl w:val="true"/>
        </w:rPr>
        <w:t xml:space="preserve">היא שמרה את סודותיו והוא את סודותיה </w:t>
      </w:r>
      <w:r>
        <w:rPr>
          <w:rtl w:val="true"/>
        </w:rPr>
        <w:t>(</w:t>
      </w:r>
      <w:r>
        <w:rPr>
          <w:rtl w:val="true"/>
        </w:rPr>
        <w:t>בעמ</w:t>
      </w:r>
      <w:r>
        <w:rPr>
          <w:rtl w:val="true"/>
        </w:rPr>
        <w:t xml:space="preserve">' </w:t>
      </w:r>
      <w:r>
        <w:rPr/>
        <w:t>16</w:t>
      </w:r>
      <w:r>
        <w:rPr>
          <w:rtl w:val="true"/>
        </w:rPr>
        <w:t xml:space="preserve">, </w:t>
      </w:r>
      <w:r>
        <w:rPr>
          <w:rtl w:val="true"/>
        </w:rPr>
        <w:t>ש</w:t>
      </w:r>
      <w:r>
        <w:rPr>
          <w:rtl w:val="true"/>
        </w:rPr>
        <w:t xml:space="preserve">' </w:t>
      </w:r>
      <w:r>
        <w:rPr/>
        <w:t>11-10</w:t>
      </w:r>
      <w:r>
        <w:rPr>
          <w:rtl w:val="true"/>
        </w:rPr>
        <w:t xml:space="preserve"> </w:t>
      </w:r>
      <w:r>
        <w:rPr>
          <w:rtl w:val="true"/>
        </w:rPr>
        <w:t xml:space="preserve">לפרוטוקול </w:t>
      </w:r>
      <w:r>
        <w:rPr/>
        <w:t>1</w:t>
      </w:r>
      <w:r>
        <w:rPr>
          <w:rtl w:val="true"/>
        </w:rPr>
        <w:t xml:space="preserve">). </w:t>
      </w:r>
      <w:r>
        <w:rPr>
          <w:rtl w:val="true"/>
        </w:rPr>
        <w:t>ש</w:t>
      </w:r>
      <w:r>
        <w:rPr>
          <w:rtl w:val="true"/>
        </w:rPr>
        <w:t xml:space="preserve">' </w:t>
      </w:r>
      <w:r>
        <w:rPr>
          <w:rtl w:val="true"/>
        </w:rPr>
        <w:t>הסבירה כי לא תכננה לחשוף את שאירע לה</w:t>
      </w:r>
      <w:r>
        <w:rPr>
          <w:rtl w:val="true"/>
        </w:rPr>
        <w:t>: "</w:t>
      </w:r>
      <w:r>
        <w:rPr>
          <w:rtl w:val="true"/>
        </w:rPr>
        <w:t>הייתי בטוחה שאת הסיפור הזה אני לוקחת איתי לקבר</w:t>
      </w:r>
      <w:r>
        <w:rPr>
          <w:rtl w:val="true"/>
        </w:rPr>
        <w:t>" (</w:t>
      </w:r>
      <w:r>
        <w:rPr>
          <w:rtl w:val="true"/>
        </w:rPr>
        <w:t>עמ</w:t>
      </w:r>
      <w:r>
        <w:rPr>
          <w:rtl w:val="true"/>
        </w:rPr>
        <w:t xml:space="preserve">' </w:t>
      </w:r>
      <w:r>
        <w:rPr/>
        <w:t>18</w:t>
      </w:r>
      <w:r>
        <w:rPr>
          <w:rtl w:val="true"/>
        </w:rPr>
        <w:t xml:space="preserve">, </w:t>
      </w:r>
      <w:r>
        <w:rPr>
          <w:rtl w:val="true"/>
        </w:rPr>
        <w:t xml:space="preserve">שורה </w:t>
      </w:r>
      <w:r>
        <w:rPr/>
        <w:t>13</w:t>
      </w:r>
      <w:r>
        <w:rPr>
          <w:rtl w:val="true"/>
        </w:rPr>
        <w:t xml:space="preserve"> </w:t>
      </w:r>
      <w:r>
        <w:rPr>
          <w:rtl w:val="true"/>
        </w:rPr>
        <w:t xml:space="preserve">לפרוטוקול </w:t>
      </w:r>
      <w:r>
        <w:rPr/>
        <w:t>1</w:t>
      </w:r>
      <w:r>
        <w:rPr>
          <w:rtl w:val="true"/>
        </w:rPr>
        <w:t xml:space="preserve">). </w:t>
      </w:r>
      <w:r>
        <w:rPr>
          <w:rtl w:val="true"/>
        </w:rPr>
        <w:t xml:space="preserve">היא סיפרה כי בשנת </w:t>
      </w:r>
      <w:r>
        <w:rPr/>
        <w:t>2010</w:t>
      </w:r>
      <w:r>
        <w:rPr>
          <w:rtl w:val="true"/>
        </w:rPr>
        <w:t xml:space="preserve"> </w:t>
      </w:r>
      <w:r>
        <w:rPr>
          <w:rtl w:val="true"/>
        </w:rPr>
        <w:t>נקראה לבית הוריה ונשאלה על ידי אימה האם המערער נגע בה בילדותה</w:t>
      </w:r>
      <w:r>
        <w:rPr>
          <w:rtl w:val="true"/>
        </w:rPr>
        <w:t xml:space="preserve">. </w:t>
      </w:r>
      <w:r>
        <w:rPr>
          <w:rtl w:val="true"/>
        </w:rPr>
        <w:t>ש</w:t>
      </w:r>
      <w:r>
        <w:rPr>
          <w:rtl w:val="true"/>
        </w:rPr>
        <w:t xml:space="preserve">' </w:t>
      </w:r>
      <w:r>
        <w:rPr>
          <w:rtl w:val="true"/>
        </w:rPr>
        <w:t xml:space="preserve">העידה כי תגובתה לשאלה זו היתה הלם מוחלט וכי היא הבינה מאימה שאחות אחרת חשפה בפניה את מעשיו של המערער ועל כן היא בודקת האם עוד אחד מאחיה נפגעו </w:t>
      </w:r>
      <w:r>
        <w:rPr>
          <w:rtl w:val="true"/>
        </w:rPr>
        <w:t>(</w:t>
      </w:r>
      <w:r>
        <w:rPr>
          <w:rtl w:val="true"/>
        </w:rPr>
        <w:t>עמ</w:t>
      </w:r>
      <w:r>
        <w:rPr>
          <w:rtl w:val="true"/>
        </w:rPr>
        <w:t xml:space="preserve">' </w:t>
      </w:r>
      <w:r>
        <w:rPr/>
        <w:t>18</w:t>
      </w:r>
      <w:r>
        <w:rPr>
          <w:rtl w:val="true"/>
        </w:rPr>
        <w:t xml:space="preserve">, </w:t>
      </w:r>
      <w:r>
        <w:rPr>
          <w:rtl w:val="true"/>
        </w:rPr>
        <w:t xml:space="preserve">בשורות </w:t>
      </w:r>
      <w:r>
        <w:rPr/>
        <w:t>19-10</w:t>
      </w:r>
      <w:r>
        <w:rPr>
          <w:rtl w:val="true"/>
        </w:rPr>
        <w:t xml:space="preserve"> </w:t>
      </w:r>
      <w:r>
        <w:rPr>
          <w:rtl w:val="true"/>
        </w:rPr>
        <w:t xml:space="preserve">לפרוטוקול </w:t>
      </w:r>
      <w:r>
        <w:rPr/>
        <w:t>1</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ש</w:t>
      </w:r>
      <w:r>
        <w:rPr>
          <w:rtl w:val="true"/>
        </w:rPr>
        <w:t xml:space="preserve">' </w:t>
      </w:r>
      <w:r>
        <w:rPr>
          <w:rtl w:val="true"/>
        </w:rPr>
        <w:t>ידעה לתאר את לבושו של המערער</w:t>
      </w:r>
      <w:r>
        <w:rPr>
          <w:rtl w:val="true"/>
        </w:rPr>
        <w:t xml:space="preserve">: </w:t>
      </w:r>
      <w:r>
        <w:rPr>
          <w:rtl w:val="true"/>
        </w:rPr>
        <w:t xml:space="preserve">גופיית וי לבנה קצרה ומכנסי טרנינג כהים כאשר המערער היה נוהג להכניס את הגופייה למכנסיו </w:t>
      </w:r>
      <w:r>
        <w:rPr>
          <w:rtl w:val="true"/>
        </w:rPr>
        <w:t>(</w:t>
      </w:r>
      <w:r>
        <w:rPr>
          <w:rtl w:val="true"/>
        </w:rPr>
        <w:t>בעמ</w:t>
      </w:r>
      <w:r>
        <w:rPr>
          <w:rtl w:val="true"/>
        </w:rPr>
        <w:t xml:space="preserve">' </w:t>
      </w:r>
      <w:r>
        <w:rPr/>
        <w:t>17</w:t>
      </w:r>
      <w:r>
        <w:rPr>
          <w:rtl w:val="true"/>
        </w:rPr>
        <w:t xml:space="preserve">, </w:t>
      </w:r>
      <w:r>
        <w:rPr>
          <w:rtl w:val="true"/>
        </w:rPr>
        <w:t xml:space="preserve">בשורות </w:t>
      </w:r>
      <w:r>
        <w:rPr/>
        <w:t>21-17</w:t>
      </w:r>
      <w:r>
        <w:rPr>
          <w:rtl w:val="true"/>
        </w:rPr>
        <w:t xml:space="preserve"> </w:t>
      </w:r>
      <w:r>
        <w:rPr>
          <w:rtl w:val="true"/>
        </w:rPr>
        <w:t xml:space="preserve">לפרוטוקול </w:t>
      </w:r>
      <w:r>
        <w:rPr/>
        <w:t>1</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ש</w:t>
      </w:r>
      <w:r>
        <w:rPr>
          <w:rtl w:val="true"/>
        </w:rPr>
        <w:t xml:space="preserve">' </w:t>
      </w:r>
      <w:r>
        <w:rPr>
          <w:rtl w:val="true"/>
        </w:rPr>
        <w:t>ציינה בעדותה כי בעת שמסרה הודעה במשטרה נתבקשה לתאר את גרסתה באופן כללי</w:t>
      </w:r>
      <w:r>
        <w:rPr>
          <w:rtl w:val="true"/>
        </w:rPr>
        <w:t xml:space="preserve">, </w:t>
      </w:r>
      <w:r>
        <w:rPr>
          <w:rtl w:val="true"/>
        </w:rPr>
        <w:t xml:space="preserve">על כן ייתכן שעדותה כעת מפורטת יותר מזו שנתנה בהודעתה הראשונה במשטרה </w:t>
      </w:r>
      <w:r>
        <w:rPr>
          <w:rtl w:val="true"/>
        </w:rPr>
        <w:t>(</w:t>
      </w:r>
      <w:r>
        <w:rPr>
          <w:rtl w:val="true"/>
        </w:rPr>
        <w:t>בעמ</w:t>
      </w:r>
      <w:r>
        <w:rPr>
          <w:rtl w:val="true"/>
        </w:rPr>
        <w:t xml:space="preserve">' </w:t>
      </w:r>
      <w:r>
        <w:rPr/>
        <w:t>20</w:t>
      </w:r>
      <w:r>
        <w:rPr>
          <w:rtl w:val="true"/>
        </w:rPr>
        <w:t xml:space="preserve">, </w:t>
      </w:r>
      <w:r>
        <w:rPr>
          <w:rtl w:val="true"/>
        </w:rPr>
        <w:t xml:space="preserve">בשורה </w:t>
      </w:r>
      <w:r>
        <w:rPr/>
        <w:t>6-4</w:t>
      </w:r>
      <w:r>
        <w:rPr>
          <w:rtl w:val="true"/>
        </w:rPr>
        <w:t xml:space="preserve"> </w:t>
      </w:r>
      <w:r>
        <w:rPr>
          <w:rtl w:val="true"/>
        </w:rPr>
        <w:t xml:space="preserve">לפרוטוקול </w:t>
      </w:r>
      <w:r>
        <w:rPr/>
        <w:t>1</w:t>
      </w:r>
      <w:r>
        <w:rPr>
          <w:rtl w:val="true"/>
        </w:rPr>
        <w:t xml:space="preserve">). </w:t>
      </w:r>
      <w:r>
        <w:rPr>
          <w:rtl w:val="true"/>
        </w:rPr>
        <w:t>עוד הדגישה ש</w:t>
      </w:r>
      <w:r>
        <w:rPr>
          <w:rtl w:val="true"/>
        </w:rPr>
        <w:t xml:space="preserve">' </w:t>
      </w:r>
      <w:r>
        <w:rPr>
          <w:rtl w:val="true"/>
        </w:rPr>
        <w:t>כי מבחינתה הסיבה להגשת התלונה במשטרה היתה חששה לאחייניה</w:t>
      </w:r>
      <w:r>
        <w:rPr>
          <w:rtl w:val="true"/>
        </w:rPr>
        <w:t xml:space="preserve">, </w:t>
      </w:r>
      <w:r>
        <w:rPr>
          <w:rtl w:val="true"/>
        </w:rPr>
        <w:t>ילדיו של המערער וט</w:t>
      </w:r>
      <w:r>
        <w:rPr>
          <w:rtl w:val="true"/>
        </w:rPr>
        <w:t>' (</w:t>
      </w:r>
      <w:r>
        <w:rPr>
          <w:rtl w:val="true"/>
        </w:rPr>
        <w:t>בעמ</w:t>
      </w:r>
      <w:r>
        <w:rPr>
          <w:rtl w:val="true"/>
        </w:rPr>
        <w:t xml:space="preserve">' </w:t>
      </w:r>
      <w:r>
        <w:rPr/>
        <w:t>19</w:t>
      </w:r>
      <w:r>
        <w:rPr>
          <w:rtl w:val="true"/>
        </w:rPr>
        <w:t xml:space="preserve"> </w:t>
      </w:r>
      <w:r>
        <w:rPr>
          <w:rtl w:val="true"/>
        </w:rPr>
        <w:t xml:space="preserve">לפרוטוקול </w:t>
      </w:r>
      <w:r>
        <w:rPr/>
        <w:t>1</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עיקרי</w:t>
      </w:r>
      <w:r>
        <w:rPr>
          <w:rFonts w:ascii="Century" w:hAnsi="Century" w:eastAsia="Century" w:cs="Century"/>
          <w:b/>
          <w:b/>
          <w:spacing w:val="0"/>
          <w:szCs w:val="24"/>
          <w:rtl w:val="true"/>
        </w:rPr>
        <w:t xml:space="preserve"> </w:t>
      </w:r>
      <w:r>
        <w:rPr>
          <w:rFonts w:ascii="Century" w:hAnsi="Century" w:cs="Miriam"/>
          <w:b/>
          <w:b/>
          <w:spacing w:val="0"/>
          <w:szCs w:val="24"/>
          <w:rtl w:val="true"/>
        </w:rPr>
        <w:t>עדותה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מ</w:t>
      </w:r>
      <w:r>
        <w:rPr>
          <w:rFonts w:cs="Miriam" w:ascii="Century" w:hAnsi="Century"/>
          <w:b/>
          <w:spacing w:val="0"/>
          <w:szCs w:val="24"/>
          <w:rtl w:val="true"/>
        </w:rPr>
        <w:t>'</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מ</w:t>
      </w:r>
      <w:r>
        <w:rPr>
          <w:rtl w:val="true"/>
        </w:rPr>
        <w:t xml:space="preserve">' </w:t>
      </w:r>
      <w:r>
        <w:rPr>
          <w:rtl w:val="true"/>
        </w:rPr>
        <w:t xml:space="preserve">העידה </w:t>
      </w:r>
      <w:r>
        <w:rPr>
          <w:rtl w:val="true"/>
        </w:rPr>
        <w:t>(</w:t>
      </w:r>
      <w:r>
        <w:rPr>
          <w:rtl w:val="true"/>
        </w:rPr>
        <w:t xml:space="preserve">ראו פרוטוקול דיון מיום </w:t>
      </w:r>
      <w:r>
        <w:rPr/>
        <w:t>16.6.2015</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פרוטוקול</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rtl w:val="true"/>
        </w:rPr>
        <w:t xml:space="preserve">) </w:t>
      </w:r>
      <w:r>
        <w:rPr>
          <w:rtl w:val="true"/>
        </w:rPr>
        <w:t xml:space="preserve">כי החל מגיל </w:t>
      </w:r>
      <w:r>
        <w:rPr/>
        <w:t>10</w:t>
      </w:r>
      <w:r>
        <w:rPr>
          <w:rtl w:val="true"/>
        </w:rPr>
        <w:t xml:space="preserve"> </w:t>
      </w:r>
      <w:r>
        <w:rPr>
          <w:rtl w:val="true"/>
        </w:rPr>
        <w:t>לערך נהג המערער לגעת באיבר מינה ולהחדיר לתוכו אצבעות</w:t>
      </w:r>
      <w:r>
        <w:rPr>
          <w:rtl w:val="true"/>
        </w:rPr>
        <w:t xml:space="preserve">. </w:t>
      </w:r>
      <w:r>
        <w:rPr>
          <w:rtl w:val="true"/>
        </w:rPr>
        <w:t>לפי דבריה</w:t>
      </w:r>
      <w:r>
        <w:rPr>
          <w:rtl w:val="true"/>
        </w:rPr>
        <w:t xml:space="preserve">, </w:t>
      </w:r>
      <w:r>
        <w:rPr>
          <w:rtl w:val="true"/>
        </w:rPr>
        <w:t>דבר זה אירע פעמים רבות</w:t>
      </w:r>
      <w:r>
        <w:rPr>
          <w:rtl w:val="true"/>
        </w:rPr>
        <w:t xml:space="preserve">; </w:t>
      </w:r>
      <w:r>
        <w:rPr>
          <w:rtl w:val="true"/>
        </w:rPr>
        <w:t>כמעט בכל פעם שהמערער היה מגיע להתארח בבית הוריה יחד עם אחותה ט</w:t>
      </w:r>
      <w:r>
        <w:rPr>
          <w:rtl w:val="true"/>
        </w:rPr>
        <w:t xml:space="preserve">'. </w:t>
      </w:r>
      <w:r>
        <w:rPr>
          <w:rtl w:val="true"/>
        </w:rPr>
        <w:t>לדבריה</w:t>
      </w:r>
      <w:r>
        <w:rPr>
          <w:rtl w:val="true"/>
        </w:rPr>
        <w:t xml:space="preserve">, </w:t>
      </w:r>
      <w:r>
        <w:rPr>
          <w:rtl w:val="true"/>
        </w:rPr>
        <w:t xml:space="preserve">הדבר היה מתרחש לרוב לקראת אמצע הלילה או לפנות בוקר </w:t>
      </w:r>
      <w:r>
        <w:rPr>
          <w:rtl w:val="true"/>
        </w:rPr>
        <w:t>(</w:t>
      </w:r>
      <w:r>
        <w:rPr>
          <w:rtl w:val="true"/>
        </w:rPr>
        <w:t>ראו עמ</w:t>
      </w:r>
      <w:r>
        <w:rPr>
          <w:rtl w:val="true"/>
        </w:rPr>
        <w:t xml:space="preserve">' </w:t>
      </w:r>
      <w:r>
        <w:rPr/>
        <w:t>194-193</w:t>
      </w:r>
      <w:r>
        <w:rPr>
          <w:rtl w:val="true"/>
        </w:rPr>
        <w:t xml:space="preserve"> </w:t>
      </w:r>
      <w:r>
        <w:rPr>
          <w:rtl w:val="true"/>
        </w:rPr>
        <w:t xml:space="preserve">לפרוטוקול </w:t>
      </w:r>
      <w:r>
        <w:rPr/>
        <w:t>2</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מ</w:t>
      </w:r>
      <w:r>
        <w:rPr>
          <w:rtl w:val="true"/>
        </w:rPr>
        <w:t xml:space="preserve">' </w:t>
      </w:r>
      <w:r>
        <w:rPr>
          <w:rtl w:val="true"/>
        </w:rPr>
        <w:t>מתארת תקופות שונות בהן ביצע בה המערער מעשים אלו</w:t>
      </w:r>
      <w:r>
        <w:rPr>
          <w:rtl w:val="true"/>
        </w:rPr>
        <w:t xml:space="preserve">: </w:t>
      </w:r>
      <w:r>
        <w:rPr>
          <w:rtl w:val="true"/>
        </w:rPr>
        <w:t>לפי עדותה</w:t>
      </w:r>
      <w:r>
        <w:rPr>
          <w:rtl w:val="true"/>
        </w:rPr>
        <w:t xml:space="preserve">, </w:t>
      </w:r>
      <w:r>
        <w:rPr>
          <w:rtl w:val="true"/>
        </w:rPr>
        <w:t xml:space="preserve">בהיותה בסביבות גיל </w:t>
      </w:r>
      <w:r>
        <w:rPr/>
        <w:t>11</w:t>
      </w:r>
      <w:r>
        <w:rPr>
          <w:rtl w:val="true"/>
        </w:rPr>
        <w:t xml:space="preserve"> </w:t>
      </w:r>
      <w:r>
        <w:rPr>
          <w:rtl w:val="true"/>
        </w:rPr>
        <w:t>נהגה לישון בלילות שבת בחדר הבנים</w:t>
      </w:r>
      <w:r>
        <w:rPr>
          <w:rtl w:val="true"/>
        </w:rPr>
        <w:t xml:space="preserve">. </w:t>
      </w:r>
      <w:r>
        <w:rPr>
          <w:rtl w:val="true"/>
        </w:rPr>
        <w:t>על פי תיאורה</w:t>
      </w:r>
      <w:r>
        <w:rPr>
          <w:rtl w:val="true"/>
        </w:rPr>
        <w:t xml:space="preserve">, </w:t>
      </w:r>
      <w:r>
        <w:rPr>
          <w:rtl w:val="true"/>
        </w:rPr>
        <w:t>חדר זה כלל מיטת קומתיים והיא נהגה לישון במיטה העליונה</w:t>
      </w:r>
      <w:r>
        <w:rPr>
          <w:rtl w:val="true"/>
        </w:rPr>
        <w:t xml:space="preserve">. </w:t>
      </w:r>
      <w:r>
        <w:rPr>
          <w:rtl w:val="true"/>
        </w:rPr>
        <w:t>לדבריה</w:t>
      </w:r>
      <w:r>
        <w:rPr>
          <w:rtl w:val="true"/>
        </w:rPr>
        <w:t xml:space="preserve">, </w:t>
      </w:r>
      <w:r>
        <w:rPr>
          <w:rtl w:val="true"/>
        </w:rPr>
        <w:t>המערער היה עולה על סולם המיטה</w:t>
      </w:r>
      <w:r>
        <w:rPr>
          <w:rtl w:val="true"/>
        </w:rPr>
        <w:t xml:space="preserve">, </w:t>
      </w:r>
      <w:r>
        <w:rPr>
          <w:rtl w:val="true"/>
        </w:rPr>
        <w:t>מסיר ממנה את השמיכה ומשיל את מכנסיה ותחתוניה עד לגובה הברכיים</w:t>
      </w:r>
      <w:r>
        <w:rPr>
          <w:rtl w:val="true"/>
        </w:rPr>
        <w:t xml:space="preserve">. </w:t>
      </w:r>
      <w:r>
        <w:rPr>
          <w:rtl w:val="true"/>
        </w:rPr>
        <w:t xml:space="preserve">לאחר מכן היה מתחיל </w:t>
      </w:r>
      <w:r>
        <w:rPr>
          <w:rtl w:val="true"/>
        </w:rPr>
        <w:t>"</w:t>
      </w:r>
      <w:r>
        <w:rPr>
          <w:rtl w:val="true"/>
        </w:rPr>
        <w:t>לטייל</w:t>
      </w:r>
      <w:r>
        <w:rPr>
          <w:rtl w:val="true"/>
        </w:rPr>
        <w:t xml:space="preserve">" </w:t>
      </w:r>
      <w:r>
        <w:rPr>
          <w:rtl w:val="true"/>
        </w:rPr>
        <w:t>על גופה</w:t>
      </w:r>
      <w:r>
        <w:rPr>
          <w:rtl w:val="true"/>
        </w:rPr>
        <w:t xml:space="preserve">, </w:t>
      </w:r>
      <w:r>
        <w:rPr>
          <w:rtl w:val="true"/>
        </w:rPr>
        <w:t>מהרגל לכיוון איבר מינה</w:t>
      </w:r>
      <w:r>
        <w:rPr>
          <w:rtl w:val="true"/>
        </w:rPr>
        <w:t xml:space="preserve">, </w:t>
      </w:r>
      <w:r>
        <w:rPr>
          <w:rtl w:val="true"/>
        </w:rPr>
        <w:t>בתנועת הליכה עם אצבעותיו</w:t>
      </w:r>
      <w:r>
        <w:rPr>
          <w:rtl w:val="true"/>
        </w:rPr>
        <w:t xml:space="preserve">, </w:t>
      </w:r>
      <w:r>
        <w:rPr>
          <w:rtl w:val="true"/>
        </w:rPr>
        <w:t xml:space="preserve">ולבסוף היה מחדיר את אצבעותיו אל איבר מינה </w:t>
      </w:r>
      <w:r>
        <w:rPr>
          <w:rtl w:val="true"/>
        </w:rPr>
        <w:t>(</w:t>
      </w:r>
      <w:r>
        <w:rPr>
          <w:rtl w:val="true"/>
        </w:rPr>
        <w:t>שם</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מ</w:t>
      </w:r>
      <w:r>
        <w:rPr>
          <w:rtl w:val="true"/>
        </w:rPr>
        <w:t xml:space="preserve">' </w:t>
      </w:r>
      <w:r>
        <w:rPr>
          <w:rtl w:val="true"/>
        </w:rPr>
        <w:t>תיארה כי היתה מנסה להתהפך ולזוז על מנת לגרום למערער להפסיק</w:t>
      </w:r>
      <w:r>
        <w:rPr>
          <w:rtl w:val="true"/>
        </w:rPr>
        <w:t xml:space="preserve">, </w:t>
      </w:r>
      <w:r>
        <w:rPr>
          <w:rtl w:val="true"/>
        </w:rPr>
        <w:t xml:space="preserve">אולם לרוב הדבר היה מוביל לכך שהמערער היה פוסק ממעשיו רק לרגעים ספורים </w:t>
      </w:r>
      <w:r>
        <w:rPr>
          <w:rtl w:val="true"/>
        </w:rPr>
        <w:t>(</w:t>
      </w:r>
      <w:r>
        <w:rPr>
          <w:rtl w:val="true"/>
        </w:rPr>
        <w:t>בעמ</w:t>
      </w:r>
      <w:r>
        <w:rPr>
          <w:rtl w:val="true"/>
        </w:rPr>
        <w:t xml:space="preserve">' </w:t>
      </w:r>
      <w:r>
        <w:rPr/>
        <w:t>195</w:t>
      </w:r>
      <w:r>
        <w:rPr>
          <w:rtl w:val="true"/>
        </w:rPr>
        <w:t xml:space="preserve">, </w:t>
      </w:r>
      <w:r>
        <w:rPr>
          <w:rtl w:val="true"/>
        </w:rPr>
        <w:t xml:space="preserve">שורות </w:t>
      </w:r>
      <w:r>
        <w:rPr/>
        <w:t>7-5</w:t>
      </w:r>
      <w:r>
        <w:rPr>
          <w:rtl w:val="true"/>
        </w:rPr>
        <w:t xml:space="preserve"> </w:t>
      </w:r>
      <w:r>
        <w:rPr>
          <w:rtl w:val="true"/>
        </w:rPr>
        <w:t xml:space="preserve">לפרוטוקול </w:t>
      </w:r>
      <w:r>
        <w:rPr/>
        <w:t>2</w:t>
      </w:r>
      <w:r>
        <w:rPr>
          <w:rtl w:val="true"/>
        </w:rPr>
        <w:t xml:space="preserve">). </w:t>
      </w:r>
      <w:r>
        <w:rPr>
          <w:rtl w:val="true"/>
        </w:rPr>
        <w:t>מ</w:t>
      </w:r>
      <w:r>
        <w:rPr>
          <w:rtl w:val="true"/>
        </w:rPr>
        <w:t xml:space="preserve">' </w:t>
      </w:r>
      <w:r>
        <w:rPr>
          <w:rtl w:val="true"/>
        </w:rPr>
        <w:t xml:space="preserve">ציינה כי באירועים אלו היא לא היתה לבדה בחדר ובמיטות הסמוכות ישנו אחיה </w:t>
      </w:r>
      <w:r>
        <w:rPr>
          <w:rtl w:val="true"/>
        </w:rPr>
        <w:t>(</w:t>
      </w:r>
      <w:r>
        <w:rPr>
          <w:rtl w:val="true"/>
        </w:rPr>
        <w:t>בעמ</w:t>
      </w:r>
      <w:r>
        <w:rPr>
          <w:rtl w:val="true"/>
        </w:rPr>
        <w:t xml:space="preserve">' </w:t>
      </w:r>
      <w:r>
        <w:rPr/>
        <w:t>196-195</w:t>
      </w:r>
      <w:r>
        <w:rPr>
          <w:rtl w:val="true"/>
        </w:rPr>
        <w:t xml:space="preserve"> </w:t>
      </w:r>
      <w:r>
        <w:rPr>
          <w:rtl w:val="true"/>
        </w:rPr>
        <w:t xml:space="preserve">שורות </w:t>
      </w:r>
      <w:r>
        <w:rPr/>
        <w:t>22-20</w:t>
      </w:r>
      <w:r>
        <w:rPr>
          <w:rtl w:val="true"/>
        </w:rPr>
        <w:t xml:space="preserve">, </w:t>
      </w:r>
      <w:r>
        <w:rPr/>
        <w:t>2-1</w:t>
      </w:r>
      <w:r>
        <w:rPr>
          <w:rtl w:val="true"/>
        </w:rPr>
        <w:t xml:space="preserve">, </w:t>
      </w:r>
      <w:r>
        <w:rPr>
          <w:rtl w:val="true"/>
        </w:rPr>
        <w:t>בהתאמה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כמו כן מסרה מ</w:t>
      </w:r>
      <w:r>
        <w:rPr>
          <w:rtl w:val="true"/>
        </w:rPr>
        <w:t xml:space="preserve">' </w:t>
      </w:r>
      <w:r>
        <w:rPr>
          <w:rtl w:val="true"/>
        </w:rPr>
        <w:t>לבית המשפט כי היתה עושה עצמה ישנה בעת המעשים אבל נמנעה מלעצום את עיניה לחלוטין ועל כן יכלה לזהות באופן ודאי את המערער כמי שביצע את המעשים</w:t>
      </w:r>
      <w:r>
        <w:rPr>
          <w:rtl w:val="true"/>
        </w:rPr>
        <w:t xml:space="preserve">. </w:t>
      </w:r>
      <w:r>
        <w:rPr>
          <w:rtl w:val="true"/>
        </w:rPr>
        <w:t>היא הוסיפה בהקשר זה כי ראתה את המערער גם לאחר סיום המעשים</w:t>
      </w:r>
      <w:r>
        <w:rPr>
          <w:rtl w:val="true"/>
        </w:rPr>
        <w:t xml:space="preserve">, </w:t>
      </w:r>
      <w:r>
        <w:rPr>
          <w:rtl w:val="true"/>
        </w:rPr>
        <w:t xml:space="preserve">כאשר היה יוצא מהחדר </w:t>
      </w:r>
      <w:r>
        <w:rPr>
          <w:rtl w:val="true"/>
        </w:rPr>
        <w:t>(</w:t>
      </w:r>
      <w:r>
        <w:rPr>
          <w:rtl w:val="true"/>
        </w:rPr>
        <w:t>בעמ</w:t>
      </w:r>
      <w:r>
        <w:rPr>
          <w:rtl w:val="true"/>
        </w:rPr>
        <w:t xml:space="preserve">' </w:t>
      </w:r>
      <w:r>
        <w:rPr/>
        <w:t>196</w:t>
      </w:r>
      <w:r>
        <w:rPr>
          <w:rtl w:val="true"/>
        </w:rPr>
        <w:t xml:space="preserve"> </w:t>
      </w:r>
      <w:r>
        <w:rPr>
          <w:rtl w:val="true"/>
        </w:rPr>
        <w:t xml:space="preserve">לפרוטוקול </w:t>
      </w:r>
      <w:r>
        <w:rPr/>
        <w:t>2</w:t>
      </w:r>
      <w:r>
        <w:rPr>
          <w:rtl w:val="true"/>
        </w:rPr>
        <w:t xml:space="preserve">). </w:t>
      </w:r>
      <w:r>
        <w:rPr>
          <w:rtl w:val="true"/>
        </w:rPr>
        <w:t>עוד סיפרה מ</w:t>
      </w:r>
      <w:r>
        <w:rPr>
          <w:rtl w:val="true"/>
        </w:rPr>
        <w:t xml:space="preserve">' </w:t>
      </w:r>
      <w:r>
        <w:rPr>
          <w:rtl w:val="true"/>
        </w:rPr>
        <w:t>בעדותה על מקרה שהתרחש באור יום</w:t>
      </w:r>
      <w:r>
        <w:rPr>
          <w:rtl w:val="true"/>
        </w:rPr>
        <w:t xml:space="preserve">: </w:t>
      </w:r>
      <w:r>
        <w:rPr>
          <w:rFonts w:cs="Century" w:ascii="Century" w:hAnsi="Century"/>
          <w:sz w:val="22"/>
          <w:rtl w:val="true"/>
        </w:rPr>
        <w:t>"</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המחשב</w:t>
      </w:r>
      <w:r>
        <w:rPr>
          <w:rFonts w:cs="Century" w:ascii="Century" w:hAnsi="Century"/>
          <w:sz w:val="22"/>
          <w:rtl w:val="true"/>
        </w:rPr>
        <w:t>"</w:t>
      </w:r>
      <w:r>
        <w:rPr>
          <w:rtl w:val="true"/>
        </w:rPr>
        <w:t xml:space="preserve">. </w:t>
      </w:r>
      <w:r>
        <w:rPr>
          <w:rtl w:val="true"/>
        </w:rPr>
        <w:t>לדבריה</w:t>
      </w:r>
      <w:r>
        <w:rPr>
          <w:rtl w:val="true"/>
        </w:rPr>
        <w:t xml:space="preserve">, </w:t>
      </w:r>
      <w:r>
        <w:rPr>
          <w:rtl w:val="true"/>
        </w:rPr>
        <w:t>היא שיחקה במחשב בעמידה בזמן שהמערער ישב על מיטה בקרבת המחשב</w:t>
      </w:r>
      <w:r>
        <w:rPr>
          <w:rtl w:val="true"/>
        </w:rPr>
        <w:t xml:space="preserve">. </w:t>
      </w:r>
      <w:r>
        <w:rPr>
          <w:rtl w:val="true"/>
        </w:rPr>
        <w:t>אז הכניס המערער את ידו מתחת לחצאיתה</w:t>
      </w:r>
      <w:r>
        <w:rPr>
          <w:rtl w:val="true"/>
        </w:rPr>
        <w:t xml:space="preserve">, </w:t>
      </w:r>
      <w:r>
        <w:rPr>
          <w:rtl w:val="true"/>
        </w:rPr>
        <w:t>הזיז את תחתוניה</w:t>
      </w:r>
      <w:r>
        <w:rPr>
          <w:rtl w:val="true"/>
        </w:rPr>
        <w:t xml:space="preserve">, </w:t>
      </w:r>
      <w:r>
        <w:rPr>
          <w:rtl w:val="true"/>
        </w:rPr>
        <w:t>החדיר את אצבעותיו אל תוך איבר מינה</w:t>
      </w:r>
      <w:r>
        <w:rPr>
          <w:rtl w:val="true"/>
        </w:rPr>
        <w:t xml:space="preserve">, </w:t>
      </w:r>
      <w:r>
        <w:rPr>
          <w:rtl w:val="true"/>
        </w:rPr>
        <w:t>ולאחר מכן שאל אותה אם היא רוצה לגעת בו</w:t>
      </w:r>
      <w:r>
        <w:rPr>
          <w:rtl w:val="true"/>
        </w:rPr>
        <w:t xml:space="preserve">. </w:t>
      </w:r>
      <w:r>
        <w:rPr>
          <w:rtl w:val="true"/>
        </w:rPr>
        <w:t>בתגובה לכך השיבה מ</w:t>
      </w:r>
      <w:r>
        <w:rPr>
          <w:rtl w:val="true"/>
        </w:rPr>
        <w:t xml:space="preserve">' </w:t>
      </w:r>
      <w:r>
        <w:rPr>
          <w:rtl w:val="true"/>
        </w:rPr>
        <w:t xml:space="preserve">בשלילה ועזבה את החדר </w:t>
      </w:r>
      <w:r>
        <w:rPr>
          <w:rtl w:val="true"/>
        </w:rPr>
        <w:t>(</w:t>
      </w:r>
      <w:r>
        <w:rPr>
          <w:rtl w:val="true"/>
        </w:rPr>
        <w:t>ראו עמ</w:t>
      </w:r>
      <w:r>
        <w:rPr>
          <w:rtl w:val="true"/>
        </w:rPr>
        <w:t xml:space="preserve">' </w:t>
      </w:r>
      <w:r>
        <w:rPr/>
        <w:t>197</w:t>
      </w:r>
      <w:r>
        <w:rPr>
          <w:rtl w:val="true"/>
        </w:rPr>
        <w:t xml:space="preserve">, </w:t>
      </w:r>
      <w:r>
        <w:rPr>
          <w:rtl w:val="true"/>
        </w:rPr>
        <w:t xml:space="preserve">שורות </w:t>
      </w:r>
      <w:r>
        <w:rPr/>
        <w:t>9-1</w:t>
      </w:r>
      <w:r>
        <w:rPr>
          <w:rtl w:val="true"/>
        </w:rPr>
        <w:t xml:space="preserve"> </w:t>
      </w:r>
      <w:r>
        <w:rPr>
          <w:rtl w:val="true"/>
        </w:rPr>
        <w:t xml:space="preserve">לפרוטוקול </w:t>
      </w:r>
      <w:r>
        <w:rPr/>
        <w:t>2</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מקרה אחר עליו העידה מ</w:t>
      </w:r>
      <w:r>
        <w:rPr>
          <w:rtl w:val="true"/>
        </w:rPr>
        <w:t xml:space="preserve">' </w:t>
      </w:r>
      <w:r>
        <w:rPr>
          <w:rtl w:val="true"/>
        </w:rPr>
        <w:t xml:space="preserve">אירע בתקופה עוקבת לניתוח הרניה </w:t>
      </w:r>
      <w:r>
        <w:rPr>
          <w:rtl w:val="true"/>
        </w:rPr>
        <w:t>(</w:t>
      </w:r>
      <w:r>
        <w:rPr>
          <w:rtl w:val="true"/>
        </w:rPr>
        <w:t xml:space="preserve">בקע מפשעתי או </w:t>
      </w:r>
      <w:r>
        <w:rPr>
          <w:rtl w:val="true"/>
        </w:rPr>
        <w:t>"</w:t>
      </w:r>
      <w:r>
        <w:rPr>
          <w:rtl w:val="true"/>
        </w:rPr>
        <w:t>קילה</w:t>
      </w:r>
      <w:r>
        <w:rPr>
          <w:rtl w:val="true"/>
        </w:rPr>
        <w:t xml:space="preserve">") </w:t>
      </w:r>
      <w:r>
        <w:rPr>
          <w:rtl w:val="true"/>
        </w:rPr>
        <w:t>שעבר המערער</w:t>
      </w:r>
      <w:r>
        <w:rPr>
          <w:rtl w:val="true"/>
        </w:rPr>
        <w:t xml:space="preserve">. </w:t>
      </w:r>
      <w:r>
        <w:rPr>
          <w:rtl w:val="true"/>
        </w:rPr>
        <w:t>מ</w:t>
      </w:r>
      <w:r>
        <w:rPr>
          <w:rtl w:val="true"/>
        </w:rPr>
        <w:t xml:space="preserve">' </w:t>
      </w:r>
      <w:r>
        <w:rPr>
          <w:rtl w:val="true"/>
        </w:rPr>
        <w:t>סיפרה כי המערער ישן על מזרון בסלון כיוון שהתקשה לעלות במדרגות לחדר השינה</w:t>
      </w:r>
      <w:r>
        <w:rPr>
          <w:rtl w:val="true"/>
        </w:rPr>
        <w:t xml:space="preserve">, </w:t>
      </w:r>
      <w:r>
        <w:rPr>
          <w:rtl w:val="true"/>
        </w:rPr>
        <w:t>ואילו היא ישנה על הספה בסלון</w:t>
      </w:r>
      <w:r>
        <w:rPr>
          <w:rtl w:val="true"/>
        </w:rPr>
        <w:t xml:space="preserve">. </w:t>
      </w:r>
      <w:r>
        <w:rPr>
          <w:rtl w:val="true"/>
        </w:rPr>
        <w:t>במועד זה</w:t>
      </w:r>
      <w:r>
        <w:rPr>
          <w:rtl w:val="true"/>
        </w:rPr>
        <w:t xml:space="preserve">, </w:t>
      </w:r>
      <w:r>
        <w:rPr>
          <w:rtl w:val="true"/>
        </w:rPr>
        <w:t>על פי עדותה של מ</w:t>
      </w:r>
      <w:r>
        <w:rPr>
          <w:rtl w:val="true"/>
        </w:rPr>
        <w:t xml:space="preserve">', </w:t>
      </w:r>
      <w:r>
        <w:rPr>
          <w:rtl w:val="true"/>
        </w:rPr>
        <w:t>המערער הפשיל את מכנסיה ואת תחתוניה</w:t>
      </w:r>
      <w:r>
        <w:rPr>
          <w:rtl w:val="true"/>
        </w:rPr>
        <w:t xml:space="preserve">, </w:t>
      </w:r>
      <w:r>
        <w:rPr>
          <w:rtl w:val="true"/>
        </w:rPr>
        <w:t>בעודה ישנה</w:t>
      </w:r>
      <w:r>
        <w:rPr>
          <w:rtl w:val="true"/>
        </w:rPr>
        <w:t xml:space="preserve">, </w:t>
      </w:r>
      <w:r>
        <w:rPr>
          <w:rtl w:val="true"/>
        </w:rPr>
        <w:t xml:space="preserve">והחדיר אצבעות לאיבר מינה </w:t>
      </w:r>
      <w:r>
        <w:rPr>
          <w:rtl w:val="true"/>
        </w:rPr>
        <w:t>(</w:t>
      </w:r>
      <w:r>
        <w:rPr>
          <w:rtl w:val="true"/>
        </w:rPr>
        <w:t>ראו עמ</w:t>
      </w:r>
      <w:r>
        <w:rPr>
          <w:rtl w:val="true"/>
        </w:rPr>
        <w:t xml:space="preserve">' </w:t>
      </w:r>
      <w:r>
        <w:rPr/>
        <w:t>197</w:t>
      </w:r>
      <w:r>
        <w:rPr>
          <w:rtl w:val="true"/>
        </w:rPr>
        <w:t xml:space="preserve">, </w:t>
      </w:r>
      <w:r>
        <w:rPr>
          <w:rtl w:val="true"/>
        </w:rPr>
        <w:t xml:space="preserve">בשורות </w:t>
      </w:r>
      <w:r>
        <w:rPr/>
        <w:t>20-13</w:t>
      </w:r>
      <w:r>
        <w:rPr>
          <w:rtl w:val="true"/>
        </w:rPr>
        <w:t xml:space="preserve"> </w:t>
      </w:r>
      <w:r>
        <w:rPr>
          <w:rtl w:val="true"/>
        </w:rPr>
        <w:t xml:space="preserve">לפרוטוקול </w:t>
      </w:r>
      <w:r>
        <w:rPr/>
        <w:t>2</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מ</w:t>
      </w:r>
      <w:r>
        <w:rPr>
          <w:rtl w:val="true"/>
        </w:rPr>
        <w:t xml:space="preserve">' </w:t>
      </w:r>
      <w:r>
        <w:rPr>
          <w:rtl w:val="true"/>
        </w:rPr>
        <w:t>העידה כי בתקופה מאוחרת יותר</w:t>
      </w:r>
      <w:r>
        <w:rPr>
          <w:rtl w:val="true"/>
        </w:rPr>
        <w:t xml:space="preserve">, </w:t>
      </w:r>
      <w:r>
        <w:rPr>
          <w:rtl w:val="true"/>
        </w:rPr>
        <w:t xml:space="preserve">כאשר היתה בערך בת </w:t>
      </w:r>
      <w:r>
        <w:rPr/>
        <w:t>13</w:t>
      </w:r>
      <w:r>
        <w:rPr>
          <w:rtl w:val="true"/>
        </w:rPr>
        <w:t xml:space="preserve"> </w:t>
      </w:r>
      <w:r>
        <w:rPr>
          <w:rtl w:val="true"/>
        </w:rPr>
        <w:t>ולאחר שאחותה ש</w:t>
      </w:r>
      <w:r>
        <w:rPr>
          <w:rtl w:val="true"/>
        </w:rPr>
        <w:t xml:space="preserve">' </w:t>
      </w:r>
      <w:r>
        <w:rPr>
          <w:rtl w:val="true"/>
        </w:rPr>
        <w:t>התחתנה ועברה לגור מחוץ לבית</w:t>
      </w:r>
      <w:r>
        <w:rPr>
          <w:rtl w:val="true"/>
        </w:rPr>
        <w:t xml:space="preserve">, </w:t>
      </w:r>
      <w:r>
        <w:rPr>
          <w:rtl w:val="true"/>
        </w:rPr>
        <w:t>עברה מ</w:t>
      </w:r>
      <w:r>
        <w:rPr>
          <w:rtl w:val="true"/>
        </w:rPr>
        <w:t xml:space="preserve">' </w:t>
      </w:r>
      <w:r>
        <w:rPr>
          <w:rtl w:val="true"/>
        </w:rPr>
        <w:t>לישון בחדרה הקודם של ש</w:t>
      </w:r>
      <w:r>
        <w:rPr>
          <w:rtl w:val="true"/>
        </w:rPr>
        <w:t xml:space="preserve">' </w:t>
      </w:r>
      <w:r>
        <w:rPr>
          <w:rtl w:val="true"/>
        </w:rPr>
        <w:t>בקומה התחתונה של הבית</w:t>
      </w:r>
      <w:r>
        <w:rPr>
          <w:rtl w:val="true"/>
        </w:rPr>
        <w:t xml:space="preserve">. </w:t>
      </w:r>
      <w:r>
        <w:rPr>
          <w:rtl w:val="true"/>
        </w:rPr>
        <w:t>מ</w:t>
      </w:r>
      <w:r>
        <w:rPr>
          <w:rtl w:val="true"/>
        </w:rPr>
        <w:t xml:space="preserve">' </w:t>
      </w:r>
      <w:r>
        <w:rPr>
          <w:rtl w:val="true"/>
        </w:rPr>
        <w:t>סיפרה כי באחד מהמועדים</w:t>
      </w:r>
      <w:r>
        <w:rPr>
          <w:rtl w:val="true"/>
        </w:rPr>
        <w:t xml:space="preserve">, </w:t>
      </w:r>
      <w:r>
        <w:rPr>
          <w:rtl w:val="true"/>
        </w:rPr>
        <w:t>בהם המערער התארח בביתה</w:t>
      </w:r>
      <w:r>
        <w:rPr>
          <w:rtl w:val="true"/>
        </w:rPr>
        <w:t xml:space="preserve">, </w:t>
      </w:r>
      <w:r>
        <w:rPr>
          <w:rtl w:val="true"/>
        </w:rPr>
        <w:t>לנה אצלה חברה</w:t>
      </w:r>
      <w:r>
        <w:rPr>
          <w:rtl w:val="true"/>
        </w:rPr>
        <w:t xml:space="preserve">. </w:t>
      </w:r>
      <w:r>
        <w:rPr>
          <w:rtl w:val="true"/>
        </w:rPr>
        <w:t>מ</w:t>
      </w:r>
      <w:r>
        <w:rPr>
          <w:rtl w:val="true"/>
        </w:rPr>
        <w:t xml:space="preserve">' </w:t>
      </w:r>
      <w:r>
        <w:rPr>
          <w:rtl w:val="true"/>
        </w:rPr>
        <w:t>חששה שמא המערער יכנס לחדרה בלילה</w:t>
      </w:r>
      <w:r>
        <w:rPr>
          <w:rtl w:val="true"/>
        </w:rPr>
        <w:t xml:space="preserve">, </w:t>
      </w:r>
      <w:r>
        <w:rPr>
          <w:rtl w:val="true"/>
        </w:rPr>
        <w:t>יתבלבל בינה לבין חברתה ויבצע את מעשיו המיניים בחברה</w:t>
      </w:r>
      <w:r>
        <w:rPr>
          <w:rtl w:val="true"/>
        </w:rPr>
        <w:t xml:space="preserve">. </w:t>
      </w:r>
      <w:r>
        <w:rPr>
          <w:rtl w:val="true"/>
        </w:rPr>
        <w:t>מסיבה זו הצמידה מ</w:t>
      </w:r>
      <w:r>
        <w:rPr>
          <w:rtl w:val="true"/>
        </w:rPr>
        <w:t xml:space="preserve">' </w:t>
      </w:r>
      <w:r>
        <w:rPr>
          <w:rtl w:val="true"/>
        </w:rPr>
        <w:t xml:space="preserve">כיסא אל דלת החדר כדי שתתעורר מהשינה אם המערער יכנס לשם </w:t>
      </w:r>
      <w:r>
        <w:rPr>
          <w:rtl w:val="true"/>
        </w:rPr>
        <w:t>(</w:t>
      </w:r>
      <w:r>
        <w:rPr>
          <w:rtl w:val="true"/>
        </w:rPr>
        <w:t>בעמ</w:t>
      </w:r>
      <w:r>
        <w:rPr>
          <w:rtl w:val="true"/>
        </w:rPr>
        <w:t xml:space="preserve">' </w:t>
      </w:r>
      <w:r>
        <w:rPr/>
        <w:t>198</w:t>
      </w:r>
      <w:r>
        <w:rPr>
          <w:rtl w:val="true"/>
        </w:rPr>
        <w:t xml:space="preserve">, </w:t>
      </w:r>
      <w:r>
        <w:rPr>
          <w:rtl w:val="true"/>
        </w:rPr>
        <w:t xml:space="preserve">בשורות </w:t>
      </w:r>
      <w:r>
        <w:rPr/>
        <w:t>5-1</w:t>
      </w:r>
      <w:r>
        <w:rPr>
          <w:rtl w:val="true"/>
        </w:rPr>
        <w:t xml:space="preserve"> </w:t>
      </w:r>
      <w:r>
        <w:rPr>
          <w:rtl w:val="true"/>
        </w:rPr>
        <w:t xml:space="preserve">לפרוטוקול </w:t>
      </w:r>
      <w:r>
        <w:rPr/>
        <w:t>2</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מ</w:t>
      </w:r>
      <w:r>
        <w:rPr>
          <w:rtl w:val="true"/>
        </w:rPr>
        <w:t xml:space="preserve">' </w:t>
      </w:r>
      <w:r>
        <w:rPr>
          <w:rtl w:val="true"/>
        </w:rPr>
        <w:t>תיארה בבירור את הדלת של חדר השינה בקומה התחתונה</w:t>
      </w:r>
      <w:r>
        <w:rPr>
          <w:rtl w:val="true"/>
        </w:rPr>
        <w:t xml:space="preserve">: </w:t>
      </w:r>
      <w:r>
        <w:rPr>
          <w:rtl w:val="true"/>
        </w:rPr>
        <w:t>דלת ממ</w:t>
      </w:r>
      <w:r>
        <w:rPr>
          <w:rtl w:val="true"/>
        </w:rPr>
        <w:t>"</w:t>
      </w:r>
      <w:r>
        <w:rPr>
          <w:rtl w:val="true"/>
        </w:rPr>
        <w:t>ד</w:t>
      </w:r>
      <w:r>
        <w:rPr>
          <w:rtl w:val="true"/>
        </w:rPr>
        <w:t xml:space="preserve">, </w:t>
      </w:r>
      <w:r>
        <w:rPr>
          <w:rtl w:val="true"/>
        </w:rPr>
        <w:t>בעלת ידית מסתובבת</w:t>
      </w:r>
      <w:r>
        <w:rPr>
          <w:rtl w:val="true"/>
        </w:rPr>
        <w:t xml:space="preserve">, </w:t>
      </w:r>
      <w:r>
        <w:rPr>
          <w:rtl w:val="true"/>
        </w:rPr>
        <w:t>שהיתה משמיעה קול אם היו פותחים אותה מהר מידי</w:t>
      </w:r>
      <w:r>
        <w:rPr>
          <w:rtl w:val="true"/>
        </w:rPr>
        <w:t xml:space="preserve">. </w:t>
      </w:r>
      <w:r>
        <w:rPr>
          <w:rtl w:val="true"/>
        </w:rPr>
        <w:t xml:space="preserve">היא סיפרה כי המערער היה פותח את הדלת לאט כדי לא להשמיע קול </w:t>
      </w:r>
      <w:r>
        <w:rPr>
          <w:rtl w:val="true"/>
        </w:rPr>
        <w:t>(</w:t>
      </w:r>
      <w:r>
        <w:rPr>
          <w:rtl w:val="true"/>
        </w:rPr>
        <w:t>בעמ</w:t>
      </w:r>
      <w:r>
        <w:rPr>
          <w:rtl w:val="true"/>
        </w:rPr>
        <w:t xml:space="preserve">' </w:t>
      </w:r>
      <w:r>
        <w:rPr/>
        <w:t>198</w:t>
      </w:r>
      <w:r>
        <w:rPr>
          <w:rtl w:val="true"/>
        </w:rPr>
        <w:t xml:space="preserve">, </w:t>
      </w:r>
      <w:r>
        <w:rPr>
          <w:rtl w:val="true"/>
        </w:rPr>
        <w:t xml:space="preserve">שורות </w:t>
      </w:r>
      <w:r>
        <w:rPr/>
        <w:t>15-8</w:t>
      </w:r>
      <w:r>
        <w:rPr>
          <w:rtl w:val="true"/>
        </w:rPr>
        <w:t xml:space="preserve"> </w:t>
      </w:r>
      <w:r>
        <w:rPr>
          <w:rtl w:val="true"/>
        </w:rPr>
        <w:t xml:space="preserve">לפרוטוקול </w:t>
      </w:r>
      <w:r>
        <w:rPr/>
        <w:t>2</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מ</w:t>
      </w:r>
      <w:r>
        <w:rPr>
          <w:rtl w:val="true"/>
        </w:rPr>
        <w:t xml:space="preserve">' </w:t>
      </w:r>
      <w:r>
        <w:rPr>
          <w:rtl w:val="true"/>
        </w:rPr>
        <w:t>תיארה גם מקרה בו באחת מהפעמים בהן המערער נגע בה היא התעוררה ושאלה אותו מה הוא עושה</w:t>
      </w:r>
      <w:r>
        <w:rPr>
          <w:rtl w:val="true"/>
        </w:rPr>
        <w:t xml:space="preserve">. </w:t>
      </w:r>
      <w:r>
        <w:rPr>
          <w:rtl w:val="true"/>
        </w:rPr>
        <w:t>בתגובה</w:t>
      </w:r>
      <w:r>
        <w:rPr>
          <w:rtl w:val="true"/>
        </w:rPr>
        <w:t xml:space="preserve">, </w:t>
      </w:r>
      <w:r>
        <w:rPr>
          <w:rtl w:val="true"/>
        </w:rPr>
        <w:t>הלה העמיד פנים כאילו הוא מחפש ספר בכוורת שהיתה ממוקמת בסמוך למיטתה ומיד לאחר מכן יצא מהחדר מבלי שלקח עמו ספר כלשהו</w:t>
      </w:r>
      <w:r>
        <w:rPr>
          <w:rtl w:val="true"/>
        </w:rPr>
        <w:t xml:space="preserve">. </w:t>
      </w:r>
      <w:r>
        <w:rPr>
          <w:rtl w:val="true"/>
        </w:rPr>
        <w:t>מ</w:t>
      </w:r>
      <w:r>
        <w:rPr>
          <w:rtl w:val="true"/>
        </w:rPr>
        <w:t xml:space="preserve">' </w:t>
      </w:r>
      <w:r>
        <w:rPr>
          <w:rtl w:val="true"/>
        </w:rPr>
        <w:t xml:space="preserve">ציינה בעדותה כי באירוע זה המערער טרם הספיק לגעת בה </w:t>
      </w:r>
      <w:r>
        <w:rPr>
          <w:rtl w:val="true"/>
        </w:rPr>
        <w:t>(</w:t>
      </w:r>
      <w:r>
        <w:rPr>
          <w:rtl w:val="true"/>
        </w:rPr>
        <w:t>בעמ</w:t>
      </w:r>
      <w:r>
        <w:rPr>
          <w:rtl w:val="true"/>
        </w:rPr>
        <w:t xml:space="preserve">' </w:t>
      </w:r>
      <w:r>
        <w:rPr/>
        <w:t>198</w:t>
      </w:r>
      <w:r>
        <w:rPr>
          <w:rtl w:val="true"/>
        </w:rPr>
        <w:t xml:space="preserve">, </w:t>
      </w:r>
      <w:r>
        <w:rPr>
          <w:rtl w:val="true"/>
        </w:rPr>
        <w:t>ש</w:t>
      </w:r>
      <w:r>
        <w:rPr>
          <w:rtl w:val="true"/>
        </w:rPr>
        <w:t xml:space="preserve">' </w:t>
      </w:r>
      <w:r>
        <w:rPr/>
        <w:t>19-8</w:t>
      </w:r>
      <w:r>
        <w:rPr>
          <w:rtl w:val="true"/>
        </w:rPr>
        <w:t xml:space="preserve"> </w:t>
      </w:r>
      <w:r>
        <w:rPr>
          <w:rtl w:val="true"/>
        </w:rPr>
        <w:t xml:space="preserve">לפרוטוקול </w:t>
      </w:r>
      <w:r>
        <w:rPr/>
        <w:t>2</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כמו כן סיפרה מ</w:t>
      </w:r>
      <w:r>
        <w:rPr>
          <w:rtl w:val="true"/>
        </w:rPr>
        <w:t xml:space="preserve">' </w:t>
      </w:r>
      <w:r>
        <w:rPr>
          <w:rtl w:val="true"/>
        </w:rPr>
        <w:t>בעדותה על מקרה בו המערער החדיר את אצבעותיו לאיבר מינה באופן שגרם לה לכאב ועל כן היא קפצה באופן שהבהיל את המערער</w:t>
      </w:r>
      <w:r>
        <w:rPr>
          <w:rtl w:val="true"/>
        </w:rPr>
        <w:t xml:space="preserve">. </w:t>
      </w:r>
      <w:r>
        <w:rPr>
          <w:rtl w:val="true"/>
        </w:rPr>
        <w:t>היא גם ציינה שהיא זוכרת את הקולות שהמערער עשה</w:t>
      </w:r>
      <w:r>
        <w:rPr>
          <w:rtl w:val="true"/>
        </w:rPr>
        <w:t>: "</w:t>
      </w:r>
      <w:r>
        <w:rPr>
          <w:rtl w:val="true"/>
        </w:rPr>
        <w:t>אני קפצתי והוא נורא נבהל</w:t>
      </w:r>
      <w:r>
        <w:rPr>
          <w:rtl w:val="true"/>
        </w:rPr>
        <w:t xml:space="preserve">, </w:t>
      </w:r>
      <w:r>
        <w:rPr>
          <w:rtl w:val="true"/>
        </w:rPr>
        <w:t>אני עד עכשיו שומעת את ה</w:t>
      </w:r>
      <w:r>
        <w:rPr>
          <w:rtl w:val="true"/>
        </w:rPr>
        <w:t>-</w:t>
      </w:r>
      <w:r>
        <w:rPr>
          <w:rtl w:val="true"/>
        </w:rPr>
        <w:t>ההה</w:t>
      </w:r>
      <w:r>
        <w:rPr>
          <w:rtl w:val="true"/>
        </w:rPr>
        <w:t xml:space="preserve">..... </w:t>
      </w:r>
      <w:r>
        <w:rPr>
          <w:rtl w:val="true"/>
        </w:rPr>
        <w:t>שהוא עשה</w:t>
      </w:r>
      <w:r>
        <w:rPr>
          <w:rtl w:val="true"/>
        </w:rPr>
        <w:t xml:space="preserve">. </w:t>
      </w:r>
      <w:r>
        <w:rPr>
          <w:rtl w:val="true"/>
        </w:rPr>
        <w:t>ואז הוא יצא מהחדר</w:t>
      </w:r>
      <w:r>
        <w:rPr>
          <w:rtl w:val="true"/>
        </w:rPr>
        <w:t>" (</w:t>
      </w:r>
      <w:r>
        <w:rPr>
          <w:rtl w:val="true"/>
        </w:rPr>
        <w:t>ראו עמ</w:t>
      </w:r>
      <w:r>
        <w:rPr>
          <w:rtl w:val="true"/>
        </w:rPr>
        <w:t xml:space="preserve">' </w:t>
      </w:r>
      <w:r>
        <w:rPr/>
        <w:t>199</w:t>
      </w:r>
      <w:r>
        <w:rPr>
          <w:rtl w:val="true"/>
        </w:rPr>
        <w:t xml:space="preserve">, </w:t>
      </w:r>
      <w:r>
        <w:rPr>
          <w:rtl w:val="true"/>
        </w:rPr>
        <w:t xml:space="preserve">בשורות </w:t>
      </w:r>
      <w:r>
        <w:rPr/>
        <w:t>9-7</w:t>
      </w:r>
      <w:r>
        <w:rPr>
          <w:rtl w:val="true"/>
        </w:rPr>
        <w:t xml:space="preserve"> </w:t>
      </w:r>
      <w:r>
        <w:rPr>
          <w:rtl w:val="true"/>
        </w:rPr>
        <w:t xml:space="preserve">לפרוטוקול </w:t>
      </w:r>
      <w:r>
        <w:rPr/>
        <w:t>2</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מ</w:t>
      </w:r>
      <w:r>
        <w:rPr>
          <w:rtl w:val="true"/>
        </w:rPr>
        <w:t xml:space="preserve">' </w:t>
      </w:r>
      <w:r>
        <w:rPr>
          <w:rtl w:val="true"/>
        </w:rPr>
        <w:t>סיפרה בעדותה על אירוע אחר</w:t>
      </w:r>
      <w:r>
        <w:rPr>
          <w:rtl w:val="true"/>
        </w:rPr>
        <w:t xml:space="preserve">, </w:t>
      </w:r>
      <w:r>
        <w:rPr>
          <w:rtl w:val="true"/>
        </w:rPr>
        <w:t>שהתרחש לאחר שקיבלה מחזור לראשונה</w:t>
      </w:r>
      <w:r>
        <w:rPr>
          <w:rtl w:val="true"/>
        </w:rPr>
        <w:t xml:space="preserve">. </w:t>
      </w:r>
      <w:r>
        <w:rPr>
          <w:rtl w:val="true"/>
        </w:rPr>
        <w:t>לדבריה</w:t>
      </w:r>
      <w:r>
        <w:rPr>
          <w:rtl w:val="true"/>
        </w:rPr>
        <w:t xml:space="preserve">, </w:t>
      </w:r>
      <w:r>
        <w:rPr>
          <w:rtl w:val="true"/>
        </w:rPr>
        <w:t>המערער הרגיש שהיא במחזור ועל כן לא החדיר את אצבעותיו לאיבר מינה</w:t>
      </w:r>
      <w:r>
        <w:rPr>
          <w:rtl w:val="true"/>
        </w:rPr>
        <w:t xml:space="preserve">; </w:t>
      </w:r>
      <w:r>
        <w:rPr>
          <w:rtl w:val="true"/>
        </w:rPr>
        <w:t>אירוע זה כונה במסגרת פסק הדין קמא</w:t>
      </w:r>
      <w:r>
        <w:rPr>
          <w:rtl w:val="true"/>
        </w:rPr>
        <w:t xml:space="preserve">: </w:t>
      </w:r>
      <w:r>
        <w:rPr>
          <w:rFonts w:cs="Century" w:ascii="Century" w:hAnsi="Century"/>
          <w:sz w:val="22"/>
          <w:rtl w:val="true"/>
        </w:rPr>
        <w:t>"</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הפד</w:t>
      </w:r>
      <w:r>
        <w:rPr>
          <w:rFonts w:cs="Century" w:ascii="Century" w:hAnsi="Century"/>
          <w:sz w:val="22"/>
          <w:rtl w:val="true"/>
        </w:rPr>
        <w:t>"</w:t>
      </w:r>
      <w:r>
        <w:rPr>
          <w:rtl w:val="true"/>
        </w:rPr>
        <w:t xml:space="preserve">. </w:t>
      </w:r>
      <w:r>
        <w:rPr>
          <w:rtl w:val="true"/>
        </w:rPr>
        <w:t>עוד סיפרה מ</w:t>
      </w:r>
      <w:r>
        <w:rPr>
          <w:rtl w:val="true"/>
        </w:rPr>
        <w:t xml:space="preserve">' </w:t>
      </w:r>
      <w:r>
        <w:rPr>
          <w:rtl w:val="true"/>
        </w:rPr>
        <w:t xml:space="preserve">כי המערער המשיך במעשיו גם לאחר שקיבלה מחזור מה שעורר אצלה חשש כבד כי היא נכנסה להריון עקב המעשים </w:t>
      </w:r>
      <w:r>
        <w:rPr>
          <w:rtl w:val="true"/>
        </w:rPr>
        <w:t>(</w:t>
      </w:r>
      <w:r>
        <w:rPr>
          <w:rtl w:val="true"/>
        </w:rPr>
        <w:t>בעמ</w:t>
      </w:r>
      <w:r>
        <w:rPr>
          <w:rtl w:val="true"/>
        </w:rPr>
        <w:t xml:space="preserve">' </w:t>
      </w:r>
      <w:r>
        <w:rPr/>
        <w:t>199</w:t>
      </w:r>
      <w:r>
        <w:rPr>
          <w:rtl w:val="true"/>
        </w:rPr>
        <w:t xml:space="preserve">, </w:t>
      </w:r>
      <w:r>
        <w:rPr>
          <w:rtl w:val="true"/>
        </w:rPr>
        <w:t xml:space="preserve">שורות </w:t>
      </w:r>
      <w:r>
        <w:rPr/>
        <w:t>23-16</w:t>
      </w:r>
      <w:r>
        <w:rPr>
          <w:rtl w:val="true"/>
        </w:rPr>
        <w:t xml:space="preserve"> </w:t>
      </w:r>
      <w:r>
        <w:rPr>
          <w:rtl w:val="true"/>
        </w:rPr>
        <w:t xml:space="preserve">לפרוטוקול </w:t>
      </w:r>
      <w:r>
        <w:rPr/>
        <w:t>2</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מ</w:t>
      </w:r>
      <w:r>
        <w:rPr>
          <w:rtl w:val="true"/>
        </w:rPr>
        <w:t xml:space="preserve">' </w:t>
      </w:r>
      <w:r>
        <w:rPr>
          <w:rtl w:val="true"/>
        </w:rPr>
        <w:t>סיפרה בעדותה גם על מעשים שבוצעו על ידי המערער מחוץ לבית המשפחה</w:t>
      </w:r>
      <w:r>
        <w:rPr>
          <w:rtl w:val="true"/>
        </w:rPr>
        <w:t xml:space="preserve">. </w:t>
      </w:r>
      <w:r>
        <w:rPr>
          <w:rtl w:val="true"/>
        </w:rPr>
        <w:t>לפי דבריה</w:t>
      </w:r>
      <w:r>
        <w:rPr>
          <w:rtl w:val="true"/>
        </w:rPr>
        <w:t xml:space="preserve">, </w:t>
      </w:r>
      <w:r>
        <w:rPr>
          <w:rtl w:val="true"/>
        </w:rPr>
        <w:t>בכל ראש השנה היתה נוהגת המשפחה כולה לבלות יחד בבית נופש</w:t>
      </w:r>
      <w:r>
        <w:rPr>
          <w:rtl w:val="true"/>
        </w:rPr>
        <w:t xml:space="preserve">. </w:t>
      </w:r>
      <w:r>
        <w:rPr>
          <w:rtl w:val="true"/>
        </w:rPr>
        <w:t>בבית זה נהגו לישון חלק מהילדים על מזרונים בסלון</w:t>
      </w:r>
      <w:r>
        <w:rPr>
          <w:rtl w:val="true"/>
        </w:rPr>
        <w:t xml:space="preserve">. </w:t>
      </w:r>
      <w:r>
        <w:rPr>
          <w:rtl w:val="true"/>
        </w:rPr>
        <w:t>שם</w:t>
      </w:r>
      <w:r>
        <w:rPr>
          <w:rtl w:val="true"/>
        </w:rPr>
        <w:t xml:space="preserve">, </w:t>
      </w:r>
      <w:r>
        <w:rPr>
          <w:rtl w:val="true"/>
        </w:rPr>
        <w:t>לפי עדותה של מ</w:t>
      </w:r>
      <w:r>
        <w:rPr>
          <w:rtl w:val="true"/>
        </w:rPr>
        <w:t xml:space="preserve">', </w:t>
      </w:r>
      <w:r>
        <w:rPr>
          <w:rtl w:val="true"/>
        </w:rPr>
        <w:t>נהג המערער לבצע בה את המעשים האמורים</w:t>
      </w:r>
      <w:r>
        <w:rPr>
          <w:rtl w:val="true"/>
        </w:rPr>
        <w:t xml:space="preserve">. </w:t>
      </w:r>
      <w:r>
        <w:rPr>
          <w:rtl w:val="true"/>
        </w:rPr>
        <w:t>לאחר מכן</w:t>
      </w:r>
      <w:r>
        <w:rPr>
          <w:rtl w:val="true"/>
        </w:rPr>
        <w:t xml:space="preserve">, </w:t>
      </w:r>
      <w:r>
        <w:rPr>
          <w:rtl w:val="true"/>
        </w:rPr>
        <w:t xml:space="preserve">בהיותה בת </w:t>
      </w:r>
      <w:r>
        <w:rPr/>
        <w:t>14-13</w:t>
      </w:r>
      <w:r>
        <w:rPr>
          <w:rtl w:val="true"/>
        </w:rPr>
        <w:t xml:space="preserve">, </w:t>
      </w:r>
      <w:r>
        <w:rPr>
          <w:rtl w:val="true"/>
        </w:rPr>
        <w:t>היו ישנים חלק מאחיה בקרוואן שהיה מצוי בחצר בית הנופש</w:t>
      </w:r>
      <w:r>
        <w:rPr>
          <w:rtl w:val="true"/>
        </w:rPr>
        <w:t xml:space="preserve">, </w:t>
      </w:r>
      <w:r>
        <w:rPr>
          <w:rtl w:val="true"/>
        </w:rPr>
        <w:t>אותו הם הקפידו לנעול בלילה</w:t>
      </w:r>
      <w:r>
        <w:rPr>
          <w:rtl w:val="true"/>
        </w:rPr>
        <w:t xml:space="preserve">. </w:t>
      </w:r>
      <w:r>
        <w:rPr>
          <w:rtl w:val="true"/>
        </w:rPr>
        <w:t>מ</w:t>
      </w:r>
      <w:r>
        <w:rPr>
          <w:rtl w:val="true"/>
        </w:rPr>
        <w:t xml:space="preserve">' </w:t>
      </w:r>
      <w:r>
        <w:rPr>
          <w:rtl w:val="true"/>
        </w:rPr>
        <w:t>ביקשה לישון בקרוואן יחד עם הבנים</w:t>
      </w:r>
      <w:r>
        <w:rPr>
          <w:rtl w:val="true"/>
        </w:rPr>
        <w:t xml:space="preserve">, </w:t>
      </w:r>
      <w:r>
        <w:rPr>
          <w:rtl w:val="true"/>
        </w:rPr>
        <w:t>שכן חשבה כי כך תוכל להרחיק את המערער ממנה</w:t>
      </w:r>
      <w:r>
        <w:rPr>
          <w:rtl w:val="true"/>
        </w:rPr>
        <w:t xml:space="preserve">. </w:t>
      </w:r>
      <w:r>
        <w:rPr>
          <w:rtl w:val="true"/>
        </w:rPr>
        <w:t>מ</w:t>
      </w:r>
      <w:r>
        <w:rPr>
          <w:rtl w:val="true"/>
        </w:rPr>
        <w:t xml:space="preserve">' </w:t>
      </w:r>
      <w:r>
        <w:rPr>
          <w:rtl w:val="true"/>
        </w:rPr>
        <w:t>העידה כי ניסיונות ההתחמקות שלה כשלו</w:t>
      </w:r>
      <w:r>
        <w:rPr>
          <w:rtl w:val="true"/>
        </w:rPr>
        <w:t xml:space="preserve">, </w:t>
      </w:r>
      <w:r>
        <w:rPr>
          <w:rtl w:val="true"/>
        </w:rPr>
        <w:t>שכן כאשר אחיה יצאו לתפילת בוקר מוקדמת</w:t>
      </w:r>
      <w:r>
        <w:rPr>
          <w:rtl w:val="true"/>
        </w:rPr>
        <w:t xml:space="preserve">, </w:t>
      </w:r>
      <w:r>
        <w:rPr>
          <w:rtl w:val="true"/>
        </w:rPr>
        <w:t xml:space="preserve">נכנס המערער לקרוואן והחדיר את אצבעותיו לאיבר מינה </w:t>
      </w:r>
      <w:r>
        <w:rPr>
          <w:rtl w:val="true"/>
        </w:rPr>
        <w:t>(</w:t>
      </w:r>
      <w:r>
        <w:rPr>
          <w:rtl w:val="true"/>
        </w:rPr>
        <w:t>להלן</w:t>
      </w:r>
      <w:r>
        <w:rPr>
          <w:rtl w:val="true"/>
        </w:rPr>
        <w:t xml:space="preserve">: </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הקרוואן</w:t>
      </w:r>
      <w:r>
        <w:rPr>
          <w:rFonts w:cs="Century" w:ascii="Century" w:hAnsi="Century"/>
          <w:sz w:val="22"/>
          <w:rtl w:val="true"/>
        </w:rPr>
        <w:t>) (</w:t>
      </w:r>
      <w:r>
        <w:rPr>
          <w:rFonts w:ascii="Century" w:hAnsi="Century" w:cs="Century"/>
          <w:sz w:val="22"/>
          <w:sz w:val="22"/>
          <w:rtl w:val="true"/>
        </w:rPr>
        <w:t>ראו עמ</w:t>
      </w:r>
      <w:r>
        <w:rPr>
          <w:rFonts w:cs="Century" w:ascii="Century" w:hAnsi="Century"/>
          <w:sz w:val="22"/>
          <w:rtl w:val="true"/>
        </w:rPr>
        <w:t xml:space="preserve">' </w:t>
      </w:r>
      <w:r>
        <w:rPr>
          <w:rFonts w:cs="Century" w:ascii="Century" w:hAnsi="Century"/>
          <w:sz w:val="22"/>
        </w:rPr>
        <w:t>200</w:t>
      </w:r>
      <w:r>
        <w:rPr>
          <w:rFonts w:cs="Century" w:ascii="Century" w:hAnsi="Century"/>
          <w:sz w:val="22"/>
          <w:rtl w:val="true"/>
        </w:rPr>
        <w:t xml:space="preserve"> </w:t>
      </w:r>
      <w:r>
        <w:rPr>
          <w:rFonts w:ascii="Century" w:hAnsi="Century" w:cs="Century"/>
          <w:sz w:val="22"/>
          <w:sz w:val="22"/>
          <w:rtl w:val="true"/>
        </w:rPr>
        <w:t xml:space="preserve">לפרוטוקול </w:t>
      </w:r>
      <w:r>
        <w:rPr>
          <w:rFonts w:cs="Century" w:ascii="Century" w:hAnsi="Century"/>
          <w:sz w:val="22"/>
        </w:rPr>
        <w:t>2</w:t>
      </w:r>
      <w:r>
        <w:rPr>
          <w:rFonts w:cs="Century" w:ascii="Century" w:hAnsi="Century"/>
          <w:sz w:val="22"/>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מ</w:t>
      </w:r>
      <w:r>
        <w:rPr>
          <w:rtl w:val="true"/>
        </w:rPr>
        <w:t xml:space="preserve">' </w:t>
      </w:r>
      <w:r>
        <w:rPr>
          <w:rtl w:val="true"/>
        </w:rPr>
        <w:t>העידה אודות האירוע האחרון שבמסגרתו ניסה המערער לבצע בה מעשה מיני</w:t>
      </w:r>
      <w:r>
        <w:rPr>
          <w:rtl w:val="true"/>
        </w:rPr>
        <w:t xml:space="preserve">. </w:t>
      </w:r>
      <w:r>
        <w:rPr>
          <w:rtl w:val="true"/>
        </w:rPr>
        <w:t>לדבריה</w:t>
      </w:r>
      <w:r>
        <w:rPr>
          <w:rtl w:val="true"/>
        </w:rPr>
        <w:t xml:space="preserve">, </w:t>
      </w:r>
      <w:r>
        <w:rPr>
          <w:rtl w:val="true"/>
        </w:rPr>
        <w:t xml:space="preserve">היא היתה אז בת </w:t>
      </w:r>
      <w:r>
        <w:rPr/>
        <w:t>15</w:t>
      </w:r>
      <w:r>
        <w:rPr>
          <w:rtl w:val="true"/>
        </w:rPr>
        <w:t xml:space="preserve"> </w:t>
      </w:r>
      <w:r>
        <w:rPr>
          <w:rtl w:val="true"/>
        </w:rPr>
        <w:t>לערך וישנה על הספה בסלון</w:t>
      </w:r>
      <w:r>
        <w:rPr>
          <w:rtl w:val="true"/>
        </w:rPr>
        <w:t xml:space="preserve">. </w:t>
      </w:r>
      <w:r>
        <w:rPr>
          <w:rtl w:val="true"/>
        </w:rPr>
        <w:t>מ</w:t>
      </w:r>
      <w:r>
        <w:rPr>
          <w:rtl w:val="true"/>
        </w:rPr>
        <w:t xml:space="preserve">' </w:t>
      </w:r>
      <w:r>
        <w:rPr>
          <w:rtl w:val="true"/>
        </w:rPr>
        <w:t xml:space="preserve">סיפרה בעדותה כי התעוררה לאחר שהמערער נגע בשמיכתה ובתגובה אמרה לו </w:t>
      </w:r>
      <w:r>
        <w:rPr>
          <w:rtl w:val="true"/>
        </w:rPr>
        <w:t>"</w:t>
      </w:r>
      <w:r>
        <w:rPr>
          <w:rtl w:val="true"/>
        </w:rPr>
        <w:t>שלא תעז לגעת לא בי ולא באף אחת מהאחיות שלי</w:t>
      </w:r>
      <w:r>
        <w:rPr>
          <w:rtl w:val="true"/>
        </w:rPr>
        <w:t xml:space="preserve">". </w:t>
      </w:r>
      <w:r>
        <w:rPr>
          <w:rtl w:val="true"/>
        </w:rPr>
        <w:t>לדבריה</w:t>
      </w:r>
      <w:r>
        <w:rPr>
          <w:rtl w:val="true"/>
        </w:rPr>
        <w:t xml:space="preserve">, </w:t>
      </w:r>
      <w:r>
        <w:rPr>
          <w:rtl w:val="true"/>
        </w:rPr>
        <w:t xml:space="preserve">המערער השיב כי אף פעם לא נגע בה והתרחק ומאז לא ביצע בה עוד מעשים </w:t>
      </w:r>
      <w:r>
        <w:rPr>
          <w:rtl w:val="true"/>
        </w:rPr>
        <w:t>(</w:t>
      </w:r>
      <w:r>
        <w:rPr>
          <w:rtl w:val="true"/>
        </w:rPr>
        <w:t xml:space="preserve">ראו עמודים </w:t>
      </w:r>
      <w:r>
        <w:rPr/>
        <w:t>201</w:t>
      </w:r>
      <w:r>
        <w:rPr>
          <w:rtl w:val="true"/>
        </w:rPr>
        <w:t xml:space="preserve">, </w:t>
      </w:r>
      <w:r>
        <w:rPr>
          <w:rtl w:val="true"/>
        </w:rPr>
        <w:t xml:space="preserve">בשורות </w:t>
      </w:r>
      <w:r>
        <w:rPr/>
        <w:t>8-1</w:t>
      </w:r>
      <w:r>
        <w:rPr>
          <w:rtl w:val="true"/>
        </w:rPr>
        <w:t xml:space="preserve"> </w:t>
      </w:r>
      <w:r>
        <w:rPr>
          <w:rtl w:val="true"/>
        </w:rPr>
        <w:t xml:space="preserve">לפרוטוקול </w:t>
      </w:r>
      <w:r>
        <w:rPr/>
        <w:t>2</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מ</w:t>
      </w:r>
      <w:r>
        <w:rPr>
          <w:rtl w:val="true"/>
        </w:rPr>
        <w:t xml:space="preserve">' </w:t>
      </w:r>
      <w:r>
        <w:rPr>
          <w:rtl w:val="true"/>
        </w:rPr>
        <w:t>העידה גם אודות השתלשלות הדברים בחשיפת מעשי המערער</w:t>
      </w:r>
      <w:r>
        <w:rPr>
          <w:rtl w:val="true"/>
        </w:rPr>
        <w:t xml:space="preserve">. </w:t>
      </w:r>
      <w:r>
        <w:rPr>
          <w:rtl w:val="true"/>
        </w:rPr>
        <w:t>היא סיפרה כי שוחחה עם בעלה על התנהלותם המוזרה של המערער ואחותה ט</w:t>
      </w:r>
      <w:r>
        <w:rPr>
          <w:rtl w:val="true"/>
        </w:rPr>
        <w:t xml:space="preserve">', </w:t>
      </w:r>
      <w:r>
        <w:rPr>
          <w:rtl w:val="true"/>
        </w:rPr>
        <w:t>ובתגובה השיב בעלה כי אולי זו ההזדמנות של ט</w:t>
      </w:r>
      <w:r>
        <w:rPr>
          <w:rtl w:val="true"/>
        </w:rPr>
        <w:t xml:space="preserve">' </w:t>
      </w:r>
      <w:r>
        <w:rPr>
          <w:rtl w:val="true"/>
        </w:rPr>
        <w:t>להתגרש מהמערער</w:t>
      </w:r>
      <w:r>
        <w:rPr>
          <w:rtl w:val="true"/>
        </w:rPr>
        <w:t xml:space="preserve">. </w:t>
      </w:r>
      <w:r>
        <w:rPr>
          <w:rtl w:val="true"/>
        </w:rPr>
        <w:t>בהמשך לדברים אלו</w:t>
      </w:r>
      <w:r>
        <w:rPr>
          <w:rtl w:val="true"/>
        </w:rPr>
        <w:t xml:space="preserve">, </w:t>
      </w:r>
      <w:r>
        <w:rPr>
          <w:rtl w:val="true"/>
        </w:rPr>
        <w:t>בחרה מ</w:t>
      </w:r>
      <w:r>
        <w:rPr>
          <w:rtl w:val="true"/>
        </w:rPr>
        <w:t xml:space="preserve">' </w:t>
      </w:r>
      <w:r>
        <w:rPr>
          <w:rtl w:val="true"/>
        </w:rPr>
        <w:t>לשתף את בעלה במעשים שביצע בה המערער כאשר היתה ילדה</w:t>
      </w:r>
      <w:r>
        <w:rPr>
          <w:rtl w:val="true"/>
        </w:rPr>
        <w:t xml:space="preserve">. </w:t>
      </w:r>
      <w:r>
        <w:rPr>
          <w:rtl w:val="true"/>
        </w:rPr>
        <w:t>כאשר נשאלה על ידי בעלה בדבר אופיים המדויק של המעשים שנעשו בה</w:t>
      </w:r>
      <w:r>
        <w:rPr>
          <w:rtl w:val="true"/>
        </w:rPr>
        <w:t xml:space="preserve">, </w:t>
      </w:r>
      <w:r>
        <w:rPr>
          <w:rtl w:val="true"/>
        </w:rPr>
        <w:t>סיפרה לו כבר בשלב זה כי המערער היה מחדיר אצבעות לאיבר מינה</w:t>
      </w:r>
      <w:r>
        <w:rPr>
          <w:rtl w:val="true"/>
        </w:rPr>
        <w:t xml:space="preserve">. </w:t>
      </w:r>
      <w:r>
        <w:rPr>
          <w:rtl w:val="true"/>
        </w:rPr>
        <w:t>בתגובה לחשיפה זו החליט בעלה להתקשר להוריה וביקש להגיע אליהם</w:t>
      </w:r>
      <w:r>
        <w:rPr>
          <w:rtl w:val="true"/>
        </w:rPr>
        <w:t xml:space="preserve">. </w:t>
      </w:r>
      <w:r>
        <w:rPr>
          <w:rtl w:val="true"/>
        </w:rPr>
        <w:t>מ</w:t>
      </w:r>
      <w:r>
        <w:rPr>
          <w:rtl w:val="true"/>
        </w:rPr>
        <w:t xml:space="preserve">' </w:t>
      </w:r>
      <w:r>
        <w:rPr>
          <w:rtl w:val="true"/>
        </w:rPr>
        <w:t>ובעלה נסעו יחד לבית הוריה וסיפרו להם את שאירע בעבר</w:t>
      </w:r>
      <w:r>
        <w:rPr>
          <w:rtl w:val="true"/>
        </w:rPr>
        <w:t xml:space="preserve">. </w:t>
      </w:r>
      <w:r>
        <w:rPr>
          <w:rtl w:val="true"/>
        </w:rPr>
        <w:t>מ</w:t>
      </w:r>
      <w:r>
        <w:rPr>
          <w:rtl w:val="true"/>
        </w:rPr>
        <w:t xml:space="preserve">' </w:t>
      </w:r>
      <w:r>
        <w:rPr>
          <w:rtl w:val="true"/>
        </w:rPr>
        <w:t>העידה כי התקשתה לדבר עם הוריה ולרוב בכתה</w:t>
      </w:r>
      <w:r>
        <w:rPr>
          <w:rtl w:val="true"/>
        </w:rPr>
        <w:t xml:space="preserve">; </w:t>
      </w:r>
      <w:r>
        <w:rPr>
          <w:rtl w:val="true"/>
        </w:rPr>
        <w:t>כי בעלה דיבר במקומה</w:t>
      </w:r>
      <w:r>
        <w:rPr>
          <w:rtl w:val="true"/>
        </w:rPr>
        <w:t xml:space="preserve">; </w:t>
      </w:r>
      <w:r>
        <w:rPr>
          <w:rtl w:val="true"/>
        </w:rPr>
        <w:t xml:space="preserve">וכי לאחר מכן היא ענתה לשאלות הוריה אודות המעשים שהמערער ביצע בה </w:t>
      </w:r>
      <w:r>
        <w:rPr>
          <w:rtl w:val="true"/>
        </w:rPr>
        <w:t>(</w:t>
      </w:r>
      <w:r>
        <w:rPr>
          <w:rtl w:val="true"/>
        </w:rPr>
        <w:t>ראו עמ</w:t>
      </w:r>
      <w:r>
        <w:rPr>
          <w:rtl w:val="true"/>
        </w:rPr>
        <w:t xml:space="preserve">' </w:t>
      </w:r>
      <w:r>
        <w:rPr/>
        <w:t>205-202</w:t>
      </w:r>
      <w:r>
        <w:rPr>
          <w:rtl w:val="true"/>
        </w:rPr>
        <w:t xml:space="preserve"> </w:t>
      </w:r>
      <w:r>
        <w:rPr>
          <w:rtl w:val="true"/>
        </w:rPr>
        <w:t xml:space="preserve">לפרוטוקול </w:t>
      </w:r>
      <w:r>
        <w:rPr/>
        <w:t>2</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מ</w:t>
      </w:r>
      <w:r>
        <w:rPr>
          <w:rtl w:val="true"/>
        </w:rPr>
        <w:t xml:space="preserve">' </w:t>
      </w:r>
      <w:r>
        <w:rPr>
          <w:rtl w:val="true"/>
        </w:rPr>
        <w:t>תיארה בעדותה את תחושותיה כאשר נזכרת באירועים הללו</w:t>
      </w:r>
      <w:r>
        <w:rPr>
          <w:rtl w:val="true"/>
        </w:rPr>
        <w:t>: "</w:t>
      </w:r>
      <w:r>
        <w:rPr>
          <w:rtl w:val="true"/>
        </w:rPr>
        <w:t>זה מחזיר אותי אחורה ונורא פחדתי כשהוא היה נוגע בי</w:t>
      </w:r>
      <w:r>
        <w:rPr>
          <w:rtl w:val="true"/>
        </w:rPr>
        <w:t xml:space="preserve">, </w:t>
      </w:r>
      <w:r>
        <w:rPr>
          <w:rtl w:val="true"/>
        </w:rPr>
        <w:t>הייתי נורא נורא מכווצת</w:t>
      </w:r>
      <w:r>
        <w:rPr>
          <w:rtl w:val="true"/>
        </w:rPr>
        <w:t xml:space="preserve">, </w:t>
      </w:r>
      <w:r>
        <w:rPr>
          <w:rtl w:val="true"/>
        </w:rPr>
        <w:t xml:space="preserve">הייתי מחזיקה את האצבעות שלי ככה </w:t>
      </w:r>
      <w:r>
        <w:rPr>
          <w:rtl w:val="true"/>
        </w:rPr>
        <w:t>[</w:t>
      </w:r>
      <w:r>
        <w:rPr>
          <w:rtl w:val="true"/>
        </w:rPr>
        <w:t>עושה תנועה של כיווץ אגרופים</w:t>
      </w:r>
      <w:r>
        <w:rPr>
          <w:rtl w:val="true"/>
        </w:rPr>
        <w:t>]" (</w:t>
      </w:r>
      <w:r>
        <w:rPr>
          <w:rtl w:val="true"/>
        </w:rPr>
        <w:t>ראו עמ</w:t>
      </w:r>
      <w:r>
        <w:rPr>
          <w:rtl w:val="true"/>
        </w:rPr>
        <w:t xml:space="preserve">' </w:t>
      </w:r>
      <w:r>
        <w:rPr/>
        <w:t>206</w:t>
      </w:r>
      <w:r>
        <w:rPr>
          <w:rtl w:val="true"/>
        </w:rPr>
        <w:t xml:space="preserve">, </w:t>
      </w:r>
      <w:r>
        <w:rPr>
          <w:rtl w:val="true"/>
        </w:rPr>
        <w:t xml:space="preserve">בשורות </w:t>
      </w:r>
      <w:r>
        <w:rPr/>
        <w:t>22-21</w:t>
      </w:r>
      <w:r>
        <w:rPr>
          <w:rtl w:val="true"/>
        </w:rPr>
        <w:t xml:space="preserve"> </w:t>
      </w:r>
      <w:r>
        <w:rPr>
          <w:rtl w:val="true"/>
        </w:rPr>
        <w:t xml:space="preserve">לפרוטוקול </w:t>
      </w:r>
      <w:r>
        <w:rPr/>
        <w:t>2</w:t>
      </w:r>
      <w:r>
        <w:rPr>
          <w:rtl w:val="true"/>
        </w:rPr>
        <w:t xml:space="preserve">). </w:t>
      </w:r>
      <w:r>
        <w:rPr>
          <w:rtl w:val="true"/>
        </w:rPr>
        <w:t>מ</w:t>
      </w:r>
      <w:r>
        <w:rPr>
          <w:rtl w:val="true"/>
        </w:rPr>
        <w:t xml:space="preserve">' </w:t>
      </w:r>
      <w:r>
        <w:rPr>
          <w:rtl w:val="true"/>
        </w:rPr>
        <w:t>גם ציינה שככל שהיא מדברת על האירועים הללו היא נזכרת בפרטי הפרטים ובאירועים נוספים שהתרחשו</w:t>
      </w:r>
      <w:r>
        <w:rPr>
          <w:rtl w:val="true"/>
        </w:rPr>
        <w:t xml:space="preserve">. </w:t>
      </w:r>
      <w:r>
        <w:rPr>
          <w:rtl w:val="true"/>
        </w:rPr>
        <w:t>היא הוסיפה כי פחדה מאוד מלפתוח את הנושא ולהתעמת מחדש עם האירועים הללו</w:t>
      </w:r>
      <w:r>
        <w:rPr>
          <w:rtl w:val="true"/>
        </w:rPr>
        <w:t xml:space="preserve">. </w:t>
      </w:r>
      <w:r>
        <w:rPr>
          <w:rtl w:val="true"/>
        </w:rPr>
        <w:t>מ</w:t>
      </w:r>
      <w:r>
        <w:rPr>
          <w:rtl w:val="true"/>
        </w:rPr>
        <w:t xml:space="preserve">' </w:t>
      </w:r>
      <w:r>
        <w:rPr>
          <w:rtl w:val="true"/>
        </w:rPr>
        <w:t>ציינה בעדותה כי היא יודעת מה קרה לאחותה ש</w:t>
      </w:r>
      <w:r>
        <w:rPr>
          <w:rtl w:val="true"/>
        </w:rPr>
        <w:t xml:space="preserve">' </w:t>
      </w:r>
      <w:r>
        <w:rPr>
          <w:rtl w:val="true"/>
        </w:rPr>
        <w:t xml:space="preserve">רק באופן כללי וכי השתיים מעולם לא שוחחו לעומק על האירועים </w:t>
      </w:r>
      <w:r>
        <w:rPr>
          <w:rtl w:val="true"/>
        </w:rPr>
        <w:t>(</w:t>
      </w:r>
      <w:r>
        <w:rPr>
          <w:rtl w:val="true"/>
        </w:rPr>
        <w:t>בעמ</w:t>
      </w:r>
      <w:r>
        <w:rPr>
          <w:rtl w:val="true"/>
        </w:rPr>
        <w:t xml:space="preserve">' </w:t>
      </w:r>
      <w:r>
        <w:rPr/>
        <w:t>201</w:t>
      </w:r>
      <w:r>
        <w:rPr>
          <w:rtl w:val="true"/>
        </w:rPr>
        <w:t xml:space="preserve">, </w:t>
      </w:r>
      <w:r>
        <w:rPr>
          <w:rtl w:val="true"/>
        </w:rPr>
        <w:t xml:space="preserve">בשורות </w:t>
      </w:r>
      <w:r>
        <w:rPr/>
        <w:t>21-17</w:t>
      </w:r>
      <w:r>
        <w:rPr>
          <w:rtl w:val="true"/>
        </w:rPr>
        <w:t xml:space="preserve"> </w:t>
      </w:r>
      <w:r>
        <w:rPr>
          <w:rtl w:val="true"/>
        </w:rPr>
        <w:t xml:space="preserve">לפרוטוקול </w:t>
      </w:r>
      <w:r>
        <w:rPr/>
        <w:t>2</w:t>
      </w:r>
      <w:r>
        <w:rPr>
          <w:rtl w:val="true"/>
        </w:rPr>
        <w:t xml:space="preserve">). </w:t>
      </w:r>
      <w:r>
        <w:rPr>
          <w:rtl w:val="true"/>
        </w:rPr>
        <w:t>כמו כן מ</w:t>
      </w:r>
      <w:r>
        <w:rPr>
          <w:rtl w:val="true"/>
        </w:rPr>
        <w:t xml:space="preserve">' </w:t>
      </w:r>
      <w:r>
        <w:rPr>
          <w:rtl w:val="true"/>
        </w:rPr>
        <w:t xml:space="preserve">הסבירה כי סירבה לקיים עימות עם המערער כיוון שלא רצתה לראותו בשנית וחששה מהתחושות שעלולות לעלות בה אם תתעמת אתו </w:t>
      </w:r>
      <w:r>
        <w:rPr>
          <w:rtl w:val="true"/>
        </w:rPr>
        <w:t>(</w:t>
      </w:r>
      <w:r>
        <w:rPr>
          <w:rtl w:val="true"/>
        </w:rPr>
        <w:t>ראו עמ</w:t>
      </w:r>
      <w:r>
        <w:rPr>
          <w:rtl w:val="true"/>
        </w:rPr>
        <w:t xml:space="preserve">' </w:t>
      </w:r>
      <w:r>
        <w:rPr/>
        <w:t>214</w:t>
      </w:r>
      <w:r>
        <w:rPr>
          <w:rtl w:val="true"/>
        </w:rPr>
        <w:t xml:space="preserve"> </w:t>
      </w:r>
      <w:r>
        <w:rPr>
          <w:rtl w:val="true"/>
        </w:rPr>
        <w:t xml:space="preserve">לפרוטוקול </w:t>
      </w:r>
      <w:r>
        <w:rPr/>
        <w:t>2</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מ</w:t>
      </w:r>
      <w:r>
        <w:rPr>
          <w:rtl w:val="true"/>
        </w:rPr>
        <w:t xml:space="preserve">' </w:t>
      </w:r>
      <w:r>
        <w:rPr>
          <w:rtl w:val="true"/>
        </w:rPr>
        <w:t>העידה כי בהודעתה במשטרה נשאלה שאלות כלליות בנוגע למעשיו של המערער ועל כן היא לא התעמקה בפרטי הפרטים של האירועים וסיפרה את הסיפור בקווים כלליים</w:t>
      </w:r>
      <w:r>
        <w:rPr>
          <w:rtl w:val="true"/>
        </w:rPr>
        <w:t xml:space="preserve">. </w:t>
      </w:r>
      <w:r>
        <w:rPr>
          <w:rtl w:val="true"/>
        </w:rPr>
        <w:t>בהקשר זה הסבירה מ</w:t>
      </w:r>
      <w:r>
        <w:rPr>
          <w:rtl w:val="true"/>
        </w:rPr>
        <w:t xml:space="preserve">' </w:t>
      </w:r>
      <w:r>
        <w:rPr>
          <w:rtl w:val="true"/>
        </w:rPr>
        <w:t>כי במובן מסוים הדחיקה את האירועים הללו במהלך השנים שחלפו בין מועד ביצוע העבירות למועד הגשת התלונה</w:t>
      </w:r>
      <w:r>
        <w:rPr>
          <w:rtl w:val="true"/>
        </w:rPr>
        <w:t xml:space="preserve">, </w:t>
      </w:r>
      <w:r>
        <w:rPr>
          <w:rtl w:val="true"/>
        </w:rPr>
        <w:t xml:space="preserve">וכי בעזרת הטיפול הנפשי שעברה הצליחה להעלות את הפרטים והאירועים שוב ולסדר את זיכרונותיה ברצף כרונולוגי </w:t>
      </w:r>
      <w:r>
        <w:rPr>
          <w:rtl w:val="true"/>
        </w:rPr>
        <w:t>(</w:t>
      </w:r>
      <w:r>
        <w:rPr>
          <w:rtl w:val="true"/>
        </w:rPr>
        <w:t>ראו עמ</w:t>
      </w:r>
      <w:r>
        <w:rPr>
          <w:rtl w:val="true"/>
        </w:rPr>
        <w:t xml:space="preserve">' </w:t>
      </w:r>
      <w:r>
        <w:rPr/>
        <w:t>213-212</w:t>
      </w:r>
      <w:r>
        <w:rPr>
          <w:rtl w:val="true"/>
        </w:rPr>
        <w:t xml:space="preserve"> </w:t>
      </w:r>
      <w:r>
        <w:rPr>
          <w:rtl w:val="true"/>
        </w:rPr>
        <w:t xml:space="preserve">לפרוטוקול </w:t>
      </w:r>
      <w:r>
        <w:rPr/>
        <w:t>2</w:t>
      </w:r>
      <w:r>
        <w:rPr>
          <w:rtl w:val="true"/>
        </w:rPr>
        <w:t xml:space="preserve">). </w:t>
      </w:r>
      <w:r>
        <w:rPr>
          <w:rtl w:val="true"/>
        </w:rPr>
        <w:t>כמו כן העידה מ</w:t>
      </w:r>
      <w:r>
        <w:rPr>
          <w:rtl w:val="true"/>
        </w:rPr>
        <w:t xml:space="preserve">' </w:t>
      </w:r>
      <w:r>
        <w:rPr>
          <w:rtl w:val="true"/>
        </w:rPr>
        <w:t xml:space="preserve">כי המניע הראשוני להגשת התלונה במשטרה היה החשש והדאגה לילדי המערער </w:t>
      </w:r>
      <w:r>
        <w:rPr>
          <w:rtl w:val="true"/>
        </w:rPr>
        <w:t>(</w:t>
      </w:r>
      <w:r>
        <w:rPr>
          <w:rtl w:val="true"/>
        </w:rPr>
        <w:t>עמ</w:t>
      </w:r>
      <w:r>
        <w:rPr>
          <w:rtl w:val="true"/>
        </w:rPr>
        <w:t xml:space="preserve">' </w:t>
      </w:r>
      <w:r>
        <w:rPr/>
        <w:t>248</w:t>
      </w:r>
      <w:r>
        <w:rPr>
          <w:rtl w:val="true"/>
        </w:rPr>
        <w:t xml:space="preserve">, </w:t>
      </w:r>
      <w:r>
        <w:rPr>
          <w:rtl w:val="true"/>
        </w:rPr>
        <w:t xml:space="preserve">בשורות </w:t>
      </w:r>
      <w:r>
        <w:rPr/>
        <w:t>17-12</w:t>
      </w:r>
      <w:r>
        <w:rPr>
          <w:rtl w:val="true"/>
        </w:rPr>
        <w:t xml:space="preserve"> </w:t>
      </w:r>
      <w:r>
        <w:rPr>
          <w:rtl w:val="true"/>
        </w:rPr>
        <w:t xml:space="preserve">לפרוטוקול </w:t>
      </w:r>
      <w:r>
        <w:rPr/>
        <w:t>2</w:t>
      </w:r>
      <w:r>
        <w:rPr>
          <w:rtl w:val="true"/>
        </w:rPr>
        <w:t>).</w:t>
      </w:r>
    </w:p>
    <w:p>
      <w:pPr>
        <w:pStyle w:val="Ruller4"/>
        <w:ind w:end="0"/>
        <w:jc w:val="both"/>
        <w:rPr/>
      </w:pPr>
      <w:r>
        <w:rPr>
          <w:rtl w:val="true"/>
        </w:rPr>
      </w:r>
    </w:p>
    <w:p>
      <w:pPr>
        <w:pStyle w:val="Ruller4"/>
        <w:keepNext w:val="true"/>
        <w:ind w:end="0"/>
        <w:jc w:val="both"/>
        <w:rPr>
          <w:rFonts w:ascii="Century" w:hAnsi="Century" w:cs="Miriam"/>
          <w:b/>
          <w:spacing w:val="0"/>
          <w:szCs w:val="24"/>
        </w:rPr>
      </w:pPr>
      <w:r>
        <w:rPr>
          <w:rFonts w:ascii="Century" w:hAnsi="Century" w:cs="Miriam"/>
          <w:b/>
          <w:b/>
          <w:spacing w:val="0"/>
          <w:szCs w:val="24"/>
          <w:rtl w:val="true"/>
        </w:rPr>
        <w:t>עדותו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p>
    <w:p>
      <w:pPr>
        <w:pStyle w:val="Ruller4"/>
        <w:keepNext w:val="true"/>
        <w:ind w:end="0"/>
        <w:jc w:val="both"/>
        <w:rPr>
          <w:rFonts w:ascii="Century" w:hAnsi="Century" w:cs="Miriam"/>
          <w:b/>
          <w:spacing w:val="0"/>
          <w:szCs w:val="24"/>
        </w:rPr>
      </w:pPr>
      <w:r>
        <w:rPr>
          <w:rFonts w:cs="Miriam" w:ascii="Century" w:hAnsi="Century"/>
          <w:b/>
          <w:spacing w:val="0"/>
          <w:szCs w:val="24"/>
          <w:rtl w:val="true"/>
        </w:rPr>
      </w:r>
    </w:p>
    <w:p>
      <w:pPr>
        <w:pStyle w:val="Ruller41"/>
        <w:keepNext w:val="true"/>
        <w:numPr>
          <w:ilvl w:val="0"/>
          <w:numId w:val="1"/>
        </w:numPr>
        <w:ind w:hanging="0" w:start="0" w:end="0"/>
        <w:jc w:val="both"/>
        <w:rPr/>
      </w:pPr>
      <w:r>
        <w:rPr>
          <w:rFonts w:eastAsia="Garamond"/>
          <w:rtl w:val="true"/>
        </w:rPr>
        <w:t xml:space="preserve"> </w:t>
      </w:r>
      <w:r>
        <w:rPr>
          <w:rtl w:val="true"/>
        </w:rPr>
        <w:t>גם המערער מסר את עדותו</w:t>
      </w:r>
      <w:r>
        <w:rPr>
          <w:rtl w:val="true"/>
        </w:rPr>
        <w:t xml:space="preserve">. </w:t>
      </w:r>
      <w:r>
        <w:rPr>
          <w:rtl w:val="true"/>
        </w:rPr>
        <w:t>לדבריו</w:t>
      </w:r>
      <w:r>
        <w:rPr>
          <w:rtl w:val="true"/>
        </w:rPr>
        <w:t xml:space="preserve">, </w:t>
      </w:r>
      <w:r>
        <w:rPr>
          <w:rtl w:val="true"/>
        </w:rPr>
        <w:t>הוא מעולם לא פגע מינית בגיסותיו ואלו העלילו עליו עלילת דם בשל הסכסוך הכספי שנתגלע בינו ואשתו ט</w:t>
      </w:r>
      <w:r>
        <w:rPr>
          <w:rtl w:val="true"/>
        </w:rPr>
        <w:t xml:space="preserve">', </w:t>
      </w:r>
      <w:r>
        <w:rPr>
          <w:rtl w:val="true"/>
        </w:rPr>
        <w:t>מצד אחד</w:t>
      </w:r>
      <w:r>
        <w:rPr>
          <w:rtl w:val="true"/>
        </w:rPr>
        <w:t xml:space="preserve">, </w:t>
      </w:r>
      <w:r>
        <w:rPr>
          <w:rtl w:val="true"/>
        </w:rPr>
        <w:t>לבין בני משפחתה של אשתו</w:t>
      </w:r>
      <w:r>
        <w:rPr>
          <w:rtl w:val="true"/>
        </w:rPr>
        <w:t xml:space="preserve">, </w:t>
      </w:r>
      <w:r>
        <w:rPr>
          <w:rtl w:val="true"/>
        </w:rPr>
        <w:t>מהצד השני</w:t>
      </w:r>
      <w:r>
        <w:rPr>
          <w:rtl w:val="true"/>
        </w:rPr>
        <w:t xml:space="preserve">. </w:t>
      </w:r>
      <w:r>
        <w:rPr>
          <w:rtl w:val="true"/>
        </w:rPr>
        <w:t>עד נוסף</w:t>
      </w:r>
      <w:r>
        <w:rPr>
          <w:rtl w:val="true"/>
        </w:rPr>
        <w:t xml:space="preserve">, </w:t>
      </w:r>
      <w:r>
        <w:rPr>
          <w:rtl w:val="true"/>
        </w:rPr>
        <w:t>עורך דין במקצועו</w:t>
      </w:r>
      <w:r>
        <w:rPr>
          <w:rtl w:val="true"/>
        </w:rPr>
        <w:t xml:space="preserve">, </w:t>
      </w:r>
      <w:r>
        <w:rPr>
          <w:rtl w:val="true"/>
        </w:rPr>
        <w:t>העיד כי המערער ואשתו ט</w:t>
      </w:r>
      <w:r>
        <w:rPr>
          <w:rtl w:val="true"/>
        </w:rPr>
        <w:t xml:space="preserve">' </w:t>
      </w:r>
      <w:r>
        <w:rPr>
          <w:rtl w:val="true"/>
        </w:rPr>
        <w:t>פנו אליו וביקשוהו שייצגם אל מול הוריה של ט</w:t>
      </w:r>
      <w:r>
        <w:rPr>
          <w:rtl w:val="true"/>
        </w:rPr>
        <w:t xml:space="preserve">' </w:t>
      </w:r>
      <w:r>
        <w:rPr>
          <w:rtl w:val="true"/>
        </w:rPr>
        <w:t>באותו סכסוך כספי</w:t>
      </w:r>
      <w:r>
        <w:rPr>
          <w:rtl w:val="true"/>
        </w:rPr>
        <w:t xml:space="preserve">. </w:t>
      </w:r>
      <w:r>
        <w:rPr>
          <w:rtl w:val="true"/>
        </w:rPr>
        <w:t>כמו כן טען המערער לאפשרות של טעות בזיהויו של מי שביצע את המעשים המיניים במ</w:t>
      </w:r>
      <w:r>
        <w:rPr>
          <w:rtl w:val="true"/>
        </w:rPr>
        <w:t xml:space="preserve">' </w:t>
      </w:r>
      <w:r>
        <w:rPr>
          <w:rtl w:val="true"/>
        </w:rPr>
        <w:t>ובש</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פסק</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קמא</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פסק הדין של בית משפט קמא סוקר את כתב האישום</w:t>
      </w:r>
      <w:r>
        <w:rPr>
          <w:rtl w:val="true"/>
        </w:rPr>
        <w:t xml:space="preserve">, </w:t>
      </w:r>
      <w:r>
        <w:rPr>
          <w:rtl w:val="true"/>
        </w:rPr>
        <w:t>את עדויות התביעה וההגנה ואת טענות הצדדים</w:t>
      </w:r>
      <w:r>
        <w:rPr>
          <w:rtl w:val="true"/>
        </w:rPr>
        <w:t xml:space="preserve">, </w:t>
      </w:r>
      <w:r>
        <w:rPr>
          <w:rtl w:val="true"/>
        </w:rPr>
        <w:t>מזה ומזה</w:t>
      </w:r>
      <w:r>
        <w:rPr>
          <w:rtl w:val="true"/>
        </w:rPr>
        <w:t xml:space="preserve">. </w:t>
      </w:r>
      <w:r>
        <w:rPr>
          <w:rtl w:val="true"/>
        </w:rPr>
        <w:t>לאחר מכן מכריע בית המשפט בטענות אלה הכרעה עובדתית ומשפטית</w:t>
      </w:r>
      <w:r>
        <w:rPr>
          <w:rtl w:val="true"/>
        </w:rPr>
        <w:t xml:space="preserve">, </w:t>
      </w:r>
      <w:r>
        <w:rPr>
          <w:rtl w:val="true"/>
        </w:rPr>
        <w:t>מזכה את המערער ממעשי העבירה שבוצעו כלפי ש</w:t>
      </w:r>
      <w:r>
        <w:rPr>
          <w:rtl w:val="true"/>
        </w:rPr>
        <w:t xml:space="preserve">' </w:t>
      </w:r>
      <w:r>
        <w:rPr>
          <w:rtl w:val="true"/>
        </w:rPr>
        <w:t>ומרשיעו בעבירות שביצע באחותה הקטנה מ</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בית משפט קמא קבע כי עדותה של ש</w:t>
      </w:r>
      <w:r>
        <w:rPr>
          <w:rtl w:val="true"/>
        </w:rPr>
        <w:t xml:space="preserve">' </w:t>
      </w:r>
      <w:r>
        <w:rPr>
          <w:rtl w:val="true"/>
        </w:rPr>
        <w:t>היתה אמינה</w:t>
      </w:r>
      <w:r>
        <w:rPr>
          <w:rtl w:val="true"/>
        </w:rPr>
        <w:t xml:space="preserve">, </w:t>
      </w:r>
      <w:r>
        <w:rPr>
          <w:rtl w:val="true"/>
        </w:rPr>
        <w:t>משכנעת ומהימנה</w:t>
      </w:r>
      <w:r>
        <w:rPr>
          <w:rtl w:val="true"/>
        </w:rPr>
        <w:t xml:space="preserve">; </w:t>
      </w:r>
      <w:r>
        <w:rPr>
          <w:rtl w:val="true"/>
        </w:rPr>
        <w:t>כי ש</w:t>
      </w:r>
      <w:r>
        <w:rPr>
          <w:rtl w:val="true"/>
        </w:rPr>
        <w:t xml:space="preserve">' </w:t>
      </w:r>
      <w:r>
        <w:rPr>
          <w:rtl w:val="true"/>
        </w:rPr>
        <w:t>תיארה את האירועים מושא האישום ללא הגזמה או הפרזה</w:t>
      </w:r>
      <w:r>
        <w:rPr>
          <w:rtl w:val="true"/>
        </w:rPr>
        <w:t xml:space="preserve">; </w:t>
      </w:r>
      <w:r>
        <w:rPr>
          <w:rtl w:val="true"/>
        </w:rPr>
        <w:t>וכי ש</w:t>
      </w:r>
      <w:r>
        <w:rPr>
          <w:rtl w:val="true"/>
        </w:rPr>
        <w:t xml:space="preserve">' </w:t>
      </w:r>
      <w:r>
        <w:rPr>
          <w:rtl w:val="true"/>
        </w:rPr>
        <w:t>לא הכחישה את העובדה שחיבבה את המערער גם בתקופה שבמהלכה נעשו המעשים</w:t>
      </w:r>
      <w:r>
        <w:rPr>
          <w:rtl w:val="true"/>
        </w:rPr>
        <w:t xml:space="preserve">, </w:t>
      </w:r>
      <w:r>
        <w:rPr>
          <w:rtl w:val="true"/>
        </w:rPr>
        <w:t>ואף תיארה אותו כאדם טוב ונחמד</w:t>
      </w:r>
      <w:r>
        <w:rPr>
          <w:rtl w:val="true"/>
        </w:rPr>
        <w:t xml:space="preserve">, </w:t>
      </w:r>
      <w:r>
        <w:rPr>
          <w:rtl w:val="true"/>
        </w:rPr>
        <w:t xml:space="preserve">תוך שהיא מסבירה כי באותה התקופה היא חשה רגשות מעורבים כלפיו ומכנה זאת </w:t>
      </w:r>
      <w:r>
        <w:rPr>
          <w:rtl w:val="true"/>
        </w:rPr>
        <w:t>"</w:t>
      </w:r>
      <w:r>
        <w:rPr>
          <w:rtl w:val="true"/>
        </w:rPr>
        <w:t>פיצול אישיות</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בהקשר זה נדחתה טענת המערער כי מהימנות עדותה של ש</w:t>
      </w:r>
      <w:r>
        <w:rPr>
          <w:rtl w:val="true"/>
        </w:rPr>
        <w:t xml:space="preserve">' </w:t>
      </w:r>
      <w:r>
        <w:rPr>
          <w:rtl w:val="true"/>
        </w:rPr>
        <w:t>נפגמה בשל יחסה למערער ובשל היעדר ביטויים חיצוניים לפגיעה בה בזמן אמת</w:t>
      </w:r>
      <w:r>
        <w:rPr>
          <w:rtl w:val="true"/>
        </w:rPr>
        <w:t xml:space="preserve">. </w:t>
      </w:r>
      <w:r>
        <w:rPr>
          <w:rtl w:val="true"/>
        </w:rPr>
        <w:t>בית משפט קמא ציין כי אין מתווה יחיד ואחיד להתנהלותם של נפגעי עבירות מין וגם גילויי חיבה כלפי הפוגע הם בגדר תופעה קיימת</w:t>
      </w:r>
      <w:r>
        <w:rPr>
          <w:rtl w:val="true"/>
        </w:rPr>
        <w:t xml:space="preserve">. </w:t>
      </w:r>
      <w:r>
        <w:rPr>
          <w:rtl w:val="true"/>
        </w:rPr>
        <w:t>כמו כן דחה בית המשפט את טענת המערער בנוגע לסתירות בעדותה של ש</w:t>
      </w:r>
      <w:r>
        <w:rPr>
          <w:rtl w:val="true"/>
        </w:rPr>
        <w:t xml:space="preserve">'. </w:t>
      </w:r>
      <w:r>
        <w:rPr>
          <w:rtl w:val="true"/>
        </w:rPr>
        <w:t>בית המשפט הסביר בפסק דינו כי ש</w:t>
      </w:r>
      <w:r>
        <w:rPr>
          <w:rtl w:val="true"/>
        </w:rPr>
        <w:t xml:space="preserve">' </w:t>
      </w:r>
      <w:r>
        <w:rPr>
          <w:rtl w:val="true"/>
        </w:rPr>
        <w:t>נתנה הסברים מספקים לסתירות אלו וכי ממילא לא מדובר בסתירות מהותיות</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על אף האמור</w:t>
      </w:r>
      <w:r>
        <w:rPr>
          <w:rtl w:val="true"/>
        </w:rPr>
        <w:t xml:space="preserve">, </w:t>
      </w:r>
      <w:r>
        <w:rPr>
          <w:rtl w:val="true"/>
        </w:rPr>
        <w:t>זיכה בית משפט קמא את המערער מהעבירות מושא האישום הראשון</w:t>
      </w:r>
      <w:r>
        <w:rPr>
          <w:rtl w:val="true"/>
        </w:rPr>
        <w:t xml:space="preserve">, </w:t>
      </w:r>
      <w:r>
        <w:rPr>
          <w:rtl w:val="true"/>
        </w:rPr>
        <w:t>וזאת מחמת הקושי של ש</w:t>
      </w:r>
      <w:r>
        <w:rPr>
          <w:rtl w:val="true"/>
        </w:rPr>
        <w:t xml:space="preserve">' </w:t>
      </w:r>
      <w:r>
        <w:rPr>
          <w:rtl w:val="true"/>
        </w:rPr>
        <w:t xml:space="preserve">לאשר בוודאות כי המעשים שהמערער ביצע בה בוצעו לפני שמלאו לה </w:t>
      </w:r>
      <w:r>
        <w:rPr/>
        <w:t>16</w:t>
      </w:r>
      <w:r>
        <w:rPr>
          <w:rtl w:val="true"/>
        </w:rPr>
        <w:t xml:space="preserve"> </w:t>
      </w:r>
      <w:r>
        <w:rPr>
          <w:rtl w:val="true"/>
        </w:rPr>
        <w:t>שנה</w:t>
      </w:r>
      <w:r>
        <w:rPr>
          <w:rtl w:val="true"/>
        </w:rPr>
        <w:t xml:space="preserve">, </w:t>
      </w:r>
      <w:r>
        <w:rPr>
          <w:rtl w:val="true"/>
        </w:rPr>
        <w:t>בהתאמה לעבירה אשר יוחסה למערער בהקשרה</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האישום השני בוסס בעיקרו</w:t>
      </w:r>
      <w:r>
        <w:rPr>
          <w:rtl w:val="true"/>
        </w:rPr>
        <w:t xml:space="preserve">, </w:t>
      </w:r>
      <w:r>
        <w:rPr>
          <w:rtl w:val="true"/>
        </w:rPr>
        <w:t>מטבע הדברים</w:t>
      </w:r>
      <w:r>
        <w:rPr>
          <w:rtl w:val="true"/>
        </w:rPr>
        <w:t xml:space="preserve">, </w:t>
      </w:r>
      <w:r>
        <w:rPr>
          <w:rtl w:val="true"/>
        </w:rPr>
        <w:t>על עדותה של מ</w:t>
      </w:r>
      <w:r>
        <w:rPr>
          <w:rtl w:val="true"/>
        </w:rPr>
        <w:t xml:space="preserve">'. </w:t>
      </w:r>
      <w:r>
        <w:rPr>
          <w:rtl w:val="true"/>
        </w:rPr>
        <w:t>ביחס לעדות זו קבע בית משפט קמא כי מדובר בעדות מהימנה לעילא ולעילא וכי ניכר הוא עד כמה קשה היה למ</w:t>
      </w:r>
      <w:r>
        <w:rPr>
          <w:rtl w:val="true"/>
        </w:rPr>
        <w:t xml:space="preserve">' </w:t>
      </w:r>
      <w:r>
        <w:rPr>
          <w:rtl w:val="true"/>
        </w:rPr>
        <w:t>לתתה</w:t>
      </w:r>
      <w:r>
        <w:rPr>
          <w:rtl w:val="true"/>
        </w:rPr>
        <w:t xml:space="preserve">. </w:t>
      </w:r>
      <w:r>
        <w:rPr>
          <w:rtl w:val="true"/>
        </w:rPr>
        <w:t>בית משפט קמא ציין בהקשר זה</w:t>
      </w:r>
      <w:r>
        <w:rPr>
          <w:rtl w:val="true"/>
        </w:rPr>
        <w:t xml:space="preserve">, </w:t>
      </w:r>
      <w:r>
        <w:rPr>
          <w:rtl w:val="true"/>
        </w:rPr>
        <w:t>כי מ</w:t>
      </w:r>
      <w:r>
        <w:rPr>
          <w:rtl w:val="true"/>
        </w:rPr>
        <w:t xml:space="preserve">' </w:t>
      </w:r>
      <w:r>
        <w:rPr>
          <w:rtl w:val="true"/>
        </w:rPr>
        <w:t>זכרה אירועים קונקרטיים וידעה לתארם באופן מפורט</w:t>
      </w:r>
      <w:r>
        <w:rPr>
          <w:rtl w:val="true"/>
        </w:rPr>
        <w:t xml:space="preserve">, </w:t>
      </w:r>
      <w:r>
        <w:rPr>
          <w:rtl w:val="true"/>
        </w:rPr>
        <w:t>ועל כן הוא דחה את טענת המערער כי סיפורה של מ</w:t>
      </w:r>
      <w:r>
        <w:rPr>
          <w:rtl w:val="true"/>
        </w:rPr>
        <w:t xml:space="preserve">' </w:t>
      </w:r>
      <w:r>
        <w:rPr>
          <w:rtl w:val="true"/>
        </w:rPr>
        <w:t>הינו בגדר המצאה או עלילה</w:t>
      </w:r>
      <w:r>
        <w:rPr>
          <w:rtl w:val="true"/>
        </w:rPr>
        <w:t xml:space="preserve">. </w:t>
      </w:r>
      <w:r>
        <w:rPr>
          <w:rtl w:val="true"/>
        </w:rPr>
        <w:t>בית המשפט התייחס גם לפרטי עדותה של מ</w:t>
      </w:r>
      <w:r>
        <w:rPr>
          <w:rtl w:val="true"/>
        </w:rPr>
        <w:t xml:space="preserve">' </w:t>
      </w:r>
      <w:r>
        <w:rPr>
          <w:rtl w:val="true"/>
        </w:rPr>
        <w:t>אשר עלולים לעורר קושי ולהטיל דופי בעדותה</w:t>
      </w:r>
      <w:r>
        <w:rPr>
          <w:rtl w:val="true"/>
        </w:rPr>
        <w:t xml:space="preserve">. </w:t>
      </w:r>
      <w:r>
        <w:rPr>
          <w:rtl w:val="true"/>
        </w:rPr>
        <w:t>דווקא בפרטים אלו מצא בית המשפט סימנים לכך שעדותה של מ</w:t>
      </w:r>
      <w:r>
        <w:rPr>
          <w:rtl w:val="true"/>
        </w:rPr>
        <w:t xml:space="preserve">' </w:t>
      </w:r>
      <w:r>
        <w:rPr>
          <w:rtl w:val="true"/>
        </w:rPr>
        <w:t>הינה אותנטית וכי היא לא מנסה לטפול על המערער אשמת שווא</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כמו כן קבע בית משפט קמא כי אירוע המחשב היה חריג בהשוואה ליתר מקרי האונס והמעשה המגונה שמ</w:t>
      </w:r>
      <w:r>
        <w:rPr>
          <w:rtl w:val="true"/>
        </w:rPr>
        <w:t xml:space="preserve">' </w:t>
      </w:r>
      <w:r>
        <w:rPr>
          <w:rtl w:val="true"/>
        </w:rPr>
        <w:t>תיארה בעדותה</w:t>
      </w:r>
      <w:r>
        <w:rPr>
          <w:rtl w:val="true"/>
        </w:rPr>
        <w:t xml:space="preserve">. </w:t>
      </w:r>
      <w:r>
        <w:rPr>
          <w:rtl w:val="true"/>
        </w:rPr>
        <w:t>מקרה זה ארע באור יום</w:t>
      </w:r>
      <w:r>
        <w:rPr>
          <w:rtl w:val="true"/>
        </w:rPr>
        <w:t xml:space="preserve">, </w:t>
      </w:r>
      <w:r>
        <w:rPr>
          <w:rtl w:val="true"/>
        </w:rPr>
        <w:t>מחוץ למיטתה של מ</w:t>
      </w:r>
      <w:r>
        <w:rPr>
          <w:rtl w:val="true"/>
        </w:rPr>
        <w:t xml:space="preserve">', </w:t>
      </w:r>
      <w:r>
        <w:rPr>
          <w:rtl w:val="true"/>
        </w:rPr>
        <w:t>והוא גם כלל את הצעת המערער למ</w:t>
      </w:r>
      <w:r>
        <w:rPr>
          <w:rtl w:val="true"/>
        </w:rPr>
        <w:t xml:space="preserve">' </w:t>
      </w:r>
      <w:r>
        <w:rPr>
          <w:rtl w:val="true"/>
        </w:rPr>
        <w:t>לפעול באופן אקטיבי כלפיו ולגעת בו</w:t>
      </w:r>
      <w:r>
        <w:rPr>
          <w:rtl w:val="true"/>
        </w:rPr>
        <w:t xml:space="preserve">. </w:t>
      </w:r>
      <w:r>
        <w:rPr>
          <w:rtl w:val="true"/>
        </w:rPr>
        <w:t>בהקשר זה קבע בית המשפט כי העובדה שרק בהודעתה השנייה במשטרה ציינה מ</w:t>
      </w:r>
      <w:r>
        <w:rPr>
          <w:rtl w:val="true"/>
        </w:rPr>
        <w:t xml:space="preserve">' </w:t>
      </w:r>
      <w:r>
        <w:rPr>
          <w:rtl w:val="true"/>
        </w:rPr>
        <w:t>כי גם באירוע זה החדיר המערער אצבעות לאיבר מינה איננה סותרת את גרסתה ואינה פוגעת במהימנותה כעדה</w:t>
      </w:r>
      <w:r>
        <w:rPr>
          <w:rtl w:val="true"/>
        </w:rPr>
        <w:t xml:space="preserve">. </w:t>
      </w:r>
      <w:r>
        <w:rPr>
          <w:rtl w:val="true"/>
        </w:rPr>
        <w:t>בית משפט קמא נימק קביעה זו באומרו כי מ</w:t>
      </w:r>
      <w:r>
        <w:rPr>
          <w:rtl w:val="true"/>
        </w:rPr>
        <w:t xml:space="preserve">' </w:t>
      </w:r>
      <w:r>
        <w:rPr>
          <w:rtl w:val="true"/>
        </w:rPr>
        <w:t>הסבירה שזכרה שהמערער נגע בה באותו אירוע</w:t>
      </w:r>
      <w:r>
        <w:rPr>
          <w:rtl w:val="true"/>
        </w:rPr>
        <w:t xml:space="preserve">, </w:t>
      </w:r>
      <w:r>
        <w:rPr>
          <w:rtl w:val="true"/>
        </w:rPr>
        <w:t>אולם סיפרה על כך רק אחרי שנשאלה מפורשות</w:t>
      </w:r>
      <w:r>
        <w:rPr>
          <w:rtl w:val="true"/>
        </w:rPr>
        <w:t xml:space="preserve">. </w:t>
      </w:r>
      <w:r>
        <w:rPr>
          <w:rtl w:val="true"/>
        </w:rPr>
        <w:t>זאת</w:t>
      </w:r>
      <w:r>
        <w:rPr>
          <w:rtl w:val="true"/>
        </w:rPr>
        <w:t xml:space="preserve">, </w:t>
      </w:r>
      <w:r>
        <w:rPr>
          <w:rtl w:val="true"/>
        </w:rPr>
        <w:t>לדבריה</w:t>
      </w:r>
      <w:r>
        <w:rPr>
          <w:rtl w:val="true"/>
        </w:rPr>
        <w:t xml:space="preserve">, </w:t>
      </w:r>
      <w:r>
        <w:rPr>
          <w:rtl w:val="true"/>
        </w:rPr>
        <w:t>בשל אי הנוחות שהיא חשה כל אימת שהיא נדרשת לדבר על הנושא</w:t>
      </w:r>
      <w:r>
        <w:rPr>
          <w:rtl w:val="true"/>
        </w:rPr>
        <w:t xml:space="preserve">; </w:t>
      </w:r>
      <w:r>
        <w:rPr>
          <w:rtl w:val="true"/>
        </w:rPr>
        <w:t>והדברים מובנים</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כך הוא גם לגבי האירוע שלפי עדותה של מ</w:t>
      </w:r>
      <w:r>
        <w:rPr>
          <w:rtl w:val="true"/>
        </w:rPr>
        <w:t xml:space="preserve">' </w:t>
      </w:r>
      <w:r>
        <w:rPr>
          <w:rtl w:val="true"/>
        </w:rPr>
        <w:t>אירע בקרוואן המצוי בבית הנופש בו נהגה המשפחה לבלות את ראש השנה</w:t>
      </w:r>
      <w:r>
        <w:rPr>
          <w:rtl w:val="true"/>
        </w:rPr>
        <w:t xml:space="preserve">. </w:t>
      </w:r>
      <w:r>
        <w:rPr>
          <w:rtl w:val="true"/>
        </w:rPr>
        <w:t xml:space="preserve">אירוע זה איננו מוזכר בכתב האישום ועל כן בית משפט קמא קבע כי אין מקום להרשיע את המערער בגינו </w:t>
      </w:r>
      <w:r>
        <w:rPr>
          <w:rtl w:val="true"/>
        </w:rPr>
        <w:t>–</w:t>
      </w:r>
      <w:r>
        <w:rPr>
          <w:rtl w:val="true"/>
        </w:rPr>
        <w:t xml:space="preserve"> זאת</w:t>
      </w:r>
      <w:r>
        <w:rPr>
          <w:rtl w:val="true"/>
        </w:rPr>
        <w:t xml:space="preserve">, </w:t>
      </w:r>
      <w:r>
        <w:rPr>
          <w:rtl w:val="true"/>
        </w:rPr>
        <w:t>להבדיל מהמקרה שאירע בסלון בית הנופש שביחס אליו נקבע כי המערער ביצע את מעשה העבירה המיוחס לו</w:t>
      </w:r>
      <w:r>
        <w:rPr>
          <w:rtl w:val="true"/>
        </w:rPr>
        <w:t xml:space="preserve">. </w:t>
      </w:r>
      <w:r>
        <w:rPr>
          <w:rtl w:val="true"/>
        </w:rPr>
        <w:t>לצד זאת</w:t>
      </w:r>
      <w:r>
        <w:rPr>
          <w:rtl w:val="true"/>
        </w:rPr>
        <w:t xml:space="preserve">, </w:t>
      </w:r>
      <w:r>
        <w:rPr>
          <w:rtl w:val="true"/>
        </w:rPr>
        <w:t>קבע בית המשפט כי עדותה של מ</w:t>
      </w:r>
      <w:r>
        <w:rPr>
          <w:rtl w:val="true"/>
        </w:rPr>
        <w:t xml:space="preserve">' </w:t>
      </w:r>
      <w:r>
        <w:rPr>
          <w:rtl w:val="true"/>
        </w:rPr>
        <w:t>בנוגע לאירוע הקרוואן איננה סותרת את הודעותיה האחרות ואינה פוגעת במהימנותה כעדה</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בית משפט קמא דחה את טענת המערער כי לא ניתן לבסס את הממצא של חדירת אצבע על עדותה של מ</w:t>
      </w:r>
      <w:r>
        <w:rPr>
          <w:rtl w:val="true"/>
        </w:rPr>
        <w:t xml:space="preserve">' </w:t>
      </w:r>
      <w:r>
        <w:rPr>
          <w:rtl w:val="true"/>
        </w:rPr>
        <w:t>בשל גילה הצעיר בעת האירועים הנטענים</w:t>
      </w:r>
      <w:r>
        <w:rPr>
          <w:rtl w:val="true"/>
        </w:rPr>
        <w:t xml:space="preserve">, </w:t>
      </w:r>
      <w:r>
        <w:rPr>
          <w:rtl w:val="true"/>
        </w:rPr>
        <w:t xml:space="preserve">ובפרט כאשר מדובר בעדות יחידה אשר באה לתאר אירועים שהתרחשו לפני </w:t>
      </w:r>
      <w:r>
        <w:rPr/>
        <w:t>15</w:t>
      </w:r>
      <w:r>
        <w:rPr>
          <w:rtl w:val="true"/>
        </w:rPr>
        <w:t xml:space="preserve"> </w:t>
      </w:r>
      <w:r>
        <w:rPr>
          <w:rtl w:val="true"/>
        </w:rPr>
        <w:t>שנה</w:t>
      </w:r>
      <w:r>
        <w:rPr>
          <w:rtl w:val="true"/>
        </w:rPr>
        <w:t xml:space="preserve">. </w:t>
      </w:r>
      <w:r>
        <w:rPr>
          <w:rtl w:val="true"/>
        </w:rPr>
        <w:t>בהקשר זה ציין בית המשפט בפסק דינו כי כבר בהודעתה הראשונה במשטרה מסרה מ</w:t>
      </w:r>
      <w:r>
        <w:rPr>
          <w:rtl w:val="true"/>
        </w:rPr>
        <w:t xml:space="preserve">' </w:t>
      </w:r>
      <w:r>
        <w:rPr>
          <w:rtl w:val="true"/>
        </w:rPr>
        <w:t>כי המערער נהג להחדיר אצבעות לאיבר מינה</w:t>
      </w:r>
      <w:r>
        <w:rPr>
          <w:rtl w:val="true"/>
        </w:rPr>
        <w:t xml:space="preserve">. </w:t>
      </w:r>
      <w:r>
        <w:rPr>
          <w:rtl w:val="true"/>
        </w:rPr>
        <w:t>עוד נקבע כי עדותה של מ</w:t>
      </w:r>
      <w:r>
        <w:rPr>
          <w:rtl w:val="true"/>
        </w:rPr>
        <w:t xml:space="preserve">' </w:t>
      </w:r>
      <w:r>
        <w:rPr>
          <w:rtl w:val="true"/>
        </w:rPr>
        <w:t>בנושא זה היתה חד</w:t>
      </w:r>
      <w:r>
        <w:rPr>
          <w:rtl w:val="true"/>
        </w:rPr>
        <w:t>-</w:t>
      </w:r>
      <w:r>
        <w:rPr>
          <w:rtl w:val="true"/>
        </w:rPr>
        <w:t>משמעית והתייחסה ליותר מאירוע אחד</w:t>
      </w:r>
      <w:r>
        <w:rPr>
          <w:rtl w:val="true"/>
        </w:rPr>
        <w:t xml:space="preserve">. </w:t>
      </w:r>
      <w:r>
        <w:rPr>
          <w:rtl w:val="true"/>
        </w:rPr>
        <w:t>כמו כן ציין בית המשפט כי מ</w:t>
      </w:r>
      <w:r>
        <w:rPr>
          <w:rtl w:val="true"/>
        </w:rPr>
        <w:t xml:space="preserve">' </w:t>
      </w:r>
      <w:r>
        <w:rPr>
          <w:rtl w:val="true"/>
        </w:rPr>
        <w:t>העידה באופן שהראה בבירור את מודעותה לעניין החדירה</w:t>
      </w:r>
      <w:r>
        <w:rPr>
          <w:rtl w:val="true"/>
        </w:rPr>
        <w:t xml:space="preserve">: </w:t>
      </w:r>
      <w:r>
        <w:rPr>
          <w:rtl w:val="true"/>
        </w:rPr>
        <w:t>הדבר עלה מעדותה של מ</w:t>
      </w:r>
      <w:r>
        <w:rPr>
          <w:rtl w:val="true"/>
        </w:rPr>
        <w:t xml:space="preserve">' </w:t>
      </w:r>
      <w:r>
        <w:rPr>
          <w:rtl w:val="true"/>
        </w:rPr>
        <w:t>אודות המקרה בו החדירה גרמה לה לכאב</w:t>
      </w:r>
      <w:r>
        <w:rPr>
          <w:rtl w:val="true"/>
        </w:rPr>
        <w:t xml:space="preserve">; </w:t>
      </w:r>
      <w:r>
        <w:rPr>
          <w:rtl w:val="true"/>
        </w:rPr>
        <w:t>מהדברים שאמרה מ</w:t>
      </w:r>
      <w:r>
        <w:rPr>
          <w:rtl w:val="true"/>
        </w:rPr>
        <w:t xml:space="preserve">' </w:t>
      </w:r>
      <w:r>
        <w:rPr>
          <w:rtl w:val="true"/>
        </w:rPr>
        <w:t>על חששותיה כי היא נכנסה להריון בעקבות המעשים הללו</w:t>
      </w:r>
      <w:r>
        <w:rPr>
          <w:rtl w:val="true"/>
        </w:rPr>
        <w:t xml:space="preserve">; </w:t>
      </w:r>
      <w:r>
        <w:rPr>
          <w:rtl w:val="true"/>
        </w:rPr>
        <w:t>וכן מדאגתה ערב חופתה כי המעשים בקעו את קרום בתוליה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בית משפט קמא קבע גם כי דרך חשיפת הפרשה והרקע להגשת התלונה מחזקים את עדותה של מ</w:t>
      </w:r>
      <w:r>
        <w:rPr>
          <w:rtl w:val="true"/>
        </w:rPr>
        <w:t xml:space="preserve">'. </w:t>
      </w:r>
      <w:r>
        <w:rPr>
          <w:rtl w:val="true"/>
        </w:rPr>
        <w:t>חיזוק נוסף לעדותה של מ</w:t>
      </w:r>
      <w:r>
        <w:rPr>
          <w:rtl w:val="true"/>
        </w:rPr>
        <w:t xml:space="preserve">' </w:t>
      </w:r>
      <w:r>
        <w:rPr>
          <w:rtl w:val="true"/>
        </w:rPr>
        <w:t>נמצא בעדותה של ש</w:t>
      </w:r>
      <w:r>
        <w:rPr>
          <w:rtl w:val="true"/>
        </w:rPr>
        <w:t xml:space="preserve">': </w:t>
      </w:r>
      <w:r>
        <w:rPr>
          <w:rtl w:val="true"/>
        </w:rPr>
        <w:t>אמנם</w:t>
      </w:r>
      <w:r>
        <w:rPr>
          <w:rtl w:val="true"/>
        </w:rPr>
        <w:t xml:space="preserve">, </w:t>
      </w:r>
      <w:r>
        <w:rPr>
          <w:rtl w:val="true"/>
        </w:rPr>
        <w:t>בניגוד למ</w:t>
      </w:r>
      <w:r>
        <w:rPr>
          <w:rtl w:val="true"/>
        </w:rPr>
        <w:t xml:space="preserve">', </w:t>
      </w:r>
      <w:r>
        <w:rPr>
          <w:rtl w:val="true"/>
        </w:rPr>
        <w:t>ש</w:t>
      </w:r>
      <w:r>
        <w:rPr>
          <w:rtl w:val="true"/>
        </w:rPr>
        <w:t xml:space="preserve">' </w:t>
      </w:r>
      <w:r>
        <w:rPr>
          <w:rtl w:val="true"/>
        </w:rPr>
        <w:t>סיפרה בעדותה כי מנעה מהמערער את האפשרות להחדיר את אצבעותיו לאיבר מינה</w:t>
      </w:r>
      <w:r>
        <w:rPr>
          <w:rtl w:val="true"/>
        </w:rPr>
        <w:t xml:space="preserve">, </w:t>
      </w:r>
      <w:r>
        <w:rPr>
          <w:rtl w:val="true"/>
        </w:rPr>
        <w:t>וכי המערער פגע בה במעשיו בהיותה בגילאים שונים מאלו שמתוארים בעדותה של מ</w:t>
      </w:r>
      <w:r>
        <w:rPr>
          <w:rtl w:val="true"/>
        </w:rPr>
        <w:t xml:space="preserve">', </w:t>
      </w:r>
      <w:r>
        <w:rPr>
          <w:rtl w:val="true"/>
        </w:rPr>
        <w:t>אולם מעדותה של ש</w:t>
      </w:r>
      <w:r>
        <w:rPr>
          <w:rtl w:val="true"/>
        </w:rPr>
        <w:t xml:space="preserve">' </w:t>
      </w:r>
      <w:r>
        <w:rPr>
          <w:rtl w:val="true"/>
        </w:rPr>
        <w:t>עולים קווי דמיון רבים לתיאוריה של מ</w:t>
      </w:r>
      <w:r>
        <w:rPr>
          <w:rtl w:val="true"/>
        </w:rPr>
        <w:t xml:space="preserve">': </w:t>
      </w:r>
      <w:r>
        <w:rPr>
          <w:rtl w:val="true"/>
        </w:rPr>
        <w:t>בנוגע לנגיעות המערער במקומות אינטימיים בגופה</w:t>
      </w:r>
      <w:r>
        <w:rPr>
          <w:rtl w:val="true"/>
        </w:rPr>
        <w:t xml:space="preserve">; </w:t>
      </w:r>
      <w:r>
        <w:rPr>
          <w:rtl w:val="true"/>
        </w:rPr>
        <w:t>לאצבעות שהתהלכו על גופה</w:t>
      </w:r>
      <w:r>
        <w:rPr>
          <w:rtl w:val="true"/>
        </w:rPr>
        <w:t xml:space="preserve">; </w:t>
      </w:r>
      <w:r>
        <w:rPr>
          <w:rtl w:val="true"/>
        </w:rPr>
        <w:t>ולביצוע המעשים בשעת לילה בעודה במיטתה</w:t>
      </w:r>
      <w:r>
        <w:rPr>
          <w:rtl w:val="true"/>
        </w:rPr>
        <w:t xml:space="preserve">, </w:t>
      </w:r>
      <w:r>
        <w:rPr>
          <w:rtl w:val="true"/>
        </w:rPr>
        <w:t>באשר לכל אלה נקבע כי הם מחזקים את עדותה של מ</w:t>
      </w:r>
      <w:r>
        <w:rPr>
          <w:rtl w:val="true"/>
        </w:rPr>
        <w:t xml:space="preserve">'. </w:t>
      </w:r>
      <w:r>
        <w:rPr>
          <w:rtl w:val="true"/>
        </w:rPr>
        <w:t>בית המשפט הוסיף וקבע בהקשר זה כי בטענת ה</w:t>
      </w:r>
      <w:r>
        <w:rPr>
          <w:rtl w:val="true"/>
        </w:rPr>
        <w:t>"</w:t>
      </w:r>
      <w:r>
        <w:rPr>
          <w:rtl w:val="true"/>
        </w:rPr>
        <w:t>העתקה</w:t>
      </w:r>
      <w:r>
        <w:rPr>
          <w:rtl w:val="true"/>
        </w:rPr>
        <w:t xml:space="preserve">" </w:t>
      </w:r>
      <w:r>
        <w:rPr>
          <w:rtl w:val="true"/>
        </w:rPr>
        <w:t>של המערער אין ממש</w:t>
      </w:r>
      <w:r>
        <w:rPr>
          <w:rtl w:val="true"/>
        </w:rPr>
        <w:t xml:space="preserve">, </w:t>
      </w:r>
      <w:r>
        <w:rPr>
          <w:rtl w:val="true"/>
        </w:rPr>
        <w:t>שכן איננה מתיישבת עם עדויות המתלוננות כי לא חשפו את פרטי הפגיעות אחת בפני השנייה ועם הפערים בין גרסאותיהן</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בית משפט קמא דחה בשתי ידיים את טענת המערער בדבר טעות בזיהויו</w:t>
      </w:r>
      <w:r>
        <w:rPr>
          <w:rtl w:val="true"/>
        </w:rPr>
        <w:t xml:space="preserve">. </w:t>
      </w:r>
      <w:r>
        <w:rPr>
          <w:rtl w:val="true"/>
        </w:rPr>
        <w:t xml:space="preserve">נקבע כי טענה זו אינה מתקבלת על הדעת </w:t>
      </w:r>
      <w:r>
        <w:rPr>
          <w:rtl w:val="true"/>
        </w:rPr>
        <w:t>–</w:t>
      </w:r>
      <w:r>
        <w:rPr>
          <w:rtl w:val="true"/>
        </w:rPr>
        <w:t xml:space="preserve"> זאת</w:t>
      </w:r>
      <w:r>
        <w:rPr>
          <w:rtl w:val="true"/>
        </w:rPr>
        <w:t xml:space="preserve">, </w:t>
      </w:r>
      <w:r>
        <w:rPr>
          <w:rtl w:val="true"/>
        </w:rPr>
        <w:t>בין היתר</w:t>
      </w:r>
      <w:r>
        <w:rPr>
          <w:rtl w:val="true"/>
        </w:rPr>
        <w:t xml:space="preserve">, </w:t>
      </w:r>
      <w:r>
        <w:rPr>
          <w:rtl w:val="true"/>
        </w:rPr>
        <w:t>נוכח עדויותיהן החד משמעיות של מ</w:t>
      </w:r>
      <w:r>
        <w:rPr>
          <w:rtl w:val="true"/>
        </w:rPr>
        <w:t xml:space="preserve">' </w:t>
      </w:r>
      <w:r>
        <w:rPr>
          <w:rtl w:val="true"/>
        </w:rPr>
        <w:t>ושל ש</w:t>
      </w:r>
      <w:r>
        <w:rPr>
          <w:rtl w:val="true"/>
        </w:rPr>
        <w:t xml:space="preserve">' </w:t>
      </w:r>
      <w:r>
        <w:rPr>
          <w:rtl w:val="true"/>
        </w:rPr>
        <w:t>כי ראו את המערער בזמן המעשים שפגעו בהן מינית</w:t>
      </w:r>
      <w:r>
        <w:rPr>
          <w:rtl w:val="true"/>
        </w:rPr>
        <w:t xml:space="preserve">. </w:t>
      </w:r>
      <w:r>
        <w:rPr>
          <w:rtl w:val="true"/>
        </w:rPr>
        <w:t>כזכור</w:t>
      </w:r>
      <w:r>
        <w:rPr>
          <w:rtl w:val="true"/>
        </w:rPr>
        <w:t xml:space="preserve">, </w:t>
      </w:r>
      <w:r>
        <w:rPr>
          <w:rtl w:val="true"/>
        </w:rPr>
        <w:t>מ</w:t>
      </w:r>
      <w:r>
        <w:rPr>
          <w:rtl w:val="true"/>
        </w:rPr>
        <w:t xml:space="preserve">' </w:t>
      </w:r>
      <w:r>
        <w:rPr>
          <w:rtl w:val="true"/>
        </w:rPr>
        <w:t>וש</w:t>
      </w:r>
      <w:r>
        <w:rPr>
          <w:rtl w:val="true"/>
        </w:rPr>
        <w:t xml:space="preserve">' </w:t>
      </w:r>
      <w:r>
        <w:rPr>
          <w:rtl w:val="true"/>
        </w:rPr>
        <w:t>הדגישו בעדויותיהן כי ראו את המערער לפני המעשים הללו ואחריהם</w:t>
      </w:r>
      <w:r>
        <w:rPr>
          <w:rtl w:val="true"/>
        </w:rPr>
        <w:t xml:space="preserve">, </w:t>
      </w:r>
      <w:r>
        <w:rPr>
          <w:rtl w:val="true"/>
        </w:rPr>
        <w:t>על אף שהעידו כי בזמן המעשה העמידו פנים כי ישנו</w:t>
      </w:r>
      <w:r>
        <w:rPr>
          <w:rtl w:val="true"/>
        </w:rPr>
        <w:t xml:space="preserve">. </w:t>
      </w:r>
      <w:r>
        <w:rPr>
          <w:rtl w:val="true"/>
        </w:rPr>
        <w:t>כמו כן העידו מ</w:t>
      </w:r>
      <w:r>
        <w:rPr>
          <w:rtl w:val="true"/>
        </w:rPr>
        <w:t xml:space="preserve">' </w:t>
      </w:r>
      <w:r>
        <w:rPr>
          <w:rtl w:val="true"/>
        </w:rPr>
        <w:t>וש</w:t>
      </w:r>
      <w:r>
        <w:rPr>
          <w:rtl w:val="true"/>
        </w:rPr>
        <w:t xml:space="preserve">' </w:t>
      </w:r>
      <w:r>
        <w:rPr>
          <w:rtl w:val="true"/>
        </w:rPr>
        <w:t xml:space="preserve">כי ראו את המערער גם במקרים בהם הוא נתפס </w:t>
      </w:r>
      <w:r>
        <w:rPr>
          <w:rtl w:val="true"/>
        </w:rPr>
        <w:t>"</w:t>
      </w:r>
      <w:r>
        <w:rPr>
          <w:rtl w:val="true"/>
        </w:rPr>
        <w:t>על חם</w:t>
      </w:r>
      <w:r>
        <w:rPr>
          <w:rtl w:val="true"/>
        </w:rPr>
        <w:t xml:space="preserve">" </w:t>
      </w:r>
      <w:r>
        <w:rPr>
          <w:rtl w:val="true"/>
        </w:rPr>
        <w:t>והעמיד פנים של קורא בספר</w:t>
      </w:r>
      <w:r>
        <w:rPr>
          <w:rtl w:val="true"/>
        </w:rPr>
        <w:t xml:space="preserve">. </w:t>
      </w:r>
      <w:r>
        <w:rPr>
          <w:rtl w:val="true"/>
        </w:rPr>
        <w:t>בית המשפט קבע כי אירוע המחשב</w:t>
      </w:r>
      <w:r>
        <w:rPr>
          <w:rtl w:val="true"/>
        </w:rPr>
        <w:t xml:space="preserve">, </w:t>
      </w:r>
      <w:r>
        <w:rPr>
          <w:rtl w:val="true"/>
        </w:rPr>
        <w:t>עליו העידה מ</w:t>
      </w:r>
      <w:r>
        <w:rPr>
          <w:rtl w:val="true"/>
        </w:rPr>
        <w:t xml:space="preserve">', </w:t>
      </w:r>
      <w:r>
        <w:rPr>
          <w:rtl w:val="true"/>
        </w:rPr>
        <w:t>שכזכור התרחש בשעות היום</w:t>
      </w:r>
      <w:r>
        <w:rPr>
          <w:rtl w:val="true"/>
        </w:rPr>
        <w:t xml:space="preserve">, </w:t>
      </w:r>
      <w:r>
        <w:rPr>
          <w:rtl w:val="true"/>
        </w:rPr>
        <w:t>אף הוא מהווה ראיית זיהוי מספקת</w:t>
      </w:r>
      <w:r>
        <w:rPr>
          <w:rtl w:val="true"/>
        </w:rPr>
        <w:t xml:space="preserve">; </w:t>
      </w:r>
      <w:r>
        <w:rPr>
          <w:rtl w:val="true"/>
        </w:rPr>
        <w:t>ויתרה מכך</w:t>
      </w:r>
      <w:r>
        <w:rPr>
          <w:rtl w:val="true"/>
        </w:rPr>
        <w:t xml:space="preserve">: </w:t>
      </w:r>
      <w:r>
        <w:rPr>
          <w:rtl w:val="true"/>
        </w:rPr>
        <w:t>מ</w:t>
      </w:r>
      <w:r>
        <w:rPr>
          <w:rtl w:val="true"/>
        </w:rPr>
        <w:t xml:space="preserve">' </w:t>
      </w:r>
      <w:r>
        <w:rPr>
          <w:rtl w:val="true"/>
        </w:rPr>
        <w:t>העידה לגבי מקרה אחר כי התעוררה ממגעו של המערער בשמיכתה ושוחחה עמו</w:t>
      </w:r>
      <w:r>
        <w:rPr>
          <w:rtl w:val="true"/>
        </w:rPr>
        <w:t xml:space="preserve">, </w:t>
      </w:r>
      <w:r>
        <w:rPr>
          <w:rtl w:val="true"/>
        </w:rPr>
        <w:t>ולא עם מאן דהוא</w:t>
      </w:r>
      <w:r>
        <w:rPr>
          <w:rtl w:val="true"/>
        </w:rPr>
        <w:t xml:space="preserve">. </w:t>
      </w:r>
      <w:r>
        <w:rPr>
          <w:rtl w:val="true"/>
        </w:rPr>
        <w:t>בית המשפט קמא דחה מכל וכל גם את טענת המערער</w:t>
      </w:r>
      <w:r>
        <w:rPr>
          <w:rtl w:val="true"/>
        </w:rPr>
        <w:t xml:space="preserve">, </w:t>
      </w:r>
      <w:r>
        <w:rPr>
          <w:rtl w:val="true"/>
        </w:rPr>
        <w:t>אשר עלתה גם בעדותה של ט</w:t>
      </w:r>
      <w:r>
        <w:rPr>
          <w:rtl w:val="true"/>
        </w:rPr>
        <w:t xml:space="preserve">', </w:t>
      </w:r>
      <w:r>
        <w:rPr>
          <w:rtl w:val="true"/>
        </w:rPr>
        <w:t>כי ייתכן שהמעשים המיניים בוצעו על ידי אב המשפחה</w:t>
      </w:r>
      <w:r>
        <w:rPr>
          <w:rtl w:val="true"/>
        </w:rPr>
        <w:t xml:space="preserve">. </w:t>
      </w:r>
      <w:r>
        <w:rPr>
          <w:rtl w:val="true"/>
        </w:rPr>
        <w:t>נקבע כי האב לא נחקר על האשמה זו</w:t>
      </w:r>
      <w:r>
        <w:rPr>
          <w:rtl w:val="true"/>
        </w:rPr>
        <w:t xml:space="preserve">; </w:t>
      </w:r>
      <w:r>
        <w:rPr>
          <w:rtl w:val="true"/>
        </w:rPr>
        <w:t>כי מעדותה של ט</w:t>
      </w:r>
      <w:r>
        <w:rPr>
          <w:rtl w:val="true"/>
        </w:rPr>
        <w:t xml:space="preserve">' </w:t>
      </w:r>
      <w:r>
        <w:rPr>
          <w:rtl w:val="true"/>
        </w:rPr>
        <w:t>ניכר היה כי היא חדורת עוינות עזה להוריה</w:t>
      </w:r>
      <w:r>
        <w:rPr>
          <w:rtl w:val="true"/>
        </w:rPr>
        <w:t xml:space="preserve">; </w:t>
      </w:r>
      <w:r>
        <w:rPr>
          <w:rtl w:val="true"/>
        </w:rPr>
        <w:t>וכי לבוש האב בשעות לילה לא תאם לתיאורים שנתנה ש</w:t>
      </w:r>
      <w:r>
        <w:rPr>
          <w:rtl w:val="true"/>
        </w:rPr>
        <w:t xml:space="preserve">' </w:t>
      </w:r>
      <w:r>
        <w:rPr>
          <w:rtl w:val="true"/>
        </w:rPr>
        <w:t>בנוגע ללבוש המערער עת שביצע בה את המעשים</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עוד טען המערער כי מ</w:t>
      </w:r>
      <w:r>
        <w:rPr>
          <w:rtl w:val="true"/>
        </w:rPr>
        <w:t xml:space="preserve">' </w:t>
      </w:r>
      <w:r>
        <w:rPr>
          <w:rtl w:val="true"/>
        </w:rPr>
        <w:t>וש</w:t>
      </w:r>
      <w:r>
        <w:rPr>
          <w:rtl w:val="true"/>
        </w:rPr>
        <w:t xml:space="preserve">' </w:t>
      </w:r>
      <w:r>
        <w:rPr>
          <w:rtl w:val="true"/>
        </w:rPr>
        <w:t>רקמו סביבו עלילת דם נטולת בסיס עובדתי וכי המניע לכך הוא סכסוך כספי אשר נוגע לעסקים שבינו לבין אב המשפחה</w:t>
      </w:r>
      <w:r>
        <w:rPr>
          <w:rtl w:val="true"/>
        </w:rPr>
        <w:t xml:space="preserve">. </w:t>
      </w:r>
      <w:r>
        <w:rPr>
          <w:rtl w:val="true"/>
        </w:rPr>
        <w:t>לדברי המערער</w:t>
      </w:r>
      <w:r>
        <w:rPr>
          <w:rtl w:val="true"/>
        </w:rPr>
        <w:t xml:space="preserve">, </w:t>
      </w:r>
      <w:r>
        <w:rPr>
          <w:rtl w:val="true"/>
        </w:rPr>
        <w:t>מ</w:t>
      </w:r>
      <w:r>
        <w:rPr>
          <w:rtl w:val="true"/>
        </w:rPr>
        <w:t xml:space="preserve">' </w:t>
      </w:r>
      <w:r>
        <w:rPr>
          <w:rtl w:val="true"/>
        </w:rPr>
        <w:t>וש</w:t>
      </w:r>
      <w:r>
        <w:rPr>
          <w:rtl w:val="true"/>
        </w:rPr>
        <w:t xml:space="preserve">' </w:t>
      </w:r>
      <w:r>
        <w:rPr>
          <w:rtl w:val="true"/>
        </w:rPr>
        <w:t>שימשו כלי בידי אביהן כאשר הן חשות קנאה ביחס לאחותם ט</w:t>
      </w:r>
      <w:r>
        <w:rPr>
          <w:rtl w:val="true"/>
        </w:rPr>
        <w:t xml:space="preserve">', </w:t>
      </w:r>
      <w:r>
        <w:rPr>
          <w:rtl w:val="true"/>
        </w:rPr>
        <w:t>אשת חיקו</w:t>
      </w:r>
      <w:r>
        <w:rPr>
          <w:rtl w:val="true"/>
        </w:rPr>
        <w:t xml:space="preserve">. </w:t>
      </w:r>
      <w:r>
        <w:rPr>
          <w:rtl w:val="true"/>
        </w:rPr>
        <w:t>בית משפט קמא דחה הסברים אלה בקובעו כי הם אינם מתיישבים עם העדויות האמינות שמסרו מ</w:t>
      </w:r>
      <w:r>
        <w:rPr>
          <w:rtl w:val="true"/>
        </w:rPr>
        <w:t xml:space="preserve">' </w:t>
      </w:r>
      <w:r>
        <w:rPr>
          <w:rtl w:val="true"/>
        </w:rPr>
        <w:t>וש</w:t>
      </w:r>
      <w:r>
        <w:rPr>
          <w:rtl w:val="true"/>
        </w:rPr>
        <w:t xml:space="preserve">' </w:t>
      </w:r>
      <w:r>
        <w:rPr>
          <w:rtl w:val="true"/>
        </w:rPr>
        <w:t>ואף לא עם עדות המערער עצמו כי יחסיו עם מ</w:t>
      </w:r>
      <w:r>
        <w:rPr>
          <w:rtl w:val="true"/>
        </w:rPr>
        <w:t xml:space="preserve">' </w:t>
      </w:r>
      <w:r>
        <w:rPr>
          <w:rtl w:val="true"/>
        </w:rPr>
        <w:t>וש</w:t>
      </w:r>
      <w:r>
        <w:rPr>
          <w:rtl w:val="true"/>
        </w:rPr>
        <w:t xml:space="preserve">' </w:t>
      </w:r>
      <w:r>
        <w:rPr>
          <w:rtl w:val="true"/>
        </w:rPr>
        <w:t>היו טובים</w:t>
      </w:r>
      <w:r>
        <w:rPr>
          <w:rtl w:val="true"/>
        </w:rPr>
        <w:t xml:space="preserve">. </w:t>
      </w:r>
      <w:r>
        <w:rPr>
          <w:rtl w:val="true"/>
        </w:rPr>
        <w:t>עוד קבע בית המשפט בעניין זה כי תרחישים אלה אינם סבירים כי אינם מתיישבים עם העובדה שהאב ובנותיו לא ששו להגיש תלונה למשטרה בקשר למעשיו של המערער</w:t>
      </w:r>
      <w:r>
        <w:rPr>
          <w:rtl w:val="true"/>
        </w:rPr>
        <w:t xml:space="preserve">, </w:t>
      </w:r>
      <w:r>
        <w:rPr>
          <w:rtl w:val="true"/>
        </w:rPr>
        <w:t>ואף לא עם העובדה שהמערער ואשתו ט</w:t>
      </w:r>
      <w:r>
        <w:rPr>
          <w:rtl w:val="true"/>
        </w:rPr>
        <w:t xml:space="preserve">' </w:t>
      </w:r>
      <w:r>
        <w:rPr>
          <w:rtl w:val="true"/>
        </w:rPr>
        <w:t>המשיכו לעבוד בעסק המשפחתי ולקבל שכר עבור עבודה זו במשך למעלה משנה לאחר חשיפת האירועים</w:t>
      </w:r>
      <w:r>
        <w:rPr>
          <w:rtl w:val="true"/>
        </w:rPr>
        <w:t>.</w:t>
      </w:r>
    </w:p>
    <w:p>
      <w:pPr>
        <w:pStyle w:val="Ruller41"/>
        <w:numPr>
          <w:ilvl w:val="0"/>
          <w:numId w:val="1"/>
        </w:numPr>
        <w:ind w:hanging="0" w:start="0" w:end="0"/>
        <w:jc w:val="both"/>
        <w:rPr/>
      </w:pPr>
      <w:r>
        <w:rPr>
          <w:rtl w:val="true"/>
        </w:rPr>
        <w:t>כמו כן דחה בית משפט קמא את טענתו המאוחרת של המערער כי העלילה סביבו הינה תוצר של חשש המתלוננות והוריהן לילדיו</w:t>
      </w:r>
      <w:r>
        <w:rPr>
          <w:rtl w:val="true"/>
        </w:rPr>
        <w:t xml:space="preserve">. </w:t>
      </w:r>
      <w:r>
        <w:rPr>
          <w:rtl w:val="true"/>
        </w:rPr>
        <w:t>מ</w:t>
      </w:r>
      <w:r>
        <w:rPr>
          <w:rtl w:val="true"/>
        </w:rPr>
        <w:t xml:space="preserve">', </w:t>
      </w:r>
      <w:r>
        <w:rPr>
          <w:rtl w:val="true"/>
        </w:rPr>
        <w:t>ש</w:t>
      </w:r>
      <w:r>
        <w:rPr>
          <w:rtl w:val="true"/>
        </w:rPr>
        <w:t xml:space="preserve">' </w:t>
      </w:r>
      <w:r>
        <w:rPr>
          <w:rtl w:val="true"/>
        </w:rPr>
        <w:t>והוריהן אכן הביעו דאגה ביחס לנעשה בבית המערער ולילדיו</w:t>
      </w:r>
      <w:r>
        <w:rPr>
          <w:rtl w:val="true"/>
        </w:rPr>
        <w:t xml:space="preserve">, </w:t>
      </w:r>
      <w:r>
        <w:rPr>
          <w:rtl w:val="true"/>
        </w:rPr>
        <w:t>ואף העידו כי התלונה במשטרה הוגשה כדי שיהא ניתן לתחקר את ילדי המערער</w:t>
      </w:r>
      <w:r>
        <w:rPr>
          <w:rtl w:val="true"/>
        </w:rPr>
        <w:t xml:space="preserve">. </w:t>
      </w:r>
      <w:r>
        <w:rPr>
          <w:rtl w:val="true"/>
        </w:rPr>
        <w:t>ואולם</w:t>
      </w:r>
      <w:r>
        <w:rPr>
          <w:rtl w:val="true"/>
        </w:rPr>
        <w:t xml:space="preserve">, </w:t>
      </w:r>
      <w:r>
        <w:rPr>
          <w:rtl w:val="true"/>
        </w:rPr>
        <w:t>כפי שהסביר בית המשפט</w:t>
      </w:r>
      <w:r>
        <w:rPr>
          <w:rtl w:val="true"/>
        </w:rPr>
        <w:t xml:space="preserve">, </w:t>
      </w:r>
      <w:r>
        <w:rPr>
          <w:rtl w:val="true"/>
        </w:rPr>
        <w:t>הפניה למשטרה נעשתה בעקבות לחץ מצד גורמי הרווחה ולא נמצאו שום ראיות שביכולתן לאשש את טענת העלילה</w:t>
      </w:r>
      <w:r>
        <w:rPr>
          <w:rtl w:val="true"/>
        </w:rPr>
        <w:t xml:space="preserve">. </w:t>
      </w:r>
      <w:r>
        <w:rPr>
          <w:rtl w:val="true"/>
        </w:rPr>
        <w:t>בית המשפט קבע על כן כי מדובר בספקולציה גרידא אשר אין בה כדי לעורר ספק סביר לטובת גרסת החפות של המערער</w:t>
      </w:r>
      <w:r>
        <w:rPr>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באשר לעדות המערער גופה</w:t>
      </w:r>
      <w:r>
        <w:rPr>
          <w:rtl w:val="true"/>
        </w:rPr>
        <w:t xml:space="preserve">, </w:t>
      </w:r>
      <w:r>
        <w:rPr>
          <w:rtl w:val="true"/>
        </w:rPr>
        <w:t>בית משפט קמא קבע כי מדובר בעדות מגמתית שלא עוררה אמון ואשר לא תאמה את גרסתה של אשתו</w:t>
      </w:r>
      <w:r>
        <w:rPr>
          <w:rtl w:val="true"/>
        </w:rPr>
        <w:t xml:space="preserve">, </w:t>
      </w:r>
      <w:r>
        <w:rPr>
          <w:rtl w:val="true"/>
        </w:rPr>
        <w:t>ט</w:t>
      </w:r>
      <w:r>
        <w:rPr>
          <w:rtl w:val="true"/>
        </w:rPr>
        <w:t xml:space="preserve">', </w:t>
      </w:r>
      <w:r>
        <w:rPr>
          <w:rtl w:val="true"/>
        </w:rPr>
        <w:t>בנקודות חשובות</w:t>
      </w:r>
      <w:r>
        <w:rPr>
          <w:rtl w:val="true"/>
        </w:rPr>
        <w:t xml:space="preserve">. </w:t>
      </w:r>
      <w:r>
        <w:rPr>
          <w:rtl w:val="true"/>
        </w:rPr>
        <w:t>עוד קבע בית המשפט כי עדות המערער היתה רוויה בסתירות פנימיות ולא עלתה בקנה אחד עם השכל הישר</w:t>
      </w:r>
      <w:r>
        <w:rPr>
          <w:rtl w:val="true"/>
        </w:rPr>
        <w:t xml:space="preserve">. </w:t>
      </w:r>
      <w:r>
        <w:rPr>
          <w:rtl w:val="true"/>
        </w:rPr>
        <w:t>מטעמים אלו</w:t>
      </w:r>
      <w:r>
        <w:rPr>
          <w:rtl w:val="true"/>
        </w:rPr>
        <w:t xml:space="preserve">, </w:t>
      </w:r>
      <w:r>
        <w:rPr>
          <w:rtl w:val="true"/>
        </w:rPr>
        <w:t>קבע בית המשפט כי אין בעדות המערער כדי לעורר ספק סביר לטובת גרסתו</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המערער טען גם לזכאותו להגנה מן הצדק</w:t>
      </w:r>
      <w:r>
        <w:rPr>
          <w:rtl w:val="true"/>
        </w:rPr>
        <w:t xml:space="preserve">. </w:t>
      </w:r>
      <w:r>
        <w:rPr>
          <w:rtl w:val="true"/>
        </w:rPr>
        <w:t>לדבריו</w:t>
      </w:r>
      <w:r>
        <w:rPr>
          <w:rtl w:val="true"/>
        </w:rPr>
        <w:t xml:space="preserve">, </w:t>
      </w:r>
      <w:r>
        <w:rPr>
          <w:rtl w:val="true"/>
        </w:rPr>
        <w:t>השיהוי הניכר שחל בהגשת כתב האישום בעניינו מצדיק את זיכויו</w:t>
      </w:r>
      <w:r>
        <w:rPr>
          <w:rtl w:val="true"/>
        </w:rPr>
        <w:t xml:space="preserve">. </w:t>
      </w:r>
      <w:r>
        <w:rPr>
          <w:rtl w:val="true"/>
        </w:rPr>
        <w:t>בית משפט קמא דחה טענה זו בקובעו כי חומרת העבירות המיוחסות למערער איננה מאפשרת את זיכויו מטעמי צדק</w:t>
      </w:r>
      <w:r>
        <w:rPr>
          <w:rtl w:val="true"/>
        </w:rPr>
        <w:t xml:space="preserve">. </w:t>
      </w:r>
      <w:r>
        <w:rPr>
          <w:rtl w:val="true"/>
        </w:rPr>
        <w:t>לצד זאת</w:t>
      </w:r>
      <w:r>
        <w:rPr>
          <w:rtl w:val="true"/>
        </w:rPr>
        <w:t xml:space="preserve">, </w:t>
      </w:r>
      <w:r>
        <w:rPr>
          <w:rtl w:val="true"/>
        </w:rPr>
        <w:t>קבע בית המשפט כי יהא מקום ליתן לשיהוי משקל בקביעת עונשו של המערער</w:t>
      </w:r>
      <w:r>
        <w:rPr>
          <w:rtl w:val="true"/>
        </w:rPr>
        <w:t xml:space="preserve">. </w:t>
      </w:r>
      <w:r>
        <w:rPr>
          <w:rtl w:val="true"/>
        </w:rPr>
        <w:t>בית המשפט הרשיע אפוא את המערער בעבירות אינוס ומעשה מגונה שהלה ביצע במ</w:t>
      </w:r>
      <w:r>
        <w:rPr>
          <w:rtl w:val="true"/>
        </w:rPr>
        <w:t xml:space="preserve">' </w:t>
      </w:r>
      <w:r>
        <w:rPr>
          <w:rtl w:val="true"/>
        </w:rPr>
        <w:t xml:space="preserve">בהיותה בת משפחה שמתחת לגיל </w:t>
      </w:r>
      <w:r>
        <w:rPr/>
        <w:t>14</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כחלק מהראיות לעונש הגישה המדינה תסקיר קורבן עבירה ביחס למ</w:t>
      </w:r>
      <w:r>
        <w:rPr>
          <w:rtl w:val="true"/>
        </w:rPr>
        <w:t xml:space="preserve">'. </w:t>
      </w:r>
      <w:r>
        <w:rPr>
          <w:rtl w:val="true"/>
        </w:rPr>
        <w:t>מתסקיר זה עלתה תמונה קשה בכל הקשור להיקף הנזקים שנגרמו למ</w:t>
      </w:r>
      <w:r>
        <w:rPr>
          <w:rtl w:val="true"/>
        </w:rPr>
        <w:t xml:space="preserve">'. </w:t>
      </w:r>
      <w:r>
        <w:rPr>
          <w:rtl w:val="true"/>
        </w:rPr>
        <w:t>מטעם המערער העידו שלושה</w:t>
      </w:r>
      <w:r>
        <w:rPr>
          <w:rtl w:val="true"/>
        </w:rPr>
        <w:t xml:space="preserve">: </w:t>
      </w:r>
      <w:r>
        <w:rPr>
          <w:rtl w:val="true"/>
        </w:rPr>
        <w:t>חבר משפחתו</w:t>
      </w:r>
      <w:r>
        <w:rPr>
          <w:rtl w:val="true"/>
        </w:rPr>
        <w:t xml:space="preserve">, </w:t>
      </w:r>
      <w:r>
        <w:rPr>
          <w:rtl w:val="true"/>
        </w:rPr>
        <w:t>אביו ואחותו</w:t>
      </w:r>
      <w:r>
        <w:rPr>
          <w:rtl w:val="true"/>
        </w:rPr>
        <w:t xml:space="preserve">. </w:t>
      </w:r>
      <w:r>
        <w:rPr>
          <w:rtl w:val="true"/>
        </w:rPr>
        <w:t>כמו כן</w:t>
      </w:r>
      <w:r>
        <w:rPr>
          <w:rtl w:val="true"/>
        </w:rPr>
        <w:t xml:space="preserve">, </w:t>
      </w:r>
      <w:r>
        <w:rPr>
          <w:rtl w:val="true"/>
        </w:rPr>
        <w:t>הוגשו מכתבים ממכריו השונים</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בית המשפט קמא קבע כי הערך המוגן בענייננו הוא ההגנה על שלמות גופם ונפשם של קטינים</w:t>
      </w:r>
      <w:r>
        <w:rPr>
          <w:rtl w:val="true"/>
        </w:rPr>
        <w:t xml:space="preserve">; </w:t>
      </w:r>
      <w:r>
        <w:rPr>
          <w:rtl w:val="true"/>
        </w:rPr>
        <w:t>וכי בשל העובדה שמדובר בפגיעה בקטין בתוך המשפחה</w:t>
      </w:r>
      <w:r>
        <w:rPr>
          <w:rtl w:val="true"/>
        </w:rPr>
        <w:t xml:space="preserve">, </w:t>
      </w:r>
      <w:r>
        <w:rPr>
          <w:rtl w:val="true"/>
        </w:rPr>
        <w:t xml:space="preserve">נוספת לכך גם הפגיעה בתחושת הביטחון שביתו ומשפחתו של אדם </w:t>
      </w:r>
      <w:r>
        <w:rPr>
          <w:rtl w:val="true"/>
        </w:rPr>
        <w:t>–</w:t>
      </w:r>
      <w:r>
        <w:rPr>
          <w:rtl w:val="true"/>
        </w:rPr>
        <w:t xml:space="preserve"> קל וחומר אדם קטין </w:t>
      </w:r>
      <w:r>
        <w:rPr>
          <w:rtl w:val="true"/>
        </w:rPr>
        <w:t>–</w:t>
      </w:r>
      <w:r>
        <w:rPr>
          <w:rtl w:val="true"/>
        </w:rPr>
        <w:t xml:space="preserve"> אמורים לספק לו</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באשר לנסיבות ביצוע המעשים צוין פער הגילאים הגדול בין המערער למ</w:t>
      </w:r>
      <w:r>
        <w:rPr>
          <w:rtl w:val="true"/>
        </w:rPr>
        <w:t xml:space="preserve">'. </w:t>
      </w:r>
      <w:r>
        <w:rPr>
          <w:rtl w:val="true"/>
        </w:rPr>
        <w:t>כמו כן צוין כי התמשכות המעשים מצביעה על כך שמדובר במעשי עבירה מתוכננים ולא במעידה רגעית וחד פעמית</w:t>
      </w:r>
      <w:r>
        <w:rPr>
          <w:rtl w:val="true"/>
        </w:rPr>
        <w:t xml:space="preserve">. </w:t>
      </w:r>
      <w:r>
        <w:rPr>
          <w:rtl w:val="true"/>
        </w:rPr>
        <w:t>נקבע כי המערער שלט על מעשיו וניצל מעמדו בבית כדי להקל על ביצועם</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 xml:space="preserve">בית משפט קמא קבע כי מתחם הענישה ההולם את המקרה נע בין </w:t>
      </w:r>
      <w:r>
        <w:rPr/>
        <w:t>6</w:t>
      </w:r>
      <w:r>
        <w:rPr>
          <w:rtl w:val="true"/>
        </w:rPr>
        <w:t xml:space="preserve"> </w:t>
      </w:r>
      <w:r>
        <w:rPr>
          <w:rtl w:val="true"/>
        </w:rPr>
        <w:t>ל</w:t>
      </w:r>
      <w:r>
        <w:rPr>
          <w:rtl w:val="true"/>
        </w:rPr>
        <w:t>-</w:t>
      </w:r>
      <w:r>
        <w:rPr/>
        <w:t>14</w:t>
      </w:r>
      <w:r>
        <w:rPr>
          <w:rtl w:val="true"/>
        </w:rPr>
        <w:t xml:space="preserve"> </w:t>
      </w:r>
      <w:r>
        <w:rPr>
          <w:rtl w:val="true"/>
        </w:rPr>
        <w:t>שנות מאסר</w:t>
      </w:r>
      <w:r>
        <w:rPr>
          <w:rtl w:val="true"/>
        </w:rPr>
        <w:t xml:space="preserve">. </w:t>
      </w:r>
      <w:r>
        <w:rPr>
          <w:rtl w:val="true"/>
        </w:rPr>
        <w:t>בית המשפט לקח בחשבון את הקשר ההדוק של המערער לילדיו</w:t>
      </w:r>
      <w:r>
        <w:rPr>
          <w:rtl w:val="true"/>
        </w:rPr>
        <w:t xml:space="preserve">; </w:t>
      </w:r>
      <w:r>
        <w:rPr>
          <w:rtl w:val="true"/>
        </w:rPr>
        <w:t>את הפגיעה שתיגרם להם ממאסרו</w:t>
      </w:r>
      <w:r>
        <w:rPr>
          <w:rtl w:val="true"/>
        </w:rPr>
        <w:t xml:space="preserve">; </w:t>
      </w:r>
      <w:r>
        <w:rPr>
          <w:rtl w:val="true"/>
        </w:rPr>
        <w:t>את הנזק שנגרם למערער עקב הפאשקווילים אשר הופצו בעניינו בקהילה עליה הוא משתייך ותיארוהו כעבריין מין שפוגע בילדים</w:t>
      </w:r>
      <w:r>
        <w:rPr>
          <w:rtl w:val="true"/>
        </w:rPr>
        <w:t xml:space="preserve">; </w:t>
      </w:r>
      <w:r>
        <w:rPr>
          <w:rtl w:val="true"/>
        </w:rPr>
        <w:t>וכן את השיהוי בהגשת כתב האישום</w:t>
      </w:r>
      <w:r>
        <w:rPr>
          <w:rtl w:val="true"/>
        </w:rPr>
        <w:t xml:space="preserve">. </w:t>
      </w:r>
      <w:r>
        <w:rPr>
          <w:rtl w:val="true"/>
        </w:rPr>
        <w:t>בהתחשב במכלול הנסיבות</w:t>
      </w:r>
      <w:r>
        <w:rPr>
          <w:rtl w:val="true"/>
        </w:rPr>
        <w:t xml:space="preserve">, </w:t>
      </w:r>
      <w:r>
        <w:rPr>
          <w:rtl w:val="true"/>
        </w:rPr>
        <w:t>גזר בית המשפט על המערער את העונשים הבאים</w:t>
      </w:r>
      <w:r>
        <w:rPr>
          <w:rtl w:val="true"/>
        </w:rPr>
        <w:t>: (</w:t>
      </w:r>
      <w:r>
        <w:rPr/>
        <w:t>1</w:t>
      </w:r>
      <w:r>
        <w:rPr>
          <w:rtl w:val="true"/>
        </w:rPr>
        <w:t xml:space="preserve">) </w:t>
      </w:r>
      <w:r>
        <w:rPr>
          <w:rtl w:val="true"/>
        </w:rPr>
        <w:t xml:space="preserve">מאסר בפועל לתקופה של </w:t>
      </w:r>
      <w:r>
        <w:rPr/>
        <w:t>8</w:t>
      </w:r>
      <w:r>
        <w:rPr>
          <w:rtl w:val="true"/>
        </w:rPr>
        <w:t xml:space="preserve"> </w:t>
      </w:r>
      <w:r>
        <w:rPr>
          <w:rtl w:val="true"/>
        </w:rPr>
        <w:t>שנים</w:t>
      </w:r>
      <w:r>
        <w:rPr>
          <w:rtl w:val="true"/>
        </w:rPr>
        <w:t>; (</w:t>
      </w:r>
      <w:r>
        <w:rPr/>
        <w:t>2</w:t>
      </w:r>
      <w:r>
        <w:rPr>
          <w:rtl w:val="true"/>
        </w:rPr>
        <w:t xml:space="preserve">) </w:t>
      </w:r>
      <w:r>
        <w:rPr>
          <w:rtl w:val="true"/>
        </w:rPr>
        <w:t xml:space="preserve">שמונה חודשי מאסר על תנאי לבל יעבור עבירות מין לפי </w:t>
      </w:r>
      <w:hyperlink r:id="rId23">
        <w:r>
          <w:rPr>
            <w:rStyle w:val="Hyperlink"/>
            <w:color w:val="0000FF"/>
            <w:u w:val="single"/>
            <w:rtl w:val="true"/>
          </w:rPr>
          <w:t>סימן</w:t>
        </w:r>
        <w:r>
          <w:rPr>
            <w:rStyle w:val="Hyperlink"/>
            <w:color w:val="0000FF"/>
            <w:u w:val="single"/>
            <w:rtl w:val="true"/>
          </w:rPr>
          <w:t xml:space="preserve"> </w:t>
        </w:r>
        <w:r>
          <w:rPr>
            <w:rStyle w:val="Hyperlink"/>
            <w:color w:val="0000FF"/>
            <w:u w:val="single"/>
            <w:rtl w:val="true"/>
          </w:rPr>
          <w:t>ה</w:t>
        </w:r>
        <w:r>
          <w:rPr>
            <w:rStyle w:val="Hyperlink"/>
            <w:color w:val="0000FF"/>
            <w:u w:val="single"/>
            <w:rtl w:val="true"/>
          </w:rPr>
          <w:t>'</w:t>
        </w:r>
      </w:hyperlink>
      <w:r>
        <w:rPr>
          <w:rtl w:val="true"/>
        </w:rPr>
        <w:t xml:space="preserve"> </w:t>
      </w:r>
      <w:r>
        <w:rPr>
          <w:rtl w:val="true"/>
        </w:rPr>
        <w:t>לפרק י</w:t>
      </w:r>
      <w:r>
        <w:rPr>
          <w:rtl w:val="true"/>
        </w:rPr>
        <w:t xml:space="preserve">' </w:t>
      </w:r>
      <w:r>
        <w:rPr>
          <w:rtl w:val="true"/>
        </w:rPr>
        <w:t>ל</w:t>
      </w:r>
      <w:hyperlink r:id="rId2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במשך </w:t>
      </w:r>
      <w:r>
        <w:rPr/>
        <w:t>3</w:t>
      </w:r>
      <w:r>
        <w:rPr>
          <w:rtl w:val="true"/>
        </w:rPr>
        <w:t xml:space="preserve"> </w:t>
      </w:r>
      <w:r>
        <w:rPr>
          <w:rtl w:val="true"/>
        </w:rPr>
        <w:t>שנים</w:t>
      </w:r>
      <w:r>
        <w:rPr>
          <w:rtl w:val="true"/>
        </w:rPr>
        <w:t xml:space="preserve">; </w:t>
      </w:r>
      <w:r>
        <w:rPr>
          <w:rtl w:val="true"/>
        </w:rPr>
        <w:t xml:space="preserve">וכן </w:t>
      </w:r>
      <w:r>
        <w:rPr>
          <w:rtl w:val="true"/>
        </w:rPr>
        <w:t>(</w:t>
      </w:r>
      <w:r>
        <w:rPr/>
        <w:t>3</w:t>
      </w:r>
      <w:r>
        <w:rPr>
          <w:rtl w:val="true"/>
        </w:rPr>
        <w:t xml:space="preserve">) </w:t>
      </w:r>
      <w:r>
        <w:rPr>
          <w:rtl w:val="true"/>
        </w:rPr>
        <w:t xml:space="preserve">פיצוי בסך </w:t>
      </w:r>
      <w:r>
        <w:rPr/>
        <w:t>50,000</w:t>
      </w:r>
      <w:r>
        <w:rPr>
          <w:rtl w:val="true"/>
        </w:rPr>
        <w:t xml:space="preserve"> </w:t>
      </w:r>
      <w:r>
        <w:rPr>
          <w:rFonts w:cs="Times New Roman" w:ascii="Times New Roman" w:hAnsi="Times New Roman"/>
          <w:rtl w:val="true"/>
        </w:rPr>
        <w:t>₪</w:t>
      </w:r>
      <w:r>
        <w:rPr>
          <w:rtl w:val="true"/>
        </w:rPr>
        <w:t xml:space="preserve"> </w:t>
      </w:r>
      <w:r>
        <w:rPr>
          <w:rtl w:val="true"/>
        </w:rPr>
        <w:t>שעל המערער לשלם למ</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מכאן הערעור שלפנינו</w:t>
      </w:r>
      <w:r>
        <w:rPr>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הערעור</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w:t>
      </w:r>
      <w:r>
        <w:rPr>
          <w:rFonts w:ascii="Century" w:hAnsi="Century" w:cs="Miriam"/>
          <w:b/>
          <w:b/>
          <w:spacing w:val="0"/>
          <w:szCs w:val="24"/>
          <w:rtl w:val="true"/>
        </w:rPr>
        <w:t>צדדים</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המערער מעלה בערעורו את כל אותן הטענות שהעלה בפני בית משפט קמא</w:t>
      </w:r>
      <w:r>
        <w:rPr>
          <w:rtl w:val="true"/>
        </w:rPr>
        <w:t xml:space="preserve">. </w:t>
      </w:r>
      <w:r>
        <w:rPr>
          <w:rtl w:val="true"/>
        </w:rPr>
        <w:t>טענות אלה באות לתקוף את מהימנות עדותה של מ</w:t>
      </w:r>
      <w:r>
        <w:rPr>
          <w:rtl w:val="true"/>
        </w:rPr>
        <w:t xml:space="preserve">' </w:t>
      </w:r>
      <w:r>
        <w:rPr>
          <w:rtl w:val="true"/>
        </w:rPr>
        <w:t>לנוכח סתירות</w:t>
      </w:r>
      <w:r>
        <w:rPr>
          <w:rtl w:val="true"/>
        </w:rPr>
        <w:t xml:space="preserve">, </w:t>
      </w:r>
      <w:r>
        <w:rPr>
          <w:rtl w:val="true"/>
        </w:rPr>
        <w:t>חוסר הגיון</w:t>
      </w:r>
      <w:r>
        <w:rPr>
          <w:rtl w:val="true"/>
        </w:rPr>
        <w:t xml:space="preserve">, </w:t>
      </w:r>
      <w:r>
        <w:rPr>
          <w:rtl w:val="true"/>
        </w:rPr>
        <w:t>ואי</w:t>
      </w:r>
      <w:r>
        <w:rPr>
          <w:rtl w:val="true"/>
        </w:rPr>
        <w:t>-</w:t>
      </w:r>
      <w:r>
        <w:rPr>
          <w:rtl w:val="true"/>
        </w:rPr>
        <w:t>היתכנות המיוחסים לה</w:t>
      </w:r>
      <w:r>
        <w:rPr>
          <w:rtl w:val="true"/>
        </w:rPr>
        <w:t xml:space="preserve">.  </w:t>
      </w:r>
      <w:r>
        <w:rPr>
          <w:rtl w:val="true"/>
        </w:rPr>
        <w:t>כמו כן טוען המערער כי בית משפט קמא טעה בקובעו כי עדותה של ש</w:t>
      </w:r>
      <w:r>
        <w:rPr>
          <w:rtl w:val="true"/>
        </w:rPr>
        <w:t xml:space="preserve">' </w:t>
      </w:r>
      <w:r>
        <w:rPr>
          <w:rtl w:val="true"/>
        </w:rPr>
        <w:t>מחזקת את עדותה של מ</w:t>
      </w:r>
      <w:r>
        <w:rPr>
          <w:rtl w:val="true"/>
        </w:rPr>
        <w:t xml:space="preserve">'. </w:t>
      </w:r>
      <w:r>
        <w:rPr>
          <w:rtl w:val="true"/>
        </w:rPr>
        <w:t>לדברי המערער</w:t>
      </w:r>
      <w:r>
        <w:rPr>
          <w:rtl w:val="true"/>
        </w:rPr>
        <w:t xml:space="preserve">, </w:t>
      </w:r>
      <w:r>
        <w:rPr>
          <w:rtl w:val="true"/>
        </w:rPr>
        <w:t>מאחר שהוא זוכה מהעבירות המבוססות על עדותה של ש</w:t>
      </w:r>
      <w:r>
        <w:rPr>
          <w:rtl w:val="true"/>
        </w:rPr>
        <w:t xml:space="preserve">', </w:t>
      </w:r>
      <w:r>
        <w:rPr>
          <w:rtl w:val="true"/>
        </w:rPr>
        <w:t xml:space="preserve">ומכיוון שעדות זו </w:t>
      </w:r>
      <w:r>
        <w:rPr>
          <w:rtl w:val="true"/>
        </w:rPr>
        <w:t>–</w:t>
      </w:r>
      <w:r>
        <w:rPr>
          <w:rtl w:val="true"/>
        </w:rPr>
        <w:t xml:space="preserve"> אשר מדגישה כי הוא לא החדיר את אצבעותיו לאיבר מינה של העדה </w:t>
      </w:r>
      <w:r>
        <w:rPr>
          <w:rtl w:val="true"/>
        </w:rPr>
        <w:t>–</w:t>
      </w:r>
      <w:r>
        <w:rPr>
          <w:rtl w:val="true"/>
        </w:rPr>
        <w:t xml:space="preserve"> מחלישה את עדותה של מ</w:t>
      </w:r>
      <w:r>
        <w:rPr>
          <w:rtl w:val="true"/>
        </w:rPr>
        <w:t xml:space="preserve">' </w:t>
      </w:r>
      <w:r>
        <w:rPr>
          <w:rtl w:val="true"/>
        </w:rPr>
        <w:t>בנוגע להחדרת האצבעות</w:t>
      </w:r>
      <w:r>
        <w:rPr>
          <w:rtl w:val="true"/>
        </w:rPr>
        <w:t xml:space="preserve">, </w:t>
      </w:r>
      <w:r>
        <w:rPr>
          <w:rtl w:val="true"/>
        </w:rPr>
        <w:t>לא היה מקום לראות בה חיזוק</w:t>
      </w:r>
      <w:r>
        <w:rPr>
          <w:rtl w:val="true"/>
        </w:rPr>
        <w:t xml:space="preserve">. </w:t>
      </w:r>
      <w:r>
        <w:rPr>
          <w:rtl w:val="true"/>
        </w:rPr>
        <w:t>עוד טוען המערער כי בית משפט קמא לא לקח בחשבון בהכרעת הדין את העדרם של סימנים כלשהם אשר יכלו להעיד בזמן אמת על התרחשות האירועים הנטענים</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המערער מוסיף וטוען</w:t>
      </w:r>
      <w:r>
        <w:rPr>
          <w:rtl w:val="true"/>
        </w:rPr>
        <w:t xml:space="preserve">, </w:t>
      </w:r>
      <w:r>
        <w:rPr>
          <w:rtl w:val="true"/>
        </w:rPr>
        <w:t>כי בהרשעתו קיים ספק מובנה שכן זו נסמכת על עדות יחידה אשר ניתנה לאחר חלוף זמן רב מאז שהאירועים הנטענים התרחשו</w:t>
      </w:r>
      <w:r>
        <w:rPr>
          <w:rtl w:val="true"/>
        </w:rPr>
        <w:t xml:space="preserve">, </w:t>
      </w:r>
      <w:r>
        <w:rPr>
          <w:rtl w:val="true"/>
        </w:rPr>
        <w:t>אם בכלל</w:t>
      </w:r>
      <w:r>
        <w:rPr>
          <w:rtl w:val="true"/>
        </w:rPr>
        <w:t xml:space="preserve">. </w:t>
      </w:r>
      <w:r>
        <w:rPr>
          <w:rtl w:val="true"/>
        </w:rPr>
        <w:t>לדברי המערער</w:t>
      </w:r>
      <w:r>
        <w:rPr>
          <w:rtl w:val="true"/>
        </w:rPr>
        <w:t xml:space="preserve">, </w:t>
      </w:r>
      <w:r>
        <w:rPr>
          <w:rtl w:val="true"/>
        </w:rPr>
        <w:t>קושי זה הולך ומתעצם לנוכח העובדה שעדותה של מ</w:t>
      </w:r>
      <w:r>
        <w:rPr>
          <w:rtl w:val="true"/>
        </w:rPr>
        <w:t xml:space="preserve">' </w:t>
      </w:r>
      <w:r>
        <w:rPr>
          <w:rtl w:val="true"/>
        </w:rPr>
        <w:t>באה מתוך זיכרונותיה המודחקים</w:t>
      </w:r>
      <w:r>
        <w:rPr>
          <w:rtl w:val="true"/>
        </w:rPr>
        <w:t xml:space="preserve">. </w:t>
      </w:r>
      <w:r>
        <w:rPr>
          <w:rtl w:val="true"/>
        </w:rPr>
        <w:t>לשיטת המערער</w:t>
      </w:r>
      <w:r>
        <w:rPr>
          <w:rtl w:val="true"/>
        </w:rPr>
        <w:t xml:space="preserve">, </w:t>
      </w:r>
      <w:r>
        <w:rPr>
          <w:rtl w:val="true"/>
        </w:rPr>
        <w:t>אמינות עדותה של מ</w:t>
      </w:r>
      <w:r>
        <w:rPr>
          <w:rtl w:val="true"/>
        </w:rPr>
        <w:t xml:space="preserve">' </w:t>
      </w:r>
      <w:r>
        <w:rPr>
          <w:rtl w:val="true"/>
        </w:rPr>
        <w:t xml:space="preserve">הולכת ונחלשת לנוכח הודאתה כי למדה את ההבדל בין </w:t>
      </w:r>
      <w:r>
        <w:rPr>
          <w:rtl w:val="true"/>
        </w:rPr>
        <w:t>"</w:t>
      </w:r>
      <w:r>
        <w:rPr>
          <w:rtl w:val="true"/>
        </w:rPr>
        <w:t>נגיעה</w:t>
      </w:r>
      <w:r>
        <w:rPr>
          <w:rtl w:val="true"/>
        </w:rPr>
        <w:t xml:space="preserve">" </w:t>
      </w:r>
      <w:r>
        <w:rPr>
          <w:rtl w:val="true"/>
        </w:rPr>
        <w:t>ל</w:t>
      </w:r>
      <w:r>
        <w:rPr>
          <w:rtl w:val="true"/>
        </w:rPr>
        <w:t>"</w:t>
      </w:r>
      <w:r>
        <w:rPr>
          <w:rtl w:val="true"/>
        </w:rPr>
        <w:t>חדירה</w:t>
      </w:r>
      <w:r>
        <w:rPr>
          <w:rtl w:val="true"/>
        </w:rPr>
        <w:t xml:space="preserve">" </w:t>
      </w:r>
      <w:r>
        <w:rPr>
          <w:rtl w:val="true"/>
        </w:rPr>
        <w:t xml:space="preserve">במהלך שיחותיה עם התובעת </w:t>
      </w:r>
      <w:r>
        <w:rPr>
          <w:rtl w:val="true"/>
        </w:rPr>
        <w:t>(</w:t>
      </w:r>
      <w:r>
        <w:rPr>
          <w:rtl w:val="true"/>
        </w:rPr>
        <w:t>ראו עמ</w:t>
      </w:r>
      <w:r>
        <w:rPr>
          <w:rtl w:val="true"/>
        </w:rPr>
        <w:t xml:space="preserve">' </w:t>
      </w:r>
      <w:r>
        <w:rPr/>
        <w:t>222</w:t>
      </w:r>
      <w:r>
        <w:rPr>
          <w:rtl w:val="true"/>
        </w:rPr>
        <w:t xml:space="preserve">, </w:t>
      </w:r>
      <w:r>
        <w:rPr>
          <w:rtl w:val="true"/>
        </w:rPr>
        <w:t xml:space="preserve">בשורות </w:t>
      </w:r>
      <w:r>
        <w:rPr/>
        <w:t>12-10</w:t>
      </w:r>
      <w:r>
        <w:rPr>
          <w:rtl w:val="true"/>
        </w:rPr>
        <w:t xml:space="preserve"> </w:t>
      </w:r>
      <w:r>
        <w:rPr>
          <w:rtl w:val="true"/>
        </w:rPr>
        <w:t xml:space="preserve">לפרוטוקול </w:t>
      </w:r>
      <w:r>
        <w:rPr/>
        <w:t>2</w:t>
      </w:r>
      <w:r>
        <w:rPr>
          <w:rtl w:val="true"/>
        </w:rPr>
        <w:t xml:space="preserve"> </w:t>
      </w:r>
      <w:r>
        <w:rPr>
          <w:rtl w:val="true"/>
        </w:rPr>
        <w:t>המתעד את דבריה של מ</w:t>
      </w:r>
      <w:r>
        <w:rPr>
          <w:rtl w:val="true"/>
        </w:rPr>
        <w:t xml:space="preserve">', </w:t>
      </w:r>
      <w:r>
        <w:rPr>
          <w:rtl w:val="true"/>
        </w:rPr>
        <w:t>כדלקמן</w:t>
      </w:r>
      <w:r>
        <w:rPr>
          <w:rtl w:val="true"/>
        </w:rPr>
        <w:t>: "</w:t>
      </w:r>
      <w:r>
        <w:rPr>
          <w:rtl w:val="true"/>
        </w:rPr>
        <w:t>את זה רק למדתי מנורית שיש הבדל</w:t>
      </w:r>
      <w:r>
        <w:rPr>
          <w:rtl w:val="true"/>
        </w:rPr>
        <w:t xml:space="preserve">, </w:t>
      </w:r>
      <w:r>
        <w:rPr>
          <w:rtl w:val="true"/>
        </w:rPr>
        <w:t>תמיד הייתי אומרת הוא נגע בי</w:t>
      </w:r>
      <w:r>
        <w:rPr>
          <w:rtl w:val="true"/>
        </w:rPr>
        <w:t xml:space="preserve">, </w:t>
      </w:r>
      <w:r>
        <w:rPr>
          <w:rtl w:val="true"/>
        </w:rPr>
        <w:t>זה לא נעים לומר את זה</w:t>
      </w:r>
      <w:r>
        <w:rPr>
          <w:rtl w:val="true"/>
        </w:rPr>
        <w:t xml:space="preserve">, </w:t>
      </w:r>
      <w:r>
        <w:rPr>
          <w:rtl w:val="true"/>
        </w:rPr>
        <w:t>אז אמרתי בכללי עד שנורית שאלה אותי מה זה נגע בי</w:t>
      </w:r>
      <w:r>
        <w:rPr>
          <w:rtl w:val="true"/>
        </w:rPr>
        <w:t xml:space="preserve">? </w:t>
      </w:r>
      <w:r>
        <w:rPr>
          <w:rtl w:val="true"/>
        </w:rPr>
        <w:t>איפה בדיוק</w:t>
      </w:r>
      <w:r>
        <w:rPr>
          <w:rtl w:val="true"/>
        </w:rPr>
        <w:t xml:space="preserve">? </w:t>
      </w:r>
      <w:r>
        <w:rPr>
          <w:rtl w:val="true"/>
        </w:rPr>
        <w:t>כמה בדיוק</w:t>
      </w:r>
      <w:r>
        <w:rPr>
          <w:rtl w:val="true"/>
        </w:rPr>
        <w:t xml:space="preserve">? </w:t>
      </w:r>
      <w:r>
        <w:rPr>
          <w:rtl w:val="true"/>
        </w:rPr>
        <w:t>ושאלה לפרטי פרטים אז אמרתי לה</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המערער משליך את יהבו גם על טענת שיהוי</w:t>
      </w:r>
      <w:r>
        <w:rPr>
          <w:rtl w:val="true"/>
        </w:rPr>
        <w:t xml:space="preserve">. </w:t>
      </w:r>
      <w:r>
        <w:rPr>
          <w:rtl w:val="true"/>
        </w:rPr>
        <w:t>לדבריו</w:t>
      </w:r>
      <w:r>
        <w:rPr>
          <w:rtl w:val="true"/>
        </w:rPr>
        <w:t xml:space="preserve">, </w:t>
      </w:r>
      <w:r>
        <w:rPr>
          <w:rtl w:val="true"/>
        </w:rPr>
        <w:t>כתב האישום הוגש נגדו בחלוף ארבע שנים מתום החקירה הפלילית</w:t>
      </w:r>
      <w:r>
        <w:rPr>
          <w:rtl w:val="true"/>
        </w:rPr>
        <w:t xml:space="preserve">, </w:t>
      </w:r>
      <w:r>
        <w:rPr>
          <w:rtl w:val="true"/>
        </w:rPr>
        <w:t>וזהו שיהוי ניכר</w:t>
      </w:r>
      <w:r>
        <w:rPr>
          <w:rtl w:val="true"/>
        </w:rPr>
        <w:t xml:space="preserve">. </w:t>
      </w:r>
      <w:r>
        <w:rPr>
          <w:rtl w:val="true"/>
        </w:rPr>
        <w:t>לטענת המערער</w:t>
      </w:r>
      <w:r>
        <w:rPr>
          <w:rtl w:val="true"/>
        </w:rPr>
        <w:t xml:space="preserve">, </w:t>
      </w:r>
      <w:r>
        <w:rPr>
          <w:rtl w:val="true"/>
        </w:rPr>
        <w:t>שיהוי כאמור מזכה אותו בהגנה מן הצדק שתוצאתה זיכוי</w:t>
      </w:r>
      <w:r>
        <w:rPr>
          <w:rtl w:val="true"/>
        </w:rPr>
        <w:t xml:space="preserve">. </w:t>
      </w:r>
      <w:r>
        <w:rPr>
          <w:rtl w:val="true"/>
        </w:rPr>
        <w:t>לטענה זו מוסיף המערער מחדל חקירה</w:t>
      </w:r>
      <w:r>
        <w:rPr>
          <w:rtl w:val="true"/>
        </w:rPr>
        <w:t xml:space="preserve">: </w:t>
      </w:r>
      <w:r>
        <w:rPr>
          <w:rtl w:val="true"/>
        </w:rPr>
        <w:t>לדבריו</w:t>
      </w:r>
      <w:r>
        <w:rPr>
          <w:rtl w:val="true"/>
        </w:rPr>
        <w:t xml:space="preserve">, </w:t>
      </w:r>
      <w:r>
        <w:rPr>
          <w:rtl w:val="true"/>
        </w:rPr>
        <w:t>כמה עדי מפתח</w:t>
      </w:r>
      <w:r>
        <w:rPr>
          <w:rtl w:val="true"/>
        </w:rPr>
        <w:t xml:space="preserve">, </w:t>
      </w:r>
      <w:r>
        <w:rPr>
          <w:rtl w:val="true"/>
        </w:rPr>
        <w:t>שעדותם יכלה לשפוך אור על האירועים הנטענים</w:t>
      </w:r>
      <w:r>
        <w:rPr>
          <w:rtl w:val="true"/>
        </w:rPr>
        <w:t xml:space="preserve">, </w:t>
      </w:r>
      <w:r>
        <w:rPr>
          <w:rtl w:val="true"/>
        </w:rPr>
        <w:t>לא נחקרו על ידי המשטרה</w:t>
      </w:r>
      <w:r>
        <w:rPr>
          <w:rtl w:val="true"/>
        </w:rPr>
        <w:t xml:space="preserve">. </w:t>
      </w:r>
      <w:r>
        <w:rPr>
          <w:rtl w:val="true"/>
        </w:rPr>
        <w:t>כמו כן טוען המערער כי בית משפט קמא נחשף למידע מוקדם אודותיו והושפע ממנו למרות היות המידע בלתי קביל כראיה</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ביחס לנגיעה באיבר מינה של מ</w:t>
      </w:r>
      <w:r>
        <w:rPr>
          <w:rtl w:val="true"/>
        </w:rPr>
        <w:t xml:space="preserve">' </w:t>
      </w:r>
      <w:r>
        <w:rPr>
          <w:rtl w:val="true"/>
        </w:rPr>
        <w:t>ללא חדירת אצבעות</w:t>
      </w:r>
      <w:r>
        <w:rPr>
          <w:rtl w:val="true"/>
        </w:rPr>
        <w:t xml:space="preserve">, </w:t>
      </w:r>
      <w:r>
        <w:rPr>
          <w:rtl w:val="true"/>
        </w:rPr>
        <w:t>המתואר במסגרת אירוע הפד</w:t>
      </w:r>
      <w:r>
        <w:rPr>
          <w:rtl w:val="true"/>
        </w:rPr>
        <w:t xml:space="preserve">, </w:t>
      </w:r>
      <w:r>
        <w:rPr>
          <w:rtl w:val="true"/>
        </w:rPr>
        <w:t>המערער סבור כי אירוע זה איננו כלול בכתב האישום ועל כן לא היה זה נכון להרשיעו בגינו בעבירת מעשה מגונה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באשר לאירוע המחשב</w:t>
      </w:r>
      <w:r>
        <w:rPr>
          <w:rtl w:val="true"/>
        </w:rPr>
        <w:t xml:space="preserve">: </w:t>
      </w:r>
      <w:r>
        <w:rPr>
          <w:rtl w:val="true"/>
        </w:rPr>
        <w:t>המערער טוען כי גרסתה של מ</w:t>
      </w:r>
      <w:r>
        <w:rPr>
          <w:rtl w:val="true"/>
        </w:rPr>
        <w:t xml:space="preserve">' </w:t>
      </w:r>
      <w:r>
        <w:rPr>
          <w:rtl w:val="true"/>
        </w:rPr>
        <w:t>באשר לאירוע זה היא גרסה שלבשה ושינתה תכנים</w:t>
      </w:r>
      <w:r>
        <w:rPr>
          <w:rtl w:val="true"/>
        </w:rPr>
        <w:t xml:space="preserve">. </w:t>
      </w:r>
      <w:r>
        <w:rPr>
          <w:rtl w:val="true"/>
        </w:rPr>
        <w:t>תחילה</w:t>
      </w:r>
      <w:r>
        <w:rPr>
          <w:rtl w:val="true"/>
        </w:rPr>
        <w:t xml:space="preserve">, </w:t>
      </w:r>
      <w:r>
        <w:rPr>
          <w:rtl w:val="true"/>
        </w:rPr>
        <w:t>סיפרה מ</w:t>
      </w:r>
      <w:r>
        <w:rPr>
          <w:rtl w:val="true"/>
        </w:rPr>
        <w:t xml:space="preserve">' </w:t>
      </w:r>
      <w:r>
        <w:rPr>
          <w:rtl w:val="true"/>
        </w:rPr>
        <w:t>בקשר לאותו אירוע כי המערער שאלהּ אם היא רוצה לגעת בו</w:t>
      </w:r>
      <w:r>
        <w:rPr>
          <w:rtl w:val="true"/>
        </w:rPr>
        <w:t xml:space="preserve">. </w:t>
      </w:r>
      <w:r>
        <w:rPr>
          <w:rtl w:val="true"/>
        </w:rPr>
        <w:t>במועד אחר הוסיפה מ</w:t>
      </w:r>
      <w:r>
        <w:rPr>
          <w:rtl w:val="true"/>
        </w:rPr>
        <w:t xml:space="preserve">' </w:t>
      </w:r>
      <w:r>
        <w:rPr>
          <w:rtl w:val="true"/>
        </w:rPr>
        <w:t>כי המערער נגע בה מתחת לחצאית</w:t>
      </w:r>
      <w:r>
        <w:rPr>
          <w:rtl w:val="true"/>
        </w:rPr>
        <w:t xml:space="preserve">.  </w:t>
      </w:r>
      <w:r>
        <w:rPr>
          <w:rtl w:val="true"/>
        </w:rPr>
        <w:t>לבסוף</w:t>
      </w:r>
      <w:r>
        <w:rPr>
          <w:rtl w:val="true"/>
        </w:rPr>
        <w:t xml:space="preserve">, </w:t>
      </w:r>
      <w:r>
        <w:rPr>
          <w:rtl w:val="true"/>
        </w:rPr>
        <w:t>סיפרה מ</w:t>
      </w:r>
      <w:r>
        <w:rPr>
          <w:rtl w:val="true"/>
        </w:rPr>
        <w:t xml:space="preserve">' </w:t>
      </w:r>
      <w:r>
        <w:rPr>
          <w:rtl w:val="true"/>
        </w:rPr>
        <w:t>כי המערער הזיז את תחתוניה והחדיר אצבעות אל תוך איבר מינה</w:t>
      </w:r>
      <w:r>
        <w:rPr>
          <w:rtl w:val="true"/>
        </w:rPr>
        <w:t xml:space="preserve">, </w:t>
      </w:r>
      <w:r>
        <w:rPr>
          <w:rtl w:val="true"/>
        </w:rPr>
        <w:t>ורק לאחר מכן שאלהּ אם היא רוצה לגעת בו</w:t>
      </w:r>
      <w:r>
        <w:rPr>
          <w:rtl w:val="true"/>
        </w:rPr>
        <w:t xml:space="preserve">. </w:t>
      </w:r>
      <w:r>
        <w:rPr>
          <w:rtl w:val="true"/>
        </w:rPr>
        <w:t>את גרסתה האחרונה מסרה מ</w:t>
      </w:r>
      <w:r>
        <w:rPr>
          <w:rtl w:val="true"/>
        </w:rPr>
        <w:t xml:space="preserve">' </w:t>
      </w:r>
      <w:r>
        <w:rPr>
          <w:rtl w:val="true"/>
        </w:rPr>
        <w:t xml:space="preserve">רק ביוני </w:t>
      </w:r>
      <w:r>
        <w:rPr/>
        <w:t>2015</w:t>
      </w:r>
      <w:r>
        <w:rPr>
          <w:rtl w:val="true"/>
        </w:rPr>
        <w:t xml:space="preserve">, </w:t>
      </w:r>
      <w:r>
        <w:rPr>
          <w:rtl w:val="true"/>
        </w:rPr>
        <w:t>כחמש שנים מיום הגשת התלונה</w:t>
      </w:r>
      <w:r>
        <w:rPr>
          <w:rtl w:val="true"/>
        </w:rPr>
        <w:t xml:space="preserve">. </w:t>
      </w:r>
      <w:r>
        <w:rPr>
          <w:rtl w:val="true"/>
        </w:rPr>
        <w:t>המערער טוען בהקשר זה כי יש לתמוה על כך שמ</w:t>
      </w:r>
      <w:r>
        <w:rPr>
          <w:rtl w:val="true"/>
        </w:rPr>
        <w:t xml:space="preserve">' </w:t>
      </w:r>
      <w:r>
        <w:rPr>
          <w:rtl w:val="true"/>
        </w:rPr>
        <w:t>לא בחרה לצאת מהחדר מיד בתחילתו של האירוע</w:t>
      </w:r>
      <w:r>
        <w:rPr>
          <w:rtl w:val="true"/>
        </w:rPr>
        <w:t xml:space="preserve">. </w:t>
      </w:r>
      <w:r>
        <w:rPr>
          <w:rtl w:val="true"/>
        </w:rPr>
        <w:t>עוד טוען המערער כי אין כל היגיון בגרסאות השונות שמסרה מ</w:t>
      </w:r>
      <w:r>
        <w:rPr>
          <w:rtl w:val="true"/>
        </w:rPr>
        <w:t xml:space="preserve">' </w:t>
      </w:r>
      <w:r>
        <w:rPr>
          <w:rtl w:val="true"/>
        </w:rPr>
        <w:t>ובכבישת גרסתה</w:t>
      </w:r>
      <w:r>
        <w:rPr>
          <w:rtl w:val="true"/>
        </w:rPr>
        <w:t xml:space="preserve">. </w:t>
      </w:r>
      <w:r>
        <w:rPr>
          <w:rtl w:val="true"/>
        </w:rPr>
        <w:t>לדברי המערער</w:t>
      </w:r>
      <w:r>
        <w:rPr>
          <w:rtl w:val="true"/>
        </w:rPr>
        <w:t xml:space="preserve">, </w:t>
      </w:r>
      <w:r>
        <w:rPr>
          <w:rtl w:val="true"/>
        </w:rPr>
        <w:t xml:space="preserve">בית משפט קמא טעה בכך שלא נתן את דעתו </w:t>
      </w:r>
      <w:r>
        <w:rPr>
          <w:rtl w:val="true"/>
        </w:rPr>
        <w:t>–</w:t>
      </w:r>
      <w:r>
        <w:rPr>
          <w:rtl w:val="true"/>
        </w:rPr>
        <w:t xml:space="preserve"> או</w:t>
      </w:r>
      <w:r>
        <w:rPr>
          <w:rtl w:val="true"/>
        </w:rPr>
        <w:t xml:space="preserve">, </w:t>
      </w:r>
      <w:r>
        <w:rPr>
          <w:rtl w:val="true"/>
        </w:rPr>
        <w:t>למצער</w:t>
      </w:r>
      <w:r>
        <w:rPr>
          <w:rtl w:val="true"/>
        </w:rPr>
        <w:t xml:space="preserve">, </w:t>
      </w:r>
      <w:r>
        <w:rPr>
          <w:rtl w:val="true"/>
        </w:rPr>
        <w:t xml:space="preserve">לא ייחס משקל ראוי </w:t>
      </w:r>
      <w:r>
        <w:rPr>
          <w:rtl w:val="true"/>
        </w:rPr>
        <w:t>–</w:t>
      </w:r>
      <w:r>
        <w:rPr>
          <w:rtl w:val="true"/>
        </w:rPr>
        <w:t xml:space="preserve"> לכך שזיכרונותיה של מ</w:t>
      </w:r>
      <w:r>
        <w:rPr>
          <w:rtl w:val="true"/>
        </w:rPr>
        <w:t xml:space="preserve">' </w:t>
      </w:r>
      <w:r>
        <w:rPr>
          <w:rtl w:val="true"/>
        </w:rPr>
        <w:t>חזרו אליה בעזרת טיפולים של אנשי מקצוע אשר יכול שעיצבו את תוכן עדותה</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בהתבסס על טענות אלה</w:t>
      </w:r>
      <w:r>
        <w:rPr>
          <w:rtl w:val="true"/>
        </w:rPr>
        <w:t xml:space="preserve">, </w:t>
      </w:r>
      <w:r>
        <w:rPr>
          <w:rtl w:val="true"/>
        </w:rPr>
        <w:t>מבקש המערער כי נבטל את פסק הדין קמא ונזכה אותו מעבירות המין בהן הוא נמצא אשם</w:t>
      </w:r>
      <w:r>
        <w:rPr>
          <w:rtl w:val="true"/>
        </w:rPr>
        <w:t xml:space="preserve">. </w:t>
      </w:r>
      <w:r>
        <w:rPr>
          <w:rtl w:val="true"/>
        </w:rPr>
        <w:t>לחלופין מבקש המערער כי נקל בעונשו ככל שניתן</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הבקשות</w:t>
      </w:r>
      <w:r>
        <w:rPr>
          <w:rFonts w:ascii="Century" w:hAnsi="Century" w:eastAsia="Century" w:cs="Century"/>
          <w:b/>
          <w:b/>
          <w:spacing w:val="0"/>
          <w:szCs w:val="24"/>
          <w:rtl w:val="true"/>
        </w:rPr>
        <w:t xml:space="preserve"> </w:t>
      </w:r>
      <w:r>
        <w:rPr>
          <w:rFonts w:ascii="Century" w:hAnsi="Century" w:cs="Miriam"/>
          <w:b/>
          <w:b/>
          <w:spacing w:val="0"/>
          <w:szCs w:val="24"/>
          <w:rtl w:val="true"/>
        </w:rPr>
        <w:t>להוספת</w:t>
      </w:r>
      <w:r>
        <w:rPr>
          <w:rFonts w:ascii="Century" w:hAnsi="Century" w:eastAsia="Century" w:cs="Century"/>
          <w:b/>
          <w:b/>
          <w:spacing w:val="0"/>
          <w:szCs w:val="24"/>
          <w:rtl w:val="true"/>
        </w:rPr>
        <w:t xml:space="preserve"> </w:t>
      </w:r>
      <w:r>
        <w:rPr>
          <w:rFonts w:ascii="Century" w:hAnsi="Century" w:cs="Miriam"/>
          <w:b/>
          <w:b/>
          <w:spacing w:val="0"/>
          <w:szCs w:val="24"/>
          <w:rtl w:val="true"/>
        </w:rPr>
        <w:t>ראי</w:t>
      </w:r>
      <w:r>
        <w:rPr>
          <w:rFonts w:ascii="Century" w:hAnsi="Century" w:cs="Miriam"/>
          <w:b/>
          <w:b/>
          <w:spacing w:val="0"/>
          <w:szCs w:val="24"/>
          <w:rtl w:val="true"/>
        </w:rPr>
        <w:t>ה</w:t>
      </w:r>
    </w:p>
    <w:p>
      <w:pPr>
        <w:pStyle w:val="Ruller4"/>
        <w:ind w:end="0"/>
        <w:jc w:val="both"/>
        <w:rPr>
          <w:rFonts w:ascii="Century" w:hAnsi="Century" w:cs="Century"/>
          <w:b/>
          <w:spacing w:val="0"/>
          <w:szCs w:val="24"/>
        </w:rPr>
      </w:pPr>
      <w:r>
        <w:rPr>
          <w:rFonts w:cs="Century" w:ascii="Century" w:hAnsi="Century"/>
          <w:b/>
          <w:spacing w:val="0"/>
          <w:szCs w:val="24"/>
          <w:rtl w:val="true"/>
        </w:rPr>
      </w:r>
    </w:p>
    <w:p>
      <w:pPr>
        <w:pStyle w:val="Ruller41"/>
        <w:numPr>
          <w:ilvl w:val="0"/>
          <w:numId w:val="1"/>
        </w:numPr>
        <w:ind w:hanging="0" w:start="0" w:end="0"/>
        <w:jc w:val="both"/>
        <w:rPr/>
      </w:pPr>
      <w:r>
        <w:rPr>
          <w:rtl w:val="true"/>
        </w:rPr>
        <w:t>במסגרת ערעורו</w:t>
      </w:r>
      <w:r>
        <w:rPr>
          <w:rtl w:val="true"/>
        </w:rPr>
        <w:t xml:space="preserve">, </w:t>
      </w:r>
      <w:r>
        <w:rPr>
          <w:rtl w:val="true"/>
        </w:rPr>
        <w:t>הניח המערער על שולחננו שתי בקשות להוספת ראיה</w:t>
      </w:r>
      <w:r>
        <w:rPr>
          <w:rtl w:val="true"/>
        </w:rPr>
        <w:t xml:space="preserve">. </w:t>
      </w:r>
      <w:r>
        <w:rPr>
          <w:rtl w:val="true"/>
        </w:rPr>
        <w:t>לטענת המערער</w:t>
      </w:r>
      <w:r>
        <w:rPr>
          <w:rtl w:val="true"/>
        </w:rPr>
        <w:t xml:space="preserve">, </w:t>
      </w:r>
      <w:r>
        <w:rPr>
          <w:rtl w:val="true"/>
        </w:rPr>
        <w:t>הראיות שאותן הוא ביקש להגיש בגדרן של בקשות אלו לא היו בהישג ידו עובר לפסק הדין של הערכאה קמא</w:t>
      </w:r>
      <w:r>
        <w:rPr>
          <w:rtl w:val="true"/>
        </w:rPr>
        <w:t>.</w:t>
      </w:r>
    </w:p>
    <w:p>
      <w:pPr>
        <w:pStyle w:val="Ruller41"/>
        <w:numPr>
          <w:ilvl w:val="0"/>
          <w:numId w:val="1"/>
        </w:numPr>
        <w:ind w:hanging="0" w:start="0" w:end="0"/>
        <w:jc w:val="both"/>
        <w:rPr/>
      </w:pPr>
      <w:r>
        <w:rPr>
          <w:rtl w:val="true"/>
        </w:rPr>
        <w:t>בגדרי הבקשה הראשונה ביקש המערער להגיש את חוזה השכירות לדירת המגורים ברמת שלמה</w:t>
      </w:r>
      <w:r>
        <w:rPr>
          <w:rtl w:val="true"/>
        </w:rPr>
        <w:t xml:space="preserve">, </w:t>
      </w:r>
      <w:r>
        <w:rPr>
          <w:rtl w:val="true"/>
        </w:rPr>
        <w:t>אשר בה</w:t>
      </w:r>
      <w:r>
        <w:rPr>
          <w:rtl w:val="true"/>
        </w:rPr>
        <w:t xml:space="preserve">, </w:t>
      </w:r>
      <w:r>
        <w:rPr>
          <w:rtl w:val="true"/>
        </w:rPr>
        <w:t>לפי הנטען בכתב האישום</w:t>
      </w:r>
      <w:r>
        <w:rPr>
          <w:rtl w:val="true"/>
        </w:rPr>
        <w:t xml:space="preserve">, </w:t>
      </w:r>
      <w:r>
        <w:rPr>
          <w:rtl w:val="true"/>
        </w:rPr>
        <w:t>הלה ביצע חלק ארי ממעשיו</w:t>
      </w:r>
      <w:r>
        <w:rPr>
          <w:rtl w:val="true"/>
        </w:rPr>
        <w:t xml:space="preserve">, </w:t>
      </w:r>
      <w:r>
        <w:rPr>
          <w:rtl w:val="true"/>
        </w:rPr>
        <w:t>וכן מסמך המפרט את היתרות לתשלום ארנונה עבור הדירה הנ</w:t>
      </w:r>
      <w:r>
        <w:rPr>
          <w:rtl w:val="true"/>
        </w:rPr>
        <w:t>"</w:t>
      </w:r>
      <w:r>
        <w:rPr>
          <w:rtl w:val="true"/>
        </w:rPr>
        <w:t>ל</w:t>
      </w:r>
      <w:r>
        <w:rPr>
          <w:rtl w:val="true"/>
        </w:rPr>
        <w:t xml:space="preserve">. </w:t>
      </w:r>
      <w:r>
        <w:rPr>
          <w:rtl w:val="true"/>
        </w:rPr>
        <w:t>לטענת המערער</w:t>
      </w:r>
      <w:r>
        <w:rPr>
          <w:rtl w:val="true"/>
        </w:rPr>
        <w:t xml:space="preserve">, </w:t>
      </w:r>
      <w:r>
        <w:rPr>
          <w:rtl w:val="true"/>
        </w:rPr>
        <w:t>ממסמכים אלו עולה כי מ</w:t>
      </w:r>
      <w:r>
        <w:rPr>
          <w:rtl w:val="true"/>
        </w:rPr>
        <w:t xml:space="preserve">' </w:t>
      </w:r>
      <w:r>
        <w:rPr>
          <w:rtl w:val="true"/>
        </w:rPr>
        <w:t>ומשפחתה כלל לא התגוררו בדירה זו בזמנים שהמעשים הנטענים כביכול בוצעו על ידיו</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בגדרי הבקשה השנייה ביקש המערער להוסיף תצהיר של בעליו של מבנה הקרוואן המצוי בבית הנופש</w:t>
      </w:r>
      <w:r>
        <w:rPr>
          <w:rtl w:val="true"/>
        </w:rPr>
        <w:t xml:space="preserve">, </w:t>
      </w:r>
      <w:r>
        <w:rPr>
          <w:rtl w:val="true"/>
        </w:rPr>
        <w:t>אשר מתואר באירוע הקרוואן עליו העידה מ</w:t>
      </w:r>
      <w:r>
        <w:rPr>
          <w:rtl w:val="true"/>
        </w:rPr>
        <w:t xml:space="preserve">'. </w:t>
      </w:r>
      <w:r>
        <w:rPr>
          <w:rtl w:val="true"/>
        </w:rPr>
        <w:t>לטענת המערער</w:t>
      </w:r>
      <w:r>
        <w:rPr>
          <w:rtl w:val="true"/>
        </w:rPr>
        <w:t xml:space="preserve">, </w:t>
      </w:r>
      <w:r>
        <w:rPr>
          <w:rtl w:val="true"/>
        </w:rPr>
        <w:t>האמור בתצהיר זה פוגם במהימנותה של מ</w:t>
      </w:r>
      <w:r>
        <w:rPr>
          <w:rtl w:val="true"/>
        </w:rPr>
        <w:t xml:space="preserve">', </w:t>
      </w:r>
      <w:r>
        <w:rPr>
          <w:rtl w:val="true"/>
        </w:rPr>
        <w:t>סותר את עדותה בנקודות המהותיות להכרעת הדין</w:t>
      </w:r>
      <w:r>
        <w:rPr>
          <w:rtl w:val="true"/>
        </w:rPr>
        <w:t xml:space="preserve">, </w:t>
      </w:r>
      <w:r>
        <w:rPr>
          <w:rtl w:val="true"/>
        </w:rPr>
        <w:t xml:space="preserve">תוך שהוא מעלה ספק סביר </w:t>
      </w:r>
      <w:r>
        <w:rPr>
          <w:rtl w:val="true"/>
        </w:rPr>
        <w:t>–</w:t>
      </w:r>
      <w:r>
        <w:rPr>
          <w:rtl w:val="true"/>
        </w:rPr>
        <w:t xml:space="preserve"> אם לא למעלה מכך </w:t>
      </w:r>
      <w:r>
        <w:rPr>
          <w:rtl w:val="true"/>
        </w:rPr>
        <w:t>–</w:t>
      </w:r>
      <w:r>
        <w:rPr>
          <w:rtl w:val="true"/>
        </w:rPr>
        <w:t xml:space="preserve"> בנוגע לזהותו של מבצע העבירות שבהן עסקינן</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בהחלטה שנתנו ביום </w:t>
      </w:r>
      <w:r>
        <w:rPr/>
        <w:t>17.1.2019</w:t>
      </w:r>
      <w:r>
        <w:rPr>
          <w:rtl w:val="true"/>
        </w:rPr>
        <w:t xml:space="preserve">, </w:t>
      </w:r>
      <w:r>
        <w:rPr>
          <w:rtl w:val="true"/>
        </w:rPr>
        <w:t>לאחר שקיימנו דיון בבקשות ושמענו את טענות הצדדים</w:t>
      </w:r>
      <w:r>
        <w:rPr>
          <w:rtl w:val="true"/>
        </w:rPr>
        <w:t xml:space="preserve">, </w:t>
      </w:r>
      <w:r>
        <w:rPr>
          <w:rtl w:val="true"/>
        </w:rPr>
        <w:t xml:space="preserve">מצאנו כי הראיות הללו אינן יכולות לשנות את הממצאים והמסקנות שבהכרעת הדין </w:t>
      </w:r>
      <w:r>
        <w:rPr>
          <w:rtl w:val="true"/>
        </w:rPr>
        <w:t>(</w:t>
      </w:r>
      <w:r>
        <w:rPr>
          <w:rtl w:val="true"/>
        </w:rPr>
        <w:t xml:space="preserve">ראו בעניין זה </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3541/17</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17.1.2019</w:t>
      </w:r>
      <w:r>
        <w:rPr>
          <w:rtl w:val="true"/>
        </w:rPr>
        <w:t xml:space="preserve">)).   </w:t>
      </w:r>
      <w:r>
        <w:rPr>
          <w:rtl w:val="true"/>
        </w:rPr>
        <w:t>החלטנו אפוא לדחות את שתי הבקשות</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המדינה</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המדינה טוענת כי הכרעת הדין אשר ניתנה על ידי בית משפט קמא מפורטת</w:t>
      </w:r>
      <w:r>
        <w:rPr>
          <w:rtl w:val="true"/>
        </w:rPr>
        <w:t xml:space="preserve">, </w:t>
      </w:r>
      <w:r>
        <w:rPr>
          <w:rtl w:val="true"/>
        </w:rPr>
        <w:t>מנומקת ומבוססת כל</w:t>
      </w:r>
      <w:r>
        <w:rPr>
          <w:rtl w:val="true"/>
        </w:rPr>
        <w:t>-</w:t>
      </w:r>
      <w:r>
        <w:rPr>
          <w:rtl w:val="true"/>
        </w:rPr>
        <w:t>כולה על ממצאי מהימנות ועובדה שבהם ערכאת הערעור איננה נוהגת להתערב</w:t>
      </w:r>
      <w:r>
        <w:rPr>
          <w:rtl w:val="true"/>
        </w:rPr>
        <w:t xml:space="preserve">. </w:t>
      </w:r>
      <w:r>
        <w:rPr>
          <w:rtl w:val="true"/>
        </w:rPr>
        <w:t>המדינה סבורה כי הערעור על הכרעת הדין צריך להידחות מטעם זה בלבד</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המדינה סומכת את ידיה על פסק הדין קמא</w:t>
      </w:r>
      <w:r>
        <w:rPr>
          <w:rtl w:val="true"/>
        </w:rPr>
        <w:t xml:space="preserve">. </w:t>
      </w:r>
      <w:r>
        <w:rPr>
          <w:rtl w:val="true"/>
        </w:rPr>
        <w:t>לטענתה</w:t>
      </w:r>
      <w:r>
        <w:rPr>
          <w:rtl w:val="true"/>
        </w:rPr>
        <w:t xml:space="preserve">, </w:t>
      </w:r>
      <w:r>
        <w:rPr>
          <w:rtl w:val="true"/>
        </w:rPr>
        <w:t>מ</w:t>
      </w:r>
      <w:r>
        <w:rPr>
          <w:rtl w:val="true"/>
        </w:rPr>
        <w:t xml:space="preserve">' </w:t>
      </w:r>
      <w:r>
        <w:rPr>
          <w:rtl w:val="true"/>
        </w:rPr>
        <w:t xml:space="preserve">מסרה עדות אותנטית </w:t>
      </w:r>
    </w:p>
    <w:p>
      <w:pPr>
        <w:pStyle w:val="Ruller41"/>
        <w:numPr>
          <w:ilvl w:val="0"/>
          <w:numId w:val="0"/>
        </w:numPr>
        <w:ind w:hanging="0" w:start="0" w:end="0"/>
        <w:jc w:val="both"/>
        <w:rPr/>
      </w:pPr>
      <w:r>
        <w:rPr>
          <w:rtl w:val="true"/>
        </w:rPr>
        <w:t>ואמינה</w:t>
      </w:r>
      <w:r>
        <w:rPr>
          <w:rtl w:val="true"/>
        </w:rPr>
        <w:t xml:space="preserve">. </w:t>
      </w:r>
      <w:r>
        <w:rPr>
          <w:rtl w:val="true"/>
        </w:rPr>
        <w:t>לדברי המדינה</w:t>
      </w:r>
      <w:r>
        <w:rPr>
          <w:rtl w:val="true"/>
        </w:rPr>
        <w:t xml:space="preserve">, </w:t>
      </w:r>
      <w:r>
        <w:rPr>
          <w:rtl w:val="true"/>
        </w:rPr>
        <w:t>חיזוקים לעדות זו מצויים בעדותה של ש</w:t>
      </w:r>
      <w:r>
        <w:rPr>
          <w:rtl w:val="true"/>
        </w:rPr>
        <w:t xml:space="preserve">' </w:t>
      </w:r>
      <w:r>
        <w:rPr>
          <w:rtl w:val="true"/>
        </w:rPr>
        <w:t>וכן בתיאורים רוויי הפרטים שמ</w:t>
      </w:r>
      <w:r>
        <w:rPr>
          <w:rtl w:val="true"/>
        </w:rPr>
        <w:t xml:space="preserve">' </w:t>
      </w:r>
      <w:r>
        <w:rPr>
          <w:rtl w:val="true"/>
        </w:rPr>
        <w:t>נתנה</w:t>
      </w:r>
      <w:r>
        <w:rPr>
          <w:rtl w:val="true"/>
        </w:rPr>
        <w:t xml:space="preserve">, </w:t>
      </w:r>
      <w:r>
        <w:rPr>
          <w:rtl w:val="true"/>
        </w:rPr>
        <w:t>בין היתר</w:t>
      </w:r>
      <w:r>
        <w:rPr>
          <w:rtl w:val="true"/>
        </w:rPr>
        <w:t xml:space="preserve">, </w:t>
      </w:r>
      <w:r>
        <w:rPr>
          <w:rtl w:val="true"/>
        </w:rPr>
        <w:t>בנוגע לאירוע המחשב</w:t>
      </w:r>
      <w:r>
        <w:rPr>
          <w:rtl w:val="true"/>
        </w:rPr>
        <w:t xml:space="preserve">, </w:t>
      </w:r>
      <w:r>
        <w:rPr>
          <w:rtl w:val="true"/>
        </w:rPr>
        <w:t>לאירוע הקרוואן ולאירועים שהתרחשו בתוך בית הנופש</w:t>
      </w:r>
      <w:r>
        <w:rPr>
          <w:rtl w:val="true"/>
        </w:rPr>
        <w:t xml:space="preserve">. </w:t>
      </w:r>
      <w:r>
        <w:rPr>
          <w:rtl w:val="true"/>
        </w:rPr>
        <w:t>כל אלה מלמדים על כך שמ</w:t>
      </w:r>
      <w:r>
        <w:rPr>
          <w:rtl w:val="true"/>
        </w:rPr>
        <w:t xml:space="preserve">' </w:t>
      </w:r>
      <w:r>
        <w:rPr>
          <w:rtl w:val="true"/>
        </w:rPr>
        <w:t>לא בדתה דבר מליבה</w:t>
      </w:r>
      <w:r>
        <w:rPr>
          <w:rtl w:val="true"/>
        </w:rPr>
        <w:t xml:space="preserve">. </w:t>
      </w:r>
      <w:r>
        <w:rPr>
          <w:rtl w:val="true"/>
        </w:rPr>
        <w:t>המדינה מוסיפה וטוענת בהקשר זה</w:t>
      </w:r>
      <w:r>
        <w:rPr>
          <w:rtl w:val="true"/>
        </w:rPr>
        <w:t xml:space="preserve">, </w:t>
      </w:r>
      <w:r>
        <w:rPr>
          <w:rtl w:val="true"/>
        </w:rPr>
        <w:t>כי עדותה של מ</w:t>
      </w:r>
      <w:r>
        <w:rPr>
          <w:rtl w:val="true"/>
        </w:rPr>
        <w:t xml:space="preserve">' </w:t>
      </w:r>
      <w:r>
        <w:rPr>
          <w:rtl w:val="true"/>
        </w:rPr>
        <w:t>הינה עקבית ומצביעה על כך שמ</w:t>
      </w:r>
      <w:r>
        <w:rPr>
          <w:rtl w:val="true"/>
        </w:rPr>
        <w:t xml:space="preserve">' </w:t>
      </w:r>
      <w:r>
        <w:rPr>
          <w:rtl w:val="true"/>
        </w:rPr>
        <w:t>מדייקת בדבריה</w:t>
      </w:r>
      <w:r>
        <w:rPr>
          <w:rtl w:val="true"/>
        </w:rPr>
        <w:t xml:space="preserve">, </w:t>
      </w:r>
      <w:r>
        <w:rPr>
          <w:rtl w:val="true"/>
        </w:rPr>
        <w:t>נזהרת מהפרזות ומקפידה לתאר את מעשי המערער כפי שבוצעו</w:t>
      </w:r>
      <w:r>
        <w:rPr>
          <w:rtl w:val="true"/>
        </w:rPr>
        <w:t xml:space="preserve">. </w:t>
      </w:r>
      <w:r>
        <w:rPr>
          <w:rtl w:val="true"/>
        </w:rPr>
        <w:t>בנוגע לשיחה שהתובעת קיימה עם מ</w:t>
      </w:r>
      <w:r>
        <w:rPr>
          <w:rtl w:val="true"/>
        </w:rPr>
        <w:t xml:space="preserve">', </w:t>
      </w:r>
      <w:r>
        <w:rPr>
          <w:rtl w:val="true"/>
        </w:rPr>
        <w:t>המדינה מבהירה כי בשיחה זו הסבירה התובעת למ</w:t>
      </w:r>
      <w:r>
        <w:rPr>
          <w:rtl w:val="true"/>
        </w:rPr>
        <w:t xml:space="preserve">' </w:t>
      </w:r>
      <w:r>
        <w:rPr>
          <w:rtl w:val="true"/>
        </w:rPr>
        <w:t>את ההבדל המשפטי בין מגע</w:t>
      </w:r>
      <w:r>
        <w:rPr>
          <w:rtl w:val="true"/>
        </w:rPr>
        <w:t>-</w:t>
      </w:r>
      <w:r>
        <w:rPr>
          <w:rtl w:val="true"/>
        </w:rPr>
        <w:t xml:space="preserve">יד נכפה עם איבר המין </w:t>
      </w:r>
      <w:r>
        <w:rPr>
          <w:rtl w:val="true"/>
        </w:rPr>
        <w:t>(</w:t>
      </w:r>
      <w:r>
        <w:rPr>
          <w:rtl w:val="true"/>
        </w:rPr>
        <w:t>מעשה מגונה</w:t>
      </w:r>
      <w:r>
        <w:rPr>
          <w:rtl w:val="true"/>
        </w:rPr>
        <w:t xml:space="preserve">) </w:t>
      </w:r>
      <w:r>
        <w:rPr>
          <w:rtl w:val="true"/>
        </w:rPr>
        <w:t xml:space="preserve">לבין חדירה נכפית של אצבע אל תוך איבר המין </w:t>
      </w:r>
      <w:r>
        <w:rPr>
          <w:rtl w:val="true"/>
        </w:rPr>
        <w:t>(</w:t>
      </w:r>
      <w:r>
        <w:rPr>
          <w:rtl w:val="true"/>
        </w:rPr>
        <w:t>אינוס</w:t>
      </w:r>
      <w:r>
        <w:rPr>
          <w:rtl w:val="true"/>
        </w:rPr>
        <w:t xml:space="preserve">). </w:t>
      </w:r>
      <w:r>
        <w:rPr>
          <w:rtl w:val="true"/>
        </w:rPr>
        <w:t>המדינה מוסיפה וטוענת בעניין זה כי כך גם מסרה מ</w:t>
      </w:r>
      <w:r>
        <w:rPr>
          <w:rtl w:val="true"/>
        </w:rPr>
        <w:t xml:space="preserve">' </w:t>
      </w:r>
      <w:r>
        <w:rPr>
          <w:rtl w:val="true"/>
        </w:rPr>
        <w:t>בעדותה ועל כן אין שחר לטענה כי התובעת שתלה במוחה של מ</w:t>
      </w:r>
      <w:r>
        <w:rPr>
          <w:rtl w:val="true"/>
        </w:rPr>
        <w:t xml:space="preserve">' </w:t>
      </w:r>
      <w:r>
        <w:rPr>
          <w:rtl w:val="true"/>
        </w:rPr>
        <w:t>את הרעיון של חדירת האצבעות</w:t>
      </w:r>
      <w:r>
        <w:rPr>
          <w:rtl w:val="true"/>
        </w:rPr>
        <w:t xml:space="preserve">. </w:t>
      </w:r>
      <w:r>
        <w:rPr>
          <w:rtl w:val="true"/>
        </w:rPr>
        <w:t>המדינה גם מפנה אותנו לעדותה של מ</w:t>
      </w:r>
      <w:r>
        <w:rPr>
          <w:rtl w:val="true"/>
        </w:rPr>
        <w:t xml:space="preserve">' </w:t>
      </w:r>
      <w:r>
        <w:rPr>
          <w:rtl w:val="true"/>
        </w:rPr>
        <w:t>בנוגע לכאבים שחשה באיבר מינה אחרי שהמערער החדיר לתוכו את אצבעו</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המדינה דוחה בשתי ידיים את טענת המערער כי זיכרונותי</w:t>
      </w:r>
      <w:r>
        <w:rPr>
          <w:rtl w:val="true"/>
        </w:rPr>
        <w:t>ה</w:t>
      </w:r>
      <w:r>
        <w:rPr>
          <w:rtl w:val="true"/>
        </w:rPr>
        <w:t xml:space="preserve"> של מ</w:t>
      </w:r>
      <w:r>
        <w:rPr>
          <w:rtl w:val="true"/>
        </w:rPr>
        <w:t xml:space="preserve">' </w:t>
      </w:r>
      <w:r>
        <w:rPr>
          <w:rtl w:val="true"/>
        </w:rPr>
        <w:t>הינם מודחקים</w:t>
      </w:r>
      <w:r>
        <w:rPr>
          <w:rtl w:val="true"/>
        </w:rPr>
        <w:t xml:space="preserve">, </w:t>
      </w:r>
      <w:r>
        <w:rPr>
          <w:rtl w:val="true"/>
        </w:rPr>
        <w:t>קרי</w:t>
      </w:r>
      <w:r>
        <w:rPr>
          <w:rtl w:val="true"/>
        </w:rPr>
        <w:t xml:space="preserve">: </w:t>
      </w:r>
      <w:r>
        <w:rPr>
          <w:rtl w:val="true"/>
        </w:rPr>
        <w:t>זיכרונו</w:t>
      </w:r>
      <w:r>
        <w:rPr>
          <w:rtl w:val="true"/>
        </w:rPr>
        <w:t>ת</w:t>
      </w:r>
      <w:r>
        <w:rPr>
          <w:rtl w:val="true"/>
        </w:rPr>
        <w:t xml:space="preserve"> אשר לפרק זמן מסוים נמחקו כליל מזיכרונה וצפו בהמשך</w:t>
      </w:r>
      <w:r>
        <w:rPr>
          <w:rtl w:val="true"/>
        </w:rPr>
        <w:t xml:space="preserve">. </w:t>
      </w:r>
      <w:r>
        <w:rPr>
          <w:rtl w:val="true"/>
        </w:rPr>
        <w:t>לטענת המדינה</w:t>
      </w:r>
      <w:r>
        <w:rPr>
          <w:rtl w:val="true"/>
        </w:rPr>
        <w:t xml:space="preserve">, </w:t>
      </w:r>
      <w:r>
        <w:rPr>
          <w:rtl w:val="true"/>
        </w:rPr>
        <w:t>מדובר בזיכרון רציף</w:t>
      </w:r>
      <w:r>
        <w:rPr>
          <w:rtl w:val="true"/>
        </w:rPr>
        <w:t xml:space="preserve">: </w:t>
      </w:r>
      <w:r>
        <w:rPr>
          <w:rtl w:val="true"/>
        </w:rPr>
        <w:t>מ</w:t>
      </w:r>
      <w:r>
        <w:rPr>
          <w:rtl w:val="true"/>
        </w:rPr>
        <w:t xml:space="preserve">' </w:t>
      </w:r>
      <w:r>
        <w:rPr>
          <w:rtl w:val="true"/>
        </w:rPr>
        <w:t xml:space="preserve">השתמשה אמנם בעדותה במונח </w:t>
      </w:r>
      <w:r>
        <w:rPr>
          <w:rtl w:val="true"/>
        </w:rPr>
        <w:t>"</w:t>
      </w:r>
      <w:r>
        <w:rPr>
          <w:rtl w:val="true"/>
        </w:rPr>
        <w:t>הדחקה</w:t>
      </w:r>
      <w:r>
        <w:rPr>
          <w:rtl w:val="true"/>
        </w:rPr>
        <w:t xml:space="preserve">", </w:t>
      </w:r>
      <w:r>
        <w:rPr>
          <w:rtl w:val="true"/>
        </w:rPr>
        <w:t>אך מדבריה עולה בבירור כי לא מדובר בזיכרון מודחק</w:t>
      </w:r>
      <w:r>
        <w:rPr>
          <w:rtl w:val="true"/>
        </w:rPr>
        <w:t xml:space="preserve">. </w:t>
      </w:r>
      <w:r>
        <w:rPr>
          <w:rtl w:val="true"/>
        </w:rPr>
        <w:t>לעניין זה</w:t>
      </w:r>
      <w:r>
        <w:rPr>
          <w:rtl w:val="true"/>
        </w:rPr>
        <w:t xml:space="preserve">, </w:t>
      </w:r>
      <w:r>
        <w:rPr>
          <w:rtl w:val="true"/>
        </w:rPr>
        <w:t>מוסיפה המדינה ומדגישה כי טענת המערער אשר מייחסת למ</w:t>
      </w:r>
      <w:r>
        <w:rPr>
          <w:rtl w:val="true"/>
        </w:rPr>
        <w:t xml:space="preserve">' </w:t>
      </w:r>
      <w:r>
        <w:rPr>
          <w:rtl w:val="true"/>
        </w:rPr>
        <w:t>זיכרונות מודחקים הועלתה אך בשלב הערעור</w:t>
      </w:r>
      <w:r>
        <w:rPr>
          <w:rtl w:val="true"/>
        </w:rPr>
        <w:t xml:space="preserve">, </w:t>
      </w:r>
      <w:r>
        <w:rPr>
          <w:rtl w:val="true"/>
        </w:rPr>
        <w:t>מבלי שמ</w:t>
      </w:r>
      <w:r>
        <w:rPr>
          <w:rtl w:val="true"/>
        </w:rPr>
        <w:t xml:space="preserve">' </w:t>
      </w:r>
      <w:r>
        <w:rPr>
          <w:rtl w:val="true"/>
        </w:rPr>
        <w:t>נחקרה בנושא זה ומבלי שתוגש חוות דעת מקצועית כלשהי בנושא</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המדינה יוצאת נגד טענת המערער אשר באה להטיל ספק בזיהויו כמי שביצע את המעשים האסורים במ</w:t>
      </w:r>
      <w:r>
        <w:rPr>
          <w:rtl w:val="true"/>
        </w:rPr>
        <w:t xml:space="preserve">'. </w:t>
      </w:r>
      <w:r>
        <w:rPr>
          <w:rtl w:val="true"/>
        </w:rPr>
        <w:t xml:space="preserve">מעשים אלו </w:t>
      </w:r>
      <w:r>
        <w:rPr>
          <w:rtl w:val="true"/>
        </w:rPr>
        <w:t>–</w:t>
      </w:r>
      <w:r>
        <w:rPr>
          <w:rtl w:val="true"/>
        </w:rPr>
        <w:t xml:space="preserve"> כך טוענת המדינה </w:t>
      </w:r>
      <w:r>
        <w:rPr>
          <w:rtl w:val="true"/>
        </w:rPr>
        <w:t>–</w:t>
      </w:r>
      <w:r>
        <w:rPr>
          <w:rtl w:val="true"/>
        </w:rPr>
        <w:t xml:space="preserve"> נעשו אמנם ברובם בשעת לילה מאוחרת</w:t>
      </w:r>
      <w:r>
        <w:rPr>
          <w:rtl w:val="true"/>
        </w:rPr>
        <w:t xml:space="preserve">, </w:t>
      </w:r>
      <w:r>
        <w:rPr>
          <w:rtl w:val="true"/>
        </w:rPr>
        <w:t>אך מ</w:t>
      </w:r>
      <w:r>
        <w:rPr>
          <w:rtl w:val="true"/>
        </w:rPr>
        <w:t xml:space="preserve">' </w:t>
      </w:r>
      <w:r>
        <w:rPr>
          <w:rtl w:val="true"/>
        </w:rPr>
        <w:t>הסבירה בעדותה כי היא זיהתה את המערער בוודאות כמי שביצעם ובית משפט קמא מצא את דבריה אמינים מעבר לכל ספק סביר</w:t>
      </w:r>
      <w:r>
        <w:rPr>
          <w:rtl w:val="true"/>
        </w:rPr>
        <w:t xml:space="preserve">. </w:t>
      </w:r>
      <w:r>
        <w:rPr>
          <w:rtl w:val="true"/>
        </w:rPr>
        <w:t>בהקשר זה</w:t>
      </w:r>
      <w:r>
        <w:rPr>
          <w:rtl w:val="true"/>
        </w:rPr>
        <w:t xml:space="preserve">, </w:t>
      </w:r>
      <w:r>
        <w:rPr>
          <w:rtl w:val="true"/>
        </w:rPr>
        <w:t>מבקשת המדינה כי נזכור את אירוע המחשב</w:t>
      </w:r>
      <w:r>
        <w:rPr>
          <w:rtl w:val="true"/>
        </w:rPr>
        <w:t xml:space="preserve">, </w:t>
      </w:r>
      <w:r>
        <w:rPr>
          <w:rtl w:val="true"/>
        </w:rPr>
        <w:t>אשר אירע לאור יום</w:t>
      </w:r>
      <w:r>
        <w:rPr>
          <w:rtl w:val="true"/>
        </w:rPr>
        <w:t xml:space="preserve">, </w:t>
      </w:r>
      <w:r>
        <w:rPr>
          <w:rtl w:val="true"/>
        </w:rPr>
        <w:t>ואת עדותה של ש</w:t>
      </w:r>
      <w:r>
        <w:rPr>
          <w:rtl w:val="true"/>
        </w:rPr>
        <w:t xml:space="preserve">' </w:t>
      </w:r>
      <w:r>
        <w:rPr>
          <w:rtl w:val="true"/>
        </w:rPr>
        <w:t>אשר מחזקת את דברי המתלוננת בעניין הזיהוי בדרכה של עדות שיטה</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באשר להרשעת המערער בגין המקרה המכונה אירוע הפד</w:t>
      </w:r>
      <w:r>
        <w:rPr>
          <w:rtl w:val="true"/>
        </w:rPr>
        <w:t xml:space="preserve"> </w:t>
      </w:r>
      <w:r>
        <w:rPr>
          <w:rtl w:val="true"/>
        </w:rPr>
        <w:t xml:space="preserve">– </w:t>
      </w:r>
      <w:r>
        <w:rPr>
          <w:rtl w:val="true"/>
        </w:rPr>
        <w:t>מקרה אשר בו הרגיש המערער כי מ</w:t>
      </w:r>
      <w:r>
        <w:rPr>
          <w:rtl w:val="true"/>
        </w:rPr>
        <w:t xml:space="preserve">' </w:t>
      </w:r>
      <w:r>
        <w:rPr>
          <w:rtl w:val="true"/>
        </w:rPr>
        <w:t xml:space="preserve">במחזור ועל כן לא החדיר את אצבעו לאיבר מינה </w:t>
      </w:r>
      <w:r>
        <w:rPr>
          <w:rtl w:val="true"/>
        </w:rPr>
        <w:t>–</w:t>
      </w:r>
      <w:r>
        <w:rPr>
          <w:rtl w:val="true"/>
        </w:rPr>
        <w:t xml:space="preserve"> המדינה טוענת כי גם אם עובדותיו של מקרה זה לא פורטו בכתב האישום הרי שהוא מכוסה על ידי התיאור הכללי של מעשי המערער בכתב האישום</w:t>
      </w:r>
      <w:r>
        <w:rPr>
          <w:rtl w:val="true"/>
        </w:rPr>
        <w:t xml:space="preserve">. </w:t>
      </w:r>
      <w:r>
        <w:rPr>
          <w:rtl w:val="true"/>
        </w:rPr>
        <w:t>המדינה מוסיפה ומציינת בעניין זה כי המערער הכחיש מכל וכל את התרחשותם של כל המקרים הללו במסגרת הגנתו</w:t>
      </w:r>
      <w:r>
        <w:rPr>
          <w:rtl w:val="true"/>
        </w:rPr>
        <w:t xml:space="preserve">, </w:t>
      </w:r>
      <w:r>
        <w:rPr>
          <w:rtl w:val="true"/>
        </w:rPr>
        <w:t>ועל כן חשיפתו של אירוע הפד לא יכול היה לקפח את ההגנה</w:t>
      </w:r>
      <w:r>
        <w:rPr>
          <w:rtl w:val="true"/>
        </w:rPr>
        <w:t xml:space="preserve">. </w:t>
      </w:r>
      <w:r>
        <w:rPr>
          <w:rtl w:val="true"/>
        </w:rPr>
        <w:t>עוד יודגש כי תרשומת בדבר האירוע הועברה לב</w:t>
      </w:r>
      <w:r>
        <w:rPr>
          <w:rtl w:val="true"/>
        </w:rPr>
        <w:t>"</w:t>
      </w:r>
      <w:r>
        <w:rPr>
          <w:rtl w:val="true"/>
        </w:rPr>
        <w:t>כ המערער עובר לעדות המתלוננת</w:t>
      </w:r>
      <w:r>
        <w:rPr>
          <w:rtl w:val="true"/>
        </w:rPr>
        <w:t xml:space="preserve">. </w:t>
      </w:r>
      <w:r>
        <w:rPr>
          <w:rtl w:val="true"/>
        </w:rPr>
        <w:t>בהתבסס על כל זה נטען כי זכות המערער להתגונן לא נפגעה כהוא זה ובדין הוא הורשע גם בגין מעשיו באירוע הפד</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באשר לטענות המערער שעניינן עלילת דם מצד המתלוננות והוריהן</w:t>
      </w:r>
      <w:r>
        <w:rPr>
          <w:rtl w:val="true"/>
        </w:rPr>
        <w:t xml:space="preserve">, </w:t>
      </w:r>
      <w:r>
        <w:rPr>
          <w:rtl w:val="true"/>
        </w:rPr>
        <w:t>המדינה טוענת כי בית משפט קמא דחה אותן מכל וכל מפאת חוסר אמינות וחוסר ראיות</w:t>
      </w:r>
      <w:r>
        <w:rPr>
          <w:rtl w:val="true"/>
        </w:rPr>
        <w:t xml:space="preserve">. </w:t>
      </w:r>
      <w:r>
        <w:rPr>
          <w:rtl w:val="true"/>
        </w:rPr>
        <w:t>בהקשר זה</w:t>
      </w:r>
      <w:r>
        <w:rPr>
          <w:rtl w:val="true"/>
        </w:rPr>
        <w:t xml:space="preserve">, </w:t>
      </w:r>
      <w:r>
        <w:rPr>
          <w:rtl w:val="true"/>
        </w:rPr>
        <w:t>מבקשת המדינה כי נזכור שהמתלוננות והוריהן לא ששו לפנות למשטרה ועשו כן רק בעקבות שיג ושיח ושכנוע מצד הרשויות</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באשר למחדלי החקירה הנטענים</w:t>
      </w:r>
      <w:r>
        <w:rPr>
          <w:rtl w:val="true"/>
        </w:rPr>
        <w:t xml:space="preserve">, </w:t>
      </w:r>
      <w:r>
        <w:rPr>
          <w:rtl w:val="true"/>
        </w:rPr>
        <w:t>טוענת המדינה כי זימנה את כל העדים הרלבנטיי</w:t>
      </w:r>
      <w:r>
        <w:rPr>
          <w:rtl w:val="true"/>
        </w:rPr>
        <w:t>ם</w:t>
      </w:r>
      <w:r>
        <w:rPr>
          <w:rtl w:val="true"/>
        </w:rPr>
        <w:t xml:space="preserve"> למתן עדות ובית משפט קמא קבע כי הונחה בפניו תשתית ראייתית מספקת</w:t>
      </w:r>
      <w:r>
        <w:rPr>
          <w:rtl w:val="true"/>
        </w:rPr>
        <w:t xml:space="preserve">. </w:t>
      </w:r>
      <w:r>
        <w:rPr>
          <w:rtl w:val="true"/>
        </w:rPr>
        <w:t>זאת ועוד</w:t>
      </w:r>
      <w:r>
        <w:rPr>
          <w:rtl w:val="true"/>
        </w:rPr>
        <w:t xml:space="preserve">: </w:t>
      </w:r>
      <w:r>
        <w:rPr>
          <w:rtl w:val="true"/>
        </w:rPr>
        <w:t>חזקה על המערער כי הוא עצמו היה מזמן את העדים</w:t>
      </w:r>
      <w:r>
        <w:rPr>
          <w:rtl w:val="true"/>
        </w:rPr>
        <w:t xml:space="preserve">, </w:t>
      </w:r>
      <w:r>
        <w:rPr>
          <w:rtl w:val="true"/>
        </w:rPr>
        <w:t>שלדבריו היו חסרים</w:t>
      </w:r>
      <w:r>
        <w:rPr>
          <w:rtl w:val="true"/>
        </w:rPr>
        <w:t xml:space="preserve">, </w:t>
      </w:r>
      <w:r>
        <w:rPr>
          <w:rtl w:val="true"/>
        </w:rPr>
        <w:t>אילו סבר כי עדותם תסייע לו</w:t>
      </w:r>
      <w:r>
        <w:rPr>
          <w:rtl w:val="true"/>
        </w:rPr>
        <w:t xml:space="preserve">. </w:t>
      </w:r>
    </w:p>
    <w:p>
      <w:pPr>
        <w:pStyle w:val="Ruller41"/>
        <w:numPr>
          <w:ilvl w:val="0"/>
          <w:numId w:val="0"/>
        </w:numPr>
        <w:ind w:hanging="0" w:start="0" w:end="0"/>
        <w:jc w:val="both"/>
        <w:rPr>
          <w:rFonts w:ascii="Arial TUR;Arial" w:hAnsi="Arial TUR;Arial" w:cs="Arial TUR;Arial"/>
          <w:sz w:val="22"/>
        </w:rPr>
      </w:pPr>
      <w:r>
        <w:rPr>
          <w:rFonts w:cs="Arial TUR;Arial" w:ascii="Arial TUR;Arial" w:hAnsi="Arial TUR;Arial"/>
          <w:sz w:val="22"/>
          <w:rtl w:val="true"/>
        </w:rPr>
      </w:r>
    </w:p>
    <w:p>
      <w:pPr>
        <w:pStyle w:val="Ruller41"/>
        <w:numPr>
          <w:ilvl w:val="0"/>
          <w:numId w:val="1"/>
        </w:numPr>
        <w:ind w:hanging="0" w:start="0" w:end="0"/>
        <w:jc w:val="both"/>
        <w:rPr/>
      </w:pPr>
      <w:r>
        <w:rPr>
          <w:rtl w:val="true"/>
        </w:rPr>
        <w:t xml:space="preserve">המדינה מסכמת את ענייני ההוכחה בטענה כי קביעותיו של בית משפט קמא בנוגע לעובדות המקרה </w:t>
      </w:r>
      <w:r>
        <w:rPr>
          <w:rtl w:val="true"/>
        </w:rPr>
        <w:t>–</w:t>
      </w:r>
      <w:r>
        <w:rPr>
          <w:rtl w:val="true"/>
        </w:rPr>
        <w:t xml:space="preserve"> ובפרט</w:t>
      </w:r>
      <w:r>
        <w:rPr>
          <w:rtl w:val="true"/>
        </w:rPr>
        <w:t xml:space="preserve">, </w:t>
      </w:r>
      <w:r>
        <w:rPr>
          <w:rtl w:val="true"/>
        </w:rPr>
        <w:t>בנוגע למהימנותה של מ</w:t>
      </w:r>
      <w:r>
        <w:rPr>
          <w:rtl w:val="true"/>
        </w:rPr>
        <w:t xml:space="preserve">' </w:t>
      </w:r>
      <w:r>
        <w:rPr>
          <w:rtl w:val="true"/>
        </w:rPr>
        <w:t>–</w:t>
      </w:r>
      <w:r>
        <w:rPr>
          <w:rtl w:val="true"/>
        </w:rPr>
        <w:t xml:space="preserve"> </w:t>
      </w:r>
      <w:r>
        <w:rPr>
          <w:rtl w:val="true"/>
        </w:rPr>
        <w:t>הינן מבוססות ומעוגנות היטב בחומר הראיות</w:t>
      </w:r>
      <w:r>
        <w:rPr>
          <w:rtl w:val="true"/>
        </w:rPr>
        <w:t xml:space="preserve">. </w:t>
      </w:r>
      <w:r>
        <w:rPr>
          <w:rtl w:val="true"/>
        </w:rPr>
        <w:t>המדינה מוסיפה ומבהירה כי לעדותה של מ</w:t>
      </w:r>
      <w:r>
        <w:rPr>
          <w:rtl w:val="true"/>
        </w:rPr>
        <w:t xml:space="preserve">' </w:t>
      </w:r>
      <w:r>
        <w:rPr>
          <w:rtl w:val="true"/>
        </w:rPr>
        <w:t>יש חיזוקים רבים בחומר הראיות ועל כן אין מדובר כאן בהרשעה על סמך עדותה היחידה של הנפגעת מעבירת מין</w:t>
      </w:r>
      <w:r>
        <w:rPr>
          <w:rtl w:val="true"/>
        </w:rPr>
        <w:t xml:space="preserve">, </w:t>
      </w:r>
      <w:r>
        <w:rPr>
          <w:rtl w:val="true"/>
        </w:rPr>
        <w:t xml:space="preserve">אשר טעונה הנמקה מיוחדת מצד בית המשפט כמצוותו של </w:t>
      </w:r>
      <w:hyperlink r:id="rId26">
        <w:r>
          <w:rPr>
            <w:rStyle w:val="Hyperlink"/>
            <w:color w:val="0000FF"/>
            <w:u w:val="single"/>
            <w:rtl w:val="true"/>
          </w:rPr>
          <w:t>סעיף</w:t>
        </w:r>
        <w:r>
          <w:rPr>
            <w:rStyle w:val="Hyperlink"/>
            <w:color w:val="0000FF"/>
            <w:u w:val="single"/>
            <w:rtl w:val="true"/>
          </w:rPr>
          <w:t xml:space="preserve"> </w:t>
        </w:r>
        <w:r>
          <w:rPr>
            <w:rStyle w:val="Hyperlink"/>
            <w:color w:val="0000FF"/>
            <w:u w:val="single"/>
          </w:rPr>
          <w:t>54</w:t>
        </w:r>
        <w:r>
          <w:rPr>
            <w:rStyle w:val="Hyperlink"/>
            <w:color w:val="0000FF"/>
            <w:u w:val="single"/>
            <w:rtl w:val="true"/>
          </w:rPr>
          <w:t>א</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27">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w:t>
      </w:r>
      <w:r>
        <w:rPr>
          <w:rtl w:val="true"/>
        </w:rPr>
        <w:t>נוסח חדש</w:t>
      </w:r>
      <w:r>
        <w:rPr>
          <w:rtl w:val="true"/>
        </w:rPr>
        <w:t xml:space="preserve">], </w:t>
      </w:r>
      <w:r>
        <w:rPr>
          <w:rtl w:val="true"/>
        </w:rPr>
        <w:t>התשל</w:t>
      </w:r>
      <w:r>
        <w:rPr>
          <w:rtl w:val="true"/>
        </w:rPr>
        <w:t>"</w:t>
      </w:r>
      <w:r>
        <w:rPr>
          <w:rtl w:val="true"/>
        </w:rPr>
        <w:t>א</w:t>
      </w:r>
      <w:r>
        <w:rPr>
          <w:rtl w:val="true"/>
        </w:rPr>
        <w:t>-</w:t>
      </w:r>
      <w:r>
        <w:rPr/>
        <w:t>1971</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פקודת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באשר לעניין השיהוי בהגשת כתב האישום</w:t>
      </w:r>
      <w:r>
        <w:rPr>
          <w:rtl w:val="true"/>
        </w:rPr>
        <w:t xml:space="preserve">, </w:t>
      </w:r>
      <w:r>
        <w:rPr>
          <w:rtl w:val="true"/>
        </w:rPr>
        <w:t>המדינה מדגישה כי לא כל מחדל של התביעה והמשטרה מצדיק את הפעלת ההגנה מן הצדק באופן שיבטל את כתב האישום</w:t>
      </w:r>
      <w:r>
        <w:rPr>
          <w:rtl w:val="true"/>
        </w:rPr>
        <w:t xml:space="preserve">. </w:t>
      </w:r>
      <w:r>
        <w:rPr>
          <w:rtl w:val="true"/>
        </w:rPr>
        <w:t>בענייננו ניתן למערער סעד מתאים במסגרתו של גזר הדין</w:t>
      </w:r>
      <w:r>
        <w:rPr>
          <w:rtl w:val="true"/>
        </w:rPr>
        <w:t xml:space="preserve">: </w:t>
      </w:r>
      <w:r>
        <w:rPr>
          <w:rtl w:val="true"/>
        </w:rPr>
        <w:t>הקלה בעונש</w:t>
      </w:r>
      <w:r>
        <w:rPr>
          <w:rtl w:val="true"/>
        </w:rPr>
        <w:t xml:space="preserve">, </w:t>
      </w:r>
      <w:r>
        <w:rPr>
          <w:rtl w:val="true"/>
        </w:rPr>
        <w:t>שבנסיבות רגילות עולה באופן משמעותי על עונשו של המערער</w:t>
      </w:r>
      <w:r>
        <w:rPr>
          <w:rtl w:val="true"/>
        </w:rPr>
        <w:t xml:space="preserve">. </w:t>
      </w:r>
      <w:r>
        <w:rPr>
          <w:rtl w:val="true"/>
        </w:rPr>
        <w:t>המדינה מוסיפה וטוענת בהקשר זה כי נוכח חומרת מעשיו של המערער לא היה מקום להורות על זיכויו בשל המחדל הנטען וכי בית משפט קמא צדק בהחליטו להסתפק במתן הקלה בעונש</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בעניין הערעור על גזר הדין</w:t>
      </w:r>
      <w:r>
        <w:rPr>
          <w:rtl w:val="true"/>
        </w:rPr>
        <w:t xml:space="preserve">, </w:t>
      </w:r>
      <w:r>
        <w:rPr>
          <w:rtl w:val="true"/>
        </w:rPr>
        <w:t>המדינה טוענת כי העונש שהושת על המערער הינו ראוי ומאוזן</w:t>
      </w:r>
      <w:r>
        <w:rPr>
          <w:rtl w:val="true"/>
        </w:rPr>
        <w:t xml:space="preserve">. </w:t>
      </w:r>
      <w:r>
        <w:rPr>
          <w:rtl w:val="true"/>
        </w:rPr>
        <w:t>המדינה מפרטת וטוענת כי בית משפט קמא שקל את כל השיקולים הרלבנטיים לקביעתו של עונש זה</w:t>
      </w:r>
      <w:r>
        <w:rPr>
          <w:rtl w:val="true"/>
        </w:rPr>
        <w:t xml:space="preserve">, </w:t>
      </w:r>
      <w:r>
        <w:rPr>
          <w:rtl w:val="true"/>
        </w:rPr>
        <w:t>ולנו כערכאת הערעור אין אפוא כל עילה להתערב בגזר הדין</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rFonts w:ascii="Century" w:hAnsi="Century" w:cs="Century"/>
          <w:sz w:val="22"/>
        </w:rPr>
      </w:pPr>
      <w:r>
        <w:rPr>
          <w:rFonts w:eastAsia="Garamond"/>
          <w:rtl w:val="true"/>
        </w:rPr>
        <w:t xml:space="preserve"> </w:t>
      </w:r>
      <w:r>
        <w:rPr>
          <w:rtl w:val="true"/>
        </w:rPr>
        <w:t xml:space="preserve">הלכה היא עמנו כי בית משפט זה ביושבו כערכאת ערעור בהליך פלילי לא יתערב בממצאים עובדתיים אשר נקבעו על ידי הערכאה הדיונית אלא במקרים חריגים של טעות משפטית וקיפוח זכות שיש בהם כדי לשנות את תוצאת המשפט או בהימצא פגם בקבלת ראיות או בניתוחן אשר יורד לשורש העניין </w:t>
      </w:r>
      <w:r>
        <w:rPr>
          <w:rtl w:val="true"/>
        </w:rPr>
        <w:t>(</w:t>
      </w:r>
      <w:r>
        <w:rPr>
          <w:rtl w:val="true"/>
        </w:rPr>
        <w:t>ראו למשל</w:t>
      </w:r>
      <w:r>
        <w:rPr>
          <w:rtl w:val="true"/>
        </w:rPr>
        <w:t xml:space="preserve">: </w:t>
      </w:r>
      <w:hyperlink r:id="rId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8146/09</w:t>
        </w:r>
      </w:hyperlink>
      <w:r>
        <w:rPr>
          <w:rtl w:val="true"/>
        </w:rPr>
        <w:t xml:space="preserve"> </w:t>
      </w:r>
      <w:r>
        <w:rPr>
          <w:rFonts w:ascii="Century" w:hAnsi="Century" w:cs="Miriam"/>
          <w:b/>
          <w:b/>
          <w:spacing w:val="0"/>
          <w:sz w:val="22"/>
          <w:sz w:val="22"/>
          <w:szCs w:val="24"/>
          <w:rtl w:val="true"/>
        </w:rPr>
        <w:t>אבשלום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פסקאות </w:t>
      </w:r>
      <w:r>
        <w:rPr>
          <w:rFonts w:cs="Century" w:ascii="Century" w:hAnsi="Century"/>
          <w:sz w:val="22"/>
        </w:rPr>
        <w:t>21-12</w:t>
      </w:r>
      <w:r>
        <w:rPr>
          <w:rFonts w:cs="Century" w:ascii="Century" w:hAnsi="Century"/>
          <w:sz w:val="22"/>
          <w:rtl w:val="true"/>
        </w:rPr>
        <w:t xml:space="preserve"> </w:t>
      </w:r>
      <w:r>
        <w:rPr>
          <w:rFonts w:ascii="Century" w:hAnsi="Century" w:cs="Century"/>
          <w:sz w:val="22"/>
          <w:sz w:val="22"/>
          <w:rtl w:val="true"/>
        </w:rPr>
        <w:t xml:space="preserve">לפסק הדין וההפניות שם </w:t>
      </w:r>
      <w:r>
        <w:rPr>
          <w:rFonts w:cs="Century" w:ascii="Century" w:hAnsi="Century"/>
          <w:sz w:val="22"/>
          <w:rtl w:val="true"/>
        </w:rPr>
        <w:t>(</w:t>
      </w:r>
      <w:r>
        <w:rPr>
          <w:rFonts w:cs="Century" w:ascii="Century" w:hAnsi="Century"/>
          <w:sz w:val="22"/>
        </w:rPr>
        <w:t>8.9.2011</w:t>
      </w:r>
      <w:r>
        <w:rPr>
          <w:rFonts w:cs="Century" w:ascii="Century" w:hAnsi="Century"/>
          <w:sz w:val="22"/>
          <w:rtl w:val="true"/>
        </w:rPr>
        <w:t xml:space="preserve">); </w:t>
      </w:r>
      <w:r>
        <w:rPr>
          <w:rFonts w:ascii="Century" w:hAnsi="Century" w:cs="Century"/>
          <w:sz w:val="22"/>
          <w:sz w:val="22"/>
          <w:rtl w:val="true"/>
        </w:rPr>
        <w:t xml:space="preserve">וכן </w:t>
      </w:r>
      <w:hyperlink r:id="rId29">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774/13</w:t>
        </w:r>
      </w:hyperlink>
      <w:r>
        <w:rPr>
          <w:rFonts w:cs="Century" w:ascii="Century" w:hAnsi="Century"/>
          <w:sz w:val="22"/>
          <w:rtl w:val="true"/>
        </w:rPr>
        <w:t xml:space="preserve"> </w:t>
      </w:r>
      <w:r>
        <w:rPr>
          <w:rFonts w:ascii="Century" w:hAnsi="Century" w:cs="Miriam"/>
          <w:b/>
          <w:b/>
          <w:spacing w:val="0"/>
          <w:sz w:val="22"/>
          <w:sz w:val="22"/>
          <w:szCs w:val="24"/>
          <w:rtl w:val="true"/>
        </w:rPr>
        <w:t>סלאם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9</w:t>
      </w:r>
      <w:r>
        <w:rPr>
          <w:rFonts w:cs="Century" w:ascii="Century" w:hAnsi="Century"/>
          <w:sz w:val="22"/>
          <w:rtl w:val="true"/>
        </w:rPr>
        <w:t xml:space="preserve"> </w:t>
      </w:r>
      <w:r>
        <w:rPr>
          <w:rFonts w:ascii="Century" w:hAnsi="Century" w:cs="Century"/>
          <w:sz w:val="22"/>
          <w:sz w:val="22"/>
          <w:rtl w:val="true"/>
        </w:rPr>
        <w:t xml:space="preserve">וההפניות שם </w:t>
      </w:r>
      <w:r>
        <w:rPr>
          <w:rFonts w:cs="Century" w:ascii="Century" w:hAnsi="Century"/>
          <w:sz w:val="22"/>
          <w:rtl w:val="true"/>
        </w:rPr>
        <w:t>(</w:t>
      </w:r>
      <w:r>
        <w:rPr>
          <w:rFonts w:cs="Century" w:ascii="Century" w:hAnsi="Century"/>
          <w:sz w:val="22"/>
        </w:rPr>
        <w:t>27.11.2014</w:t>
      </w:r>
      <w:r>
        <w:rPr>
          <w:rFonts w:cs="Century" w:ascii="Century" w:hAnsi="Century"/>
          <w:sz w:val="22"/>
          <w:rtl w:val="true"/>
        </w:rPr>
        <w:t xml:space="preserve">)). </w:t>
      </w:r>
    </w:p>
    <w:p>
      <w:pPr>
        <w:pStyle w:val="Ruller4"/>
        <w:ind w:end="0"/>
        <w:jc w:val="both"/>
        <w:rPr>
          <w:rFonts w:ascii="Century" w:hAnsi="Century" w:cs="Century"/>
          <w:sz w:val="22"/>
        </w:rPr>
      </w:pPr>
      <w:r>
        <w:rPr>
          <w:rFonts w:cs="Century" w:ascii="Century" w:hAnsi="Century"/>
          <w:sz w:val="22"/>
          <w:rtl w:val="true"/>
        </w:rPr>
      </w:r>
    </w:p>
    <w:p>
      <w:pPr>
        <w:pStyle w:val="Ruller41"/>
        <w:numPr>
          <w:ilvl w:val="0"/>
          <w:numId w:val="1"/>
        </w:numPr>
        <w:ind w:hanging="0" w:start="0" w:end="0"/>
        <w:jc w:val="both"/>
        <w:rPr/>
      </w:pPr>
      <w:r>
        <w:rPr>
          <w:rtl w:val="true"/>
        </w:rPr>
        <w:t xml:space="preserve">מקום שמדובר בהרשעת נאשם בעבירת מין על בסיס </w:t>
      </w:r>
      <w:r>
        <w:rPr>
          <w:rFonts w:ascii="Century" w:hAnsi="Century" w:cs="Miriam"/>
          <w:b/>
          <w:b/>
          <w:spacing w:val="0"/>
          <w:sz w:val="22"/>
          <w:sz w:val="22"/>
          <w:szCs w:val="24"/>
          <w:rtl w:val="true"/>
        </w:rPr>
        <w:t>עדותה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היחידה</w:t>
      </w:r>
      <w:r>
        <w:rPr>
          <w:rtl w:val="true"/>
        </w:rPr>
        <w:t xml:space="preserve"> של נפגעת העבירה</w:t>
      </w:r>
      <w:r>
        <w:rPr>
          <w:rtl w:val="true"/>
        </w:rPr>
        <w:t xml:space="preserve">, </w:t>
      </w:r>
      <w:r>
        <w:rPr>
          <w:rtl w:val="true"/>
        </w:rPr>
        <w:t>נכונותנו להתערב בממצאים כאמור הולכת וגדלה</w:t>
      </w:r>
      <w:r>
        <w:rPr>
          <w:rtl w:val="true"/>
        </w:rPr>
        <w:t xml:space="preserve">. </w:t>
      </w:r>
      <w:r>
        <w:rPr>
          <w:rtl w:val="true"/>
        </w:rPr>
        <w:t>במקרים אלו חלה חובה מיוחדת על הערכאה הדיונית לנמק באופן פרטני את ממצאי המהימנות שלה ביחס לאותה עדות יחידה</w:t>
      </w:r>
      <w:r>
        <w:rPr>
          <w:rtl w:val="true"/>
        </w:rPr>
        <w:t xml:space="preserve">, </w:t>
      </w:r>
      <w:r>
        <w:rPr>
          <w:rtl w:val="true"/>
        </w:rPr>
        <w:t xml:space="preserve">כאמור </w:t>
      </w:r>
      <w:hyperlink r:id="rId30">
        <w:r>
          <w:rPr>
            <w:rStyle w:val="Hyperlink"/>
            <w:color w:val="0000FF"/>
            <w:u w:val="single"/>
            <w:rtl w:val="true"/>
          </w:rPr>
          <w:t>בסעיף</w:t>
        </w:r>
        <w:r>
          <w:rPr>
            <w:rStyle w:val="Hyperlink"/>
            <w:color w:val="0000FF"/>
            <w:u w:val="single"/>
            <w:rtl w:val="true"/>
          </w:rPr>
          <w:t xml:space="preserve"> </w:t>
        </w:r>
        <w:r>
          <w:rPr>
            <w:rStyle w:val="Hyperlink"/>
            <w:color w:val="0000FF"/>
            <w:u w:val="single"/>
          </w:rPr>
          <w:t>54</w:t>
        </w:r>
        <w:r>
          <w:rPr>
            <w:rStyle w:val="Hyperlink"/>
            <w:color w:val="0000FF"/>
            <w:u w:val="single"/>
            <w:rtl w:val="true"/>
          </w:rPr>
          <w:t>א</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31">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w:t>
      </w:r>
      <w:r>
        <w:rPr>
          <w:rtl w:val="true"/>
        </w:rPr>
        <w:t>ראו</w:t>
      </w:r>
      <w:r>
        <w:rPr>
          <w:rtl w:val="true"/>
        </w:rPr>
        <w:t xml:space="preserve">: </w:t>
      </w:r>
      <w:hyperlink r:id="rId3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6808/18</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15</w:t>
      </w:r>
      <w:r>
        <w:rPr>
          <w:rFonts w:cs="Century" w:ascii="Century" w:hAnsi="Century"/>
          <w:sz w:val="22"/>
          <w:rtl w:val="true"/>
        </w:rPr>
        <w:t xml:space="preserve"> </w:t>
      </w:r>
      <w:r>
        <w:rPr>
          <w:rFonts w:ascii="Century" w:hAnsi="Century" w:cs="Century"/>
          <w:sz w:val="22"/>
          <w:sz w:val="22"/>
          <w:rtl w:val="true"/>
        </w:rPr>
        <w:t xml:space="preserve">לפסק דיני </w:t>
      </w:r>
      <w:r>
        <w:rPr>
          <w:rFonts w:cs="Century" w:ascii="Century" w:hAnsi="Century"/>
          <w:sz w:val="22"/>
          <w:rtl w:val="true"/>
        </w:rPr>
        <w:t>(</w:t>
      </w:r>
      <w:r>
        <w:rPr>
          <w:rFonts w:cs="Century" w:ascii="Century" w:hAnsi="Century"/>
          <w:sz w:val="22"/>
        </w:rPr>
        <w:t>16.5.2019</w:t>
      </w:r>
      <w:r>
        <w:rPr>
          <w:rFonts w:cs="Century" w:ascii="Century" w:hAnsi="Century"/>
          <w:sz w:val="22"/>
          <w:rtl w:val="true"/>
        </w:rPr>
        <w:t>)</w:t>
      </w:r>
      <w:r>
        <w:rPr>
          <w:rtl w:val="true"/>
        </w:rPr>
        <w:t xml:space="preserve">). </w:t>
      </w:r>
      <w:r>
        <w:rPr>
          <w:rtl w:val="true"/>
        </w:rPr>
        <w:t>דא עקא</w:t>
      </w:r>
      <w:r>
        <w:rPr>
          <w:rtl w:val="true"/>
        </w:rPr>
        <w:t xml:space="preserve">, </w:t>
      </w:r>
      <w:r>
        <w:rPr>
          <w:rtl w:val="true"/>
        </w:rPr>
        <w:t xml:space="preserve">המקרה שלפנינו לא חוסה בצלו של </w:t>
      </w:r>
      <w:hyperlink r:id="rId33">
        <w:r>
          <w:rPr>
            <w:rStyle w:val="Hyperlink"/>
            <w:color w:val="0000FF"/>
            <w:u w:val="single"/>
            <w:rtl w:val="true"/>
          </w:rPr>
          <w:t>סעיף</w:t>
        </w:r>
        <w:r>
          <w:rPr>
            <w:rStyle w:val="Hyperlink"/>
            <w:color w:val="0000FF"/>
            <w:u w:val="single"/>
            <w:rtl w:val="true"/>
          </w:rPr>
          <w:t xml:space="preserve"> </w:t>
        </w:r>
        <w:r>
          <w:rPr>
            <w:rStyle w:val="Hyperlink"/>
            <w:color w:val="0000FF"/>
            <w:u w:val="single"/>
          </w:rPr>
          <w:t>54</w:t>
        </w:r>
        <w:r>
          <w:rPr>
            <w:rStyle w:val="Hyperlink"/>
            <w:color w:val="0000FF"/>
            <w:u w:val="single"/>
            <w:rtl w:val="true"/>
          </w:rPr>
          <w:t>א</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הנ</w:t>
      </w:r>
      <w:r>
        <w:rPr>
          <w:rtl w:val="true"/>
        </w:rPr>
        <w:t>"</w:t>
      </w:r>
      <w:r>
        <w:rPr>
          <w:rtl w:val="true"/>
        </w:rPr>
        <w:t>ל</w:t>
      </w:r>
      <w:r>
        <w:rPr>
          <w:rtl w:val="true"/>
        </w:rPr>
        <w:t xml:space="preserve">. </w:t>
      </w:r>
    </w:p>
    <w:p>
      <w:pPr>
        <w:pStyle w:val="Ruller41"/>
        <w:numPr>
          <w:ilvl w:val="0"/>
          <w:numId w:val="0"/>
        </w:numPr>
        <w:ind w:hanging="0" w:start="0" w:end="0"/>
        <w:jc w:val="both"/>
        <w:rPr>
          <w:rFonts w:eastAsia="Garamond"/>
        </w:rPr>
      </w:pPr>
      <w:r>
        <w:rPr>
          <w:rFonts w:eastAsia="Garamond"/>
          <w:rtl w:val="true"/>
        </w:rPr>
        <w:t xml:space="preserve"> </w:t>
      </w:r>
    </w:p>
    <w:p>
      <w:pPr>
        <w:pStyle w:val="Ruller41"/>
        <w:numPr>
          <w:ilvl w:val="0"/>
          <w:numId w:val="1"/>
        </w:numPr>
        <w:ind w:hanging="0" w:start="0" w:end="0"/>
        <w:jc w:val="both"/>
        <w:rPr/>
      </w:pPr>
      <w:r>
        <w:rPr>
          <w:rtl w:val="true"/>
        </w:rPr>
        <w:t>במקרה דנן</w:t>
      </w:r>
      <w:r>
        <w:rPr>
          <w:rtl w:val="true"/>
        </w:rPr>
        <w:t xml:space="preserve">, </w:t>
      </w:r>
      <w:r>
        <w:rPr>
          <w:rtl w:val="true"/>
        </w:rPr>
        <w:t>עדותה של מ</w:t>
      </w:r>
      <w:r>
        <w:rPr>
          <w:rtl w:val="true"/>
        </w:rPr>
        <w:t xml:space="preserve">', </w:t>
      </w:r>
      <w:r>
        <w:rPr>
          <w:rtl w:val="true"/>
        </w:rPr>
        <w:t>נפגעת העבירות</w:t>
      </w:r>
      <w:r>
        <w:rPr>
          <w:rtl w:val="true"/>
        </w:rPr>
        <w:t xml:space="preserve">, </w:t>
      </w:r>
      <w:r>
        <w:rPr>
          <w:rtl w:val="true"/>
        </w:rPr>
        <w:t>לא היתה עדות יחידה כלל ועיקר</w:t>
      </w:r>
      <w:r>
        <w:rPr>
          <w:rtl w:val="true"/>
        </w:rPr>
        <w:t xml:space="preserve">. </w:t>
      </w:r>
      <w:r>
        <w:rPr>
          <w:rtl w:val="true"/>
        </w:rPr>
        <w:t>רחוק מכך</w:t>
      </w:r>
      <w:r>
        <w:rPr>
          <w:rtl w:val="true"/>
        </w:rPr>
        <w:t xml:space="preserve">: </w:t>
      </w:r>
      <w:r>
        <w:rPr>
          <w:rtl w:val="true"/>
        </w:rPr>
        <w:t>עדותה של מ</w:t>
      </w:r>
      <w:r>
        <w:rPr>
          <w:rtl w:val="true"/>
        </w:rPr>
        <w:t xml:space="preserve">' </w:t>
      </w:r>
      <w:r>
        <w:rPr>
          <w:rtl w:val="true"/>
        </w:rPr>
        <w:t>נתמכה בראיות חיצוניות שכללו את עדות אחותה</w:t>
      </w:r>
      <w:r>
        <w:rPr>
          <w:rtl w:val="true"/>
        </w:rPr>
        <w:t xml:space="preserve">, </w:t>
      </w:r>
      <w:r>
        <w:rPr>
          <w:rtl w:val="true"/>
        </w:rPr>
        <w:t>ש</w:t>
      </w:r>
      <w:r>
        <w:rPr>
          <w:rtl w:val="true"/>
        </w:rPr>
        <w:t xml:space="preserve">', </w:t>
      </w:r>
      <w:r>
        <w:rPr>
          <w:rtl w:val="true"/>
        </w:rPr>
        <w:t>אשר מהווה חיזוק בהיותה עדות על מעשים דומים</w:t>
      </w:r>
      <w:r>
        <w:rPr>
          <w:rtl w:val="true"/>
        </w:rPr>
        <w:t xml:space="preserve">, </w:t>
      </w:r>
      <w:r>
        <w:rPr>
          <w:rtl w:val="true"/>
        </w:rPr>
        <w:t xml:space="preserve">אם לא עדות שיטה ממש </w:t>
      </w:r>
      <w:r>
        <w:rPr>
          <w:rtl w:val="true"/>
        </w:rPr>
        <w:t>(</w:t>
      </w:r>
      <w:r>
        <w:rPr>
          <w:rtl w:val="true"/>
        </w:rPr>
        <w:t xml:space="preserve">השוו </w:t>
      </w:r>
      <w:hyperlink r:id="rId3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40/85</w:t>
        </w:r>
        <w:r>
          <w:rPr>
            <w:rStyle w:val="Hyperlink"/>
            <w:color w:val="0000FF"/>
            <w:u w:val="single"/>
            <w:rtl w:val="true"/>
          </w:rPr>
          <w:t xml:space="preserve">  </w:t>
        </w:r>
        <w:r>
          <w:rPr>
            <w:rStyle w:val="Hyperlink"/>
            <w:color w:val="0000FF"/>
            <w:u w:val="single"/>
            <w:rtl w:val="true"/>
          </w:rPr>
          <w:t>דקל</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לט</w:t>
        </w:r>
      </w:hyperlink>
      <w:r>
        <w:rPr>
          <w:rFonts w:cs="Century" w:ascii="Century" w:hAnsi="Century"/>
          <w:sz w:val="22"/>
          <w:rtl w:val="true"/>
        </w:rPr>
        <w:t>(</w:t>
      </w:r>
      <w:r>
        <w:rPr>
          <w:rFonts w:cs="Century" w:ascii="Century" w:hAnsi="Century"/>
          <w:sz w:val="22"/>
        </w:rPr>
        <w:t>2</w:t>
      </w:r>
      <w:r>
        <w:rPr>
          <w:rFonts w:cs="Century" w:ascii="Century" w:hAnsi="Century"/>
          <w:sz w:val="22"/>
          <w:rtl w:val="true"/>
        </w:rPr>
        <w:t xml:space="preserve">) </w:t>
      </w:r>
      <w:r>
        <w:rPr>
          <w:rFonts w:cs="Century" w:ascii="Century" w:hAnsi="Century"/>
          <w:sz w:val="22"/>
        </w:rPr>
        <w:t>652</w:t>
      </w:r>
      <w:r>
        <w:rPr>
          <w:rFonts w:cs="Century" w:ascii="Century" w:hAnsi="Century"/>
          <w:sz w:val="22"/>
          <w:rtl w:val="true"/>
        </w:rPr>
        <w:t xml:space="preserve"> (</w:t>
      </w:r>
      <w:r>
        <w:rPr>
          <w:rFonts w:cs="Century" w:ascii="Century" w:hAnsi="Century"/>
          <w:sz w:val="22"/>
        </w:rPr>
        <w:t>1985</w:t>
      </w:r>
      <w:r>
        <w:rPr>
          <w:rFonts w:cs="Century" w:ascii="Century" w:hAnsi="Century"/>
          <w:sz w:val="22"/>
          <w:rtl w:val="true"/>
        </w:rPr>
        <w:t>)</w:t>
      </w:r>
      <w:r>
        <w:rPr>
          <w:rtl w:val="true"/>
        </w:rPr>
        <w:t>).</w:t>
      </w:r>
      <w:r>
        <w:rPr>
          <w:rtl w:val="true"/>
        </w:rPr>
        <w:t xml:space="preserve"> </w:t>
      </w:r>
      <w:r>
        <w:rPr>
          <w:rtl w:val="true"/>
        </w:rPr>
        <w:t>חיזוק נוסף לעדותה של מ</w:t>
      </w:r>
      <w:r>
        <w:rPr>
          <w:rtl w:val="true"/>
        </w:rPr>
        <w:t xml:space="preserve">' </w:t>
      </w:r>
      <w:r>
        <w:rPr>
          <w:rtl w:val="true"/>
        </w:rPr>
        <w:t>נמצא בכך שהיתה זו היא אשר חשפה את מעשי המערער לראשונה</w:t>
      </w:r>
      <w:r>
        <w:rPr>
          <w:rtl w:val="true"/>
        </w:rPr>
        <w:t xml:space="preserve">, </w:t>
      </w:r>
      <w:r>
        <w:rPr>
          <w:rtl w:val="true"/>
        </w:rPr>
        <w:t>בפני בעלה</w:t>
      </w:r>
      <w:r>
        <w:rPr>
          <w:rtl w:val="true"/>
        </w:rPr>
        <w:t xml:space="preserve">, </w:t>
      </w:r>
      <w:r>
        <w:rPr>
          <w:rtl w:val="true"/>
        </w:rPr>
        <w:t xml:space="preserve">וזאת חרף הבושה </w:t>
      </w:r>
      <w:r>
        <w:rPr>
          <w:rtl w:val="true"/>
        </w:rPr>
        <w:t>–</w:t>
      </w:r>
      <w:r>
        <w:rPr>
          <w:rtl w:val="true"/>
        </w:rPr>
        <w:t xml:space="preserve"> בהינתן במיוחד הרקע הדתי שלה ושל משפחתה </w:t>
      </w:r>
      <w:r>
        <w:rPr>
          <w:rtl w:val="true"/>
        </w:rPr>
        <w:t>–</w:t>
      </w:r>
      <w:r>
        <w:rPr>
          <w:rtl w:val="true"/>
        </w:rPr>
        <w:t xml:space="preserve"> באופן שהיה מנותק מכל שרשרת אירועים אחרת</w:t>
      </w:r>
      <w:r>
        <w:rPr>
          <w:rtl w:val="true"/>
        </w:rPr>
        <w:t xml:space="preserve">, </w:t>
      </w:r>
      <w:r>
        <w:rPr>
          <w:rtl w:val="true"/>
        </w:rPr>
        <w:t>ומבלי שמ</w:t>
      </w:r>
      <w:r>
        <w:rPr>
          <w:rtl w:val="true"/>
        </w:rPr>
        <w:t xml:space="preserve">' </w:t>
      </w:r>
      <w:r>
        <w:rPr>
          <w:rtl w:val="true"/>
        </w:rPr>
        <w:t>ידעה אז על אשר אירע לאחותה ש</w:t>
      </w:r>
      <w:r>
        <w:rPr>
          <w:rtl w:val="true"/>
        </w:rPr>
        <w:t xml:space="preserve">'. </w:t>
      </w:r>
      <w:r>
        <w:rPr>
          <w:rtl w:val="true"/>
        </w:rPr>
        <w:t>למרות זאת ומעבר לנדרש</w:t>
      </w:r>
      <w:r>
        <w:rPr>
          <w:rtl w:val="true"/>
        </w:rPr>
        <w:t xml:space="preserve">, </w:t>
      </w:r>
      <w:r>
        <w:rPr>
          <w:rtl w:val="true"/>
        </w:rPr>
        <w:t>נימק בית משפט קמא את ממצאי המהימנות שלו ביחס למ</w:t>
      </w:r>
      <w:r>
        <w:rPr>
          <w:rtl w:val="true"/>
        </w:rPr>
        <w:t xml:space="preserve">' </w:t>
      </w:r>
      <w:r>
        <w:rPr>
          <w:rtl w:val="true"/>
        </w:rPr>
        <w:t>כמפורט לעיל</w:t>
      </w:r>
      <w:r>
        <w:rPr>
          <w:rtl w:val="true"/>
        </w:rPr>
        <w:t xml:space="preserve">. </w:t>
      </w:r>
      <w:r>
        <w:rPr>
          <w:rtl w:val="true"/>
        </w:rPr>
        <w:t>בהנמקה זו לא נפלה שום טעות העשויה להצדיק את התערבותנו</w:t>
      </w:r>
      <w:r>
        <w:rPr>
          <w:rtl w:val="true"/>
        </w:rPr>
        <w:t xml:space="preserve">. </w:t>
      </w:r>
      <w:r>
        <w:rPr>
          <w:rtl w:val="true"/>
        </w:rPr>
        <w:t>נהפוך הוא</w:t>
      </w:r>
      <w:r>
        <w:rPr>
          <w:rtl w:val="true"/>
        </w:rPr>
        <w:t xml:space="preserve">: </w:t>
      </w:r>
      <w:r>
        <w:rPr>
          <w:rtl w:val="true"/>
        </w:rPr>
        <w:t>מדובר בהנמקה מפורטת ומשכנעת</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זאת ועוד</w:t>
      </w:r>
      <w:r>
        <w:rPr>
          <w:rtl w:val="true"/>
        </w:rPr>
        <w:t xml:space="preserve">: </w:t>
      </w:r>
      <w:r>
        <w:rPr>
          <w:rtl w:val="true"/>
        </w:rPr>
        <w:t xml:space="preserve">כפי שהוסבר באחרונה על ידי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עמית</w:t>
      </w:r>
      <w:r>
        <w:rPr>
          <w:rtl w:val="true"/>
        </w:rPr>
        <w:t xml:space="preserve">: </w:t>
      </w:r>
    </w:p>
    <w:p>
      <w:pPr>
        <w:pStyle w:val="Ruller41"/>
        <w:numPr>
          <w:ilvl w:val="0"/>
          <w:numId w:val="0"/>
        </w:numPr>
        <w:ind w:hanging="0" w:start="0" w:end="0"/>
        <w:jc w:val="both"/>
        <w:rPr/>
      </w:pPr>
      <w:r>
        <w:rPr>
          <w:rtl w:val="true"/>
        </w:rPr>
      </w:r>
    </w:p>
    <w:p>
      <w:pPr>
        <w:pStyle w:val="Ruller5"/>
        <w:ind w:end="1282"/>
        <w:jc w:val="both"/>
        <w:rPr/>
      </w:pPr>
      <w:r>
        <w:rPr>
          <w:rtl w:val="true"/>
        </w:rPr>
        <w:t>"</w:t>
      </w:r>
      <w:r>
        <w:rPr>
          <w:rtl w:val="true"/>
        </w:rPr>
        <w:t>הגישה</w:t>
      </w:r>
      <w:r>
        <w:rPr>
          <w:rFonts w:eastAsia="Arial TUR;Arial" w:cs="Arial TUR;Arial"/>
          <w:rtl w:val="true"/>
        </w:rPr>
        <w:t xml:space="preserve"> </w:t>
      </w:r>
      <w:r>
        <w:rPr>
          <w:rtl w:val="true"/>
        </w:rPr>
        <w:t>הראייתית</w:t>
      </w:r>
      <w:r>
        <w:rPr>
          <w:rFonts w:eastAsia="Arial TUR;Arial" w:cs="Arial TUR;Arial"/>
          <w:rtl w:val="true"/>
        </w:rPr>
        <w:t xml:space="preserve"> </w:t>
      </w:r>
      <w:r>
        <w:rPr>
          <w:rtl w:val="true"/>
        </w:rPr>
        <w:t>הנהוגה</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מין</w:t>
      </w:r>
      <w:r>
        <w:rPr>
          <w:rtl w:val="true"/>
        </w:rPr>
        <w:t xml:space="preserve">, </w:t>
      </w:r>
      <w:r>
        <w:rPr>
          <w:rtl w:val="true"/>
        </w:rPr>
        <w:t>ובעבירות</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במשפחה</w:t>
      </w:r>
      <w:r>
        <w:rPr>
          <w:rFonts w:eastAsia="Arial TUR;Arial" w:cs="Arial TUR;Arial"/>
          <w:rtl w:val="true"/>
        </w:rPr>
        <w:t xml:space="preserve"> </w:t>
      </w:r>
      <w:r>
        <w:rPr>
          <w:rtl w:val="true"/>
        </w:rPr>
        <w:t>בפרט</w:t>
      </w:r>
      <w:r>
        <w:rPr>
          <w:rtl w:val="true"/>
        </w:rPr>
        <w:t xml:space="preserve">, </w:t>
      </w:r>
      <w:r>
        <w:rPr>
          <w:rtl w:val="true"/>
        </w:rPr>
        <w:t>היא</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לדקדק</w:t>
      </w:r>
      <w:r>
        <w:rPr>
          <w:rFonts w:eastAsia="Arial TUR;Arial" w:cs="Arial TUR;Arial"/>
          <w:rtl w:val="true"/>
        </w:rPr>
        <w:t xml:space="preserve"> </w:t>
      </w:r>
      <w:r>
        <w:rPr>
          <w:rtl w:val="true"/>
        </w:rPr>
        <w:t>בפרטי</w:t>
      </w:r>
      <w:r>
        <w:rPr>
          <w:rFonts w:eastAsia="Arial TUR;Arial" w:cs="Arial TUR;Arial"/>
          <w:rtl w:val="true"/>
        </w:rPr>
        <w:t xml:space="preserve"> </w:t>
      </w:r>
      <w:r>
        <w:rPr>
          <w:rtl w:val="true"/>
        </w:rPr>
        <w:t>העדות</w:t>
      </w:r>
      <w:r>
        <w:rPr>
          <w:rtl w:val="true"/>
        </w:rPr>
        <w:t xml:space="preserve">, </w:t>
      </w:r>
      <w:r>
        <w:rPr>
          <w:rtl w:val="true"/>
        </w:rPr>
        <w:t>וניתן</w:t>
      </w:r>
      <w:r>
        <w:rPr>
          <w:rFonts w:eastAsia="Arial TUR;Arial" w:cs="Arial TUR;Arial"/>
          <w:rtl w:val="true"/>
        </w:rPr>
        <w:t xml:space="preserve"> </w:t>
      </w:r>
      <w:r>
        <w:rPr>
          <w:rtl w:val="true"/>
        </w:rPr>
        <w:t>להסתפק</w:t>
      </w:r>
      <w:r>
        <w:rPr>
          <w:rFonts w:eastAsia="Arial TUR;Arial" w:cs="Arial TUR;Arial"/>
          <w:rtl w:val="true"/>
        </w:rPr>
        <w:t xml:space="preserve"> </w:t>
      </w:r>
      <w:r>
        <w:rPr>
          <w:rtl w:val="true"/>
        </w:rPr>
        <w:t>בגרעין</w:t>
      </w:r>
      <w:r>
        <w:rPr>
          <w:rFonts w:eastAsia="Arial TUR;Arial" w:cs="Arial TUR;Arial"/>
          <w:rtl w:val="true"/>
        </w:rPr>
        <w:t xml:space="preserve"> </w:t>
      </w:r>
      <w:r>
        <w:rPr>
          <w:rtl w:val="true"/>
        </w:rPr>
        <w:t>האמת</w:t>
      </w:r>
      <w:r>
        <w:rPr>
          <w:rFonts w:eastAsia="Arial TUR;Arial" w:cs="Arial TUR;Arial"/>
          <w:rtl w:val="true"/>
        </w:rPr>
        <w:t xml:space="preserve"> </w:t>
      </w:r>
      <w:r>
        <w:rPr>
          <w:rtl w:val="true"/>
        </w:rPr>
        <w:t>המצוי</w:t>
      </w:r>
      <w:r>
        <w:rPr>
          <w:rFonts w:eastAsia="Arial TUR;Arial" w:cs="Arial TUR;Arial"/>
          <w:rtl w:val="true"/>
        </w:rPr>
        <w:t xml:space="preserve"> </w:t>
      </w:r>
      <w:r>
        <w:rPr>
          <w:rtl w:val="true"/>
        </w:rPr>
        <w:t>בה</w:t>
      </w:r>
      <w:r>
        <w:rPr>
          <w:rtl w:val="true"/>
        </w:rPr>
        <w:t xml:space="preserve">, </w:t>
      </w:r>
      <w:r>
        <w:rPr>
          <w:rtl w:val="true"/>
        </w:rPr>
        <w:t>ולעיתים</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בגרעין</w:t>
      </w:r>
      <w:r>
        <w:rPr>
          <w:rFonts w:eastAsia="Arial TUR;Arial" w:cs="Arial TUR;Arial"/>
          <w:rtl w:val="true"/>
        </w:rPr>
        <w:t xml:space="preserve"> </w:t>
      </w:r>
      <w:r>
        <w:rPr>
          <w:rtl w:val="true"/>
        </w:rPr>
        <w:t>הקשה</w:t>
      </w:r>
      <w:r>
        <w:rPr>
          <w:rFonts w:eastAsia="Arial TUR;Arial" w:cs="Arial TUR;Arial"/>
          <w:rtl w:val="true"/>
        </w:rPr>
        <w:t xml:space="preserve"> </w:t>
      </w:r>
      <w:r>
        <w:rPr>
          <w:rtl w:val="true"/>
        </w:rPr>
        <w:t>בלבד</w:t>
      </w:r>
      <w:r>
        <w:rPr>
          <w:rtl w:val="true"/>
        </w:rPr>
        <w:t xml:space="preserve">. </w:t>
      </w:r>
      <w:r>
        <w:rPr>
          <w:rtl w:val="true"/>
        </w:rPr>
        <w:t>זאת</w:t>
      </w:r>
      <w:r>
        <w:rPr>
          <w:rtl w:val="true"/>
        </w:rPr>
        <w:t xml:space="preserve">, </w:t>
      </w:r>
      <w:r>
        <w:rPr>
          <w:rtl w:val="true"/>
        </w:rPr>
        <w:t>גם</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העדות</w:t>
      </w:r>
      <w:r>
        <w:rPr>
          <w:rFonts w:eastAsia="Arial TUR;Arial" w:cs="Arial TUR;Arial"/>
          <w:rtl w:val="true"/>
        </w:rPr>
        <w:t xml:space="preserve"> </w:t>
      </w:r>
      <w:r>
        <w:rPr>
          <w:rtl w:val="true"/>
        </w:rPr>
        <w:t>לוקה</w:t>
      </w:r>
      <w:r>
        <w:rPr>
          <w:rFonts w:eastAsia="Arial TUR;Arial" w:cs="Arial TUR;Arial"/>
          <w:rtl w:val="true"/>
        </w:rPr>
        <w:t xml:space="preserve"> </w:t>
      </w:r>
      <w:r>
        <w:rPr>
          <w:rtl w:val="true"/>
        </w:rPr>
        <w:t>בבלבול</w:t>
      </w:r>
      <w:r>
        <w:rPr>
          <w:rtl w:val="true"/>
        </w:rPr>
        <w:t xml:space="preserve">, </w:t>
      </w:r>
      <w:r>
        <w:rPr>
          <w:rtl w:val="true"/>
        </w:rPr>
        <w:t>באי</w:t>
      </w:r>
      <w:r>
        <w:rPr>
          <w:rtl w:val="true"/>
        </w:rPr>
        <w:t>-</w:t>
      </w:r>
      <w:r>
        <w:rPr>
          <w:rtl w:val="true"/>
        </w:rPr>
        <w:t>דיוק</w:t>
      </w:r>
      <w:r>
        <w:rPr>
          <w:rtl w:val="true"/>
        </w:rPr>
        <w:t xml:space="preserve">, </w:t>
      </w:r>
      <w:r>
        <w:rPr>
          <w:rtl w:val="true"/>
        </w:rPr>
        <w:t>ובחוסר</w:t>
      </w:r>
      <w:r>
        <w:rPr>
          <w:rFonts w:eastAsia="Arial TUR;Arial" w:cs="Arial TUR;Arial"/>
          <w:rtl w:val="true"/>
        </w:rPr>
        <w:t xml:space="preserve"> </w:t>
      </w:r>
      <w:r>
        <w:rPr>
          <w:rtl w:val="true"/>
        </w:rPr>
        <w:t>בהירות</w:t>
      </w:r>
      <w:r>
        <w:rPr>
          <w:rtl w:val="true"/>
        </w:rPr>
        <w:t>" (</w:t>
      </w:r>
      <w:r>
        <w:rPr>
          <w:rtl w:val="true"/>
        </w:rPr>
        <w:t>ראו</w:t>
      </w:r>
      <w:r>
        <w:rPr>
          <w:rFonts w:eastAsia="Arial TUR;Arial" w:cs="Arial TUR;Arial"/>
          <w:rtl w:val="true"/>
        </w:rPr>
        <w:t xml:space="preserve"> </w:t>
      </w:r>
      <w:hyperlink r:id="rId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1987/17</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Arial" w:cs="Arial TUR;Arial"/>
          <w:rtl w:val="true"/>
        </w:rPr>
        <w:t xml:space="preserve"> </w:t>
      </w:r>
      <w:r>
        <w:rPr/>
        <w:t>9</w:t>
      </w:r>
      <w:r>
        <w:rPr>
          <w:rtl w:val="true"/>
        </w:rPr>
        <w:t xml:space="preserve"> </w:t>
      </w:r>
      <w:r>
        <w:rPr>
          <w:rtl w:val="true"/>
        </w:rPr>
        <w:t>(‏</w:t>
      </w:r>
      <w:r>
        <w:rPr/>
        <w:t>4.6.2019</w:t>
      </w:r>
      <w:r>
        <w:rPr>
          <w:rtl w:val="true"/>
        </w:rPr>
        <w:t>)</w:t>
      </w:r>
      <w:r>
        <w:rPr>
          <w:rtl w:val="true"/>
        </w:rPr>
        <w:t xml:space="preserve"> (</w:t>
      </w:r>
      <w:r>
        <w:rPr>
          <w:rtl w:val="true"/>
        </w:rPr>
        <w:t>ההפניות</w:t>
      </w:r>
      <w:r>
        <w:rPr>
          <w:rFonts w:eastAsia="Arial TUR;Arial" w:cs="Arial TUR;Arial"/>
          <w:rtl w:val="true"/>
        </w:rPr>
        <w:t xml:space="preserve"> </w:t>
      </w:r>
      <w:r>
        <w:rPr>
          <w:rtl w:val="true"/>
        </w:rPr>
        <w:t>הושמטו</w:t>
      </w:r>
      <w:r>
        <w:rPr>
          <w:rFonts w:eastAsia="Arial TUR;Arial" w:cs="Arial TUR;Arial"/>
          <w:rtl w:val="true"/>
        </w:rPr>
        <w:t xml:space="preserve"> </w:t>
      </w:r>
      <w:r>
        <w:rPr>
          <w:rtl w:val="true"/>
        </w:rPr>
        <w:t>–</w:t>
      </w:r>
      <w:r>
        <w:rPr>
          <w:rFonts w:eastAsia="Arial TUR;Arial" w:cs="Arial TUR;Arial"/>
          <w:rtl w:val="true"/>
        </w:rPr>
        <w:t xml:space="preserve"> </w:t>
      </w:r>
      <w:r>
        <w:rPr>
          <w:rtl w:val="true"/>
        </w:rPr>
        <w:t>א</w:t>
      </w:r>
      <w:r>
        <w:rPr>
          <w:rtl w:val="true"/>
        </w:rPr>
        <w:t>.</w:t>
      </w:r>
      <w:r>
        <w:rPr>
          <w:rtl w:val="true"/>
        </w:rPr>
        <w:t>ש</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Fonts w:eastAsia="Garamond"/>
          <w:rtl w:val="true"/>
        </w:rPr>
        <w:t xml:space="preserve"> </w:t>
      </w:r>
      <w:r>
        <w:rPr>
          <w:rtl w:val="true"/>
        </w:rPr>
        <w:t>הווה אומר</w:t>
      </w:r>
      <w:r>
        <w:rPr>
          <w:rtl w:val="true"/>
        </w:rPr>
        <w:t xml:space="preserve">: </w:t>
      </w:r>
      <w:r>
        <w:rPr>
          <w:rFonts w:ascii="Century" w:hAnsi="Century" w:cs="Miriam"/>
          <w:b/>
          <w:b/>
          <w:spacing w:val="0"/>
          <w:sz w:val="22"/>
          <w:sz w:val="22"/>
          <w:szCs w:val="24"/>
          <w:rtl w:val="true"/>
        </w:rPr>
        <w:t>הגרעין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האמת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שבעדות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נפגעת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הקובע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מדובר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בעדות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שאיננה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חלקה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ונקיה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מסתירות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פרטיה</w:t>
      </w:r>
      <w:r>
        <w:rPr>
          <w:rtl w:val="true"/>
        </w:rPr>
        <w:t xml:space="preserve">. </w:t>
      </w:r>
      <w:r>
        <w:rPr>
          <w:rtl w:val="true"/>
        </w:rPr>
        <w:t>במקרה דנן</w:t>
      </w:r>
      <w:r>
        <w:rPr>
          <w:rtl w:val="true"/>
        </w:rPr>
        <w:t xml:space="preserve">, </w:t>
      </w:r>
      <w:r>
        <w:rPr>
          <w:rtl w:val="true"/>
        </w:rPr>
        <w:t>בית משפט קמא לא הסתפק בגרעין הקשה של העדות שמסרה מ</w:t>
      </w:r>
      <w:r>
        <w:rPr>
          <w:rtl w:val="true"/>
        </w:rPr>
        <w:t xml:space="preserve">' </w:t>
      </w:r>
      <w:r>
        <w:rPr>
          <w:rtl w:val="true"/>
        </w:rPr>
        <w:t>ובדק בקפידה את פרטי העדות</w:t>
      </w:r>
      <w:r>
        <w:rPr>
          <w:rtl w:val="true"/>
        </w:rPr>
        <w:t xml:space="preserve">. </w:t>
      </w:r>
      <w:r>
        <w:rPr>
          <w:rtl w:val="true"/>
        </w:rPr>
        <w:t>עדות זו היתה עקבית לאורך כל הדרך ולא נמצאו בה סתירות מהותיות</w:t>
      </w:r>
      <w:r>
        <w:rPr>
          <w:rtl w:val="true"/>
        </w:rPr>
        <w:t xml:space="preserve">, </w:t>
      </w:r>
      <w:r>
        <w:rPr>
          <w:rtl w:val="true"/>
        </w:rPr>
        <w:t>בלבול</w:t>
      </w:r>
      <w:r>
        <w:rPr>
          <w:rtl w:val="true"/>
        </w:rPr>
        <w:t xml:space="preserve">, </w:t>
      </w:r>
      <w:r>
        <w:rPr>
          <w:rtl w:val="true"/>
        </w:rPr>
        <w:t>אי דיוקים משמעותיים</w:t>
      </w:r>
      <w:r>
        <w:rPr>
          <w:rtl w:val="true"/>
        </w:rPr>
        <w:t xml:space="preserve">, </w:t>
      </w:r>
      <w:r>
        <w:rPr>
          <w:rtl w:val="true"/>
        </w:rPr>
        <w:t>חוסר בהירות או הגזמה</w:t>
      </w:r>
      <w:r>
        <w:rPr>
          <w:rtl w:val="true"/>
        </w:rPr>
        <w:t xml:space="preserve">. </w:t>
      </w:r>
      <w:r>
        <w:rPr>
          <w:rtl w:val="true"/>
        </w:rPr>
        <w:t>ההיפך הוא הנכון</w:t>
      </w:r>
      <w:r>
        <w:rPr>
          <w:rtl w:val="true"/>
        </w:rPr>
        <w:t xml:space="preserve">: </w:t>
      </w:r>
      <w:r>
        <w:rPr>
          <w:rtl w:val="true"/>
        </w:rPr>
        <w:t>עדותה של מ</w:t>
      </w:r>
      <w:r>
        <w:rPr>
          <w:rtl w:val="true"/>
        </w:rPr>
        <w:t xml:space="preserve">' </w:t>
      </w:r>
      <w:r>
        <w:rPr>
          <w:rtl w:val="true"/>
        </w:rPr>
        <w:t>הכילה פרטים רבים שתאמו את המציאות</w:t>
      </w:r>
      <w:r>
        <w:rPr>
          <w:rtl w:val="true"/>
        </w:rPr>
        <w:t xml:space="preserve">. </w:t>
      </w:r>
      <w:r>
        <w:rPr>
          <w:rtl w:val="true"/>
        </w:rPr>
        <w:t>אין תמה אפוא שבית משפט קמא מצאהּ אמינה מעבר לספק סביר</w:t>
      </w:r>
      <w:r>
        <w:rPr>
          <w:rtl w:val="true"/>
        </w:rPr>
        <w:t xml:space="preserve">, </w:t>
      </w:r>
      <w:r>
        <w:rPr>
          <w:rtl w:val="true"/>
        </w:rPr>
        <w:t>ובממצא זה אין לנו כל סיבה להתערב</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מאידך</w:t>
      </w:r>
      <w:r>
        <w:rPr>
          <w:rtl w:val="true"/>
        </w:rPr>
        <w:t xml:space="preserve">, </w:t>
      </w:r>
      <w:r>
        <w:rPr>
          <w:rtl w:val="true"/>
        </w:rPr>
        <w:t>עדות המערער וסיפור העלילה שסיפר נמצאו בלתי אמינים</w:t>
      </w:r>
      <w:r>
        <w:rPr>
          <w:rtl w:val="true"/>
        </w:rPr>
        <w:t xml:space="preserve">; </w:t>
      </w:r>
      <w:r>
        <w:rPr>
          <w:rtl w:val="true"/>
        </w:rPr>
        <w:t>טענת המערער בדבר טעות אפשרית בזיהויו של מבצע העבירות קרסה מניה וביה</w:t>
      </w:r>
      <w:r>
        <w:rPr>
          <w:rtl w:val="true"/>
        </w:rPr>
        <w:t xml:space="preserve">; </w:t>
      </w:r>
      <w:r>
        <w:rPr>
          <w:rtl w:val="true"/>
        </w:rPr>
        <w:t>וכך קרה גם עם טענתו שהלינה על מחדלי המשטרה והתביעה</w:t>
      </w:r>
      <w:r>
        <w:rPr>
          <w:rtl w:val="true"/>
        </w:rPr>
        <w:t xml:space="preserve">. </w:t>
      </w:r>
      <w:r>
        <w:rPr>
          <w:rtl w:val="true"/>
        </w:rPr>
        <w:t>בעניין האחרון</w:t>
      </w:r>
      <w:r>
        <w:rPr>
          <w:rtl w:val="true"/>
        </w:rPr>
        <w:t xml:space="preserve">, </w:t>
      </w:r>
      <w:r>
        <w:rPr>
          <w:rtl w:val="true"/>
        </w:rPr>
        <w:t>אעיר כי ההחלטה מיהו עד נחוץ ומיהו עד שאיננו נחוץ מצויה בידי המשטרה והתביעה</w:t>
      </w:r>
      <w:r>
        <w:rPr>
          <w:rtl w:val="true"/>
        </w:rPr>
        <w:t xml:space="preserve">, </w:t>
      </w:r>
      <w:r>
        <w:rPr>
          <w:rtl w:val="true"/>
        </w:rPr>
        <w:t>ולנעליהן לא ניכנס אלא כאשר מדובר באי זימונו של עד מפתח שעדותו נחוצה בעליל</w:t>
      </w:r>
      <w:r>
        <w:rPr>
          <w:rtl w:val="true"/>
        </w:rPr>
        <w:t xml:space="preserve">. </w:t>
      </w:r>
      <w:r>
        <w:rPr>
          <w:rtl w:val="true"/>
        </w:rPr>
        <w:t xml:space="preserve">בהקשר זה נזכור כי לנאשם </w:t>
      </w:r>
      <w:r>
        <w:rPr>
          <w:rtl w:val="true"/>
        </w:rPr>
        <w:t>–</w:t>
      </w:r>
      <w:r>
        <w:rPr>
          <w:rtl w:val="true"/>
        </w:rPr>
        <w:t xml:space="preserve"> כמו לכל בעל דין </w:t>
      </w:r>
      <w:r>
        <w:rPr>
          <w:rtl w:val="true"/>
        </w:rPr>
        <w:t>–</w:t>
      </w:r>
      <w:r>
        <w:rPr>
          <w:rtl w:val="true"/>
        </w:rPr>
        <w:t xml:space="preserve"> שמורה הזכות לזמן לעדות כל אדם שעדותו עשויה להיות רלבנטית למשפט </w:t>
      </w:r>
      <w:r>
        <w:rPr>
          <w:rtl w:val="true"/>
        </w:rPr>
        <w:t>(</w:t>
      </w:r>
      <w:r>
        <w:rPr>
          <w:rtl w:val="true"/>
        </w:rPr>
        <w:t xml:space="preserve">ראו </w:t>
      </w:r>
      <w:hyperlink r:id="rId36">
        <w:r>
          <w:rPr>
            <w:rStyle w:val="Hyperlink"/>
            <w:color w:val="0000FF"/>
            <w:u w:val="single"/>
            <w:rtl w:val="true"/>
          </w:rPr>
          <w:t>סעיף</w:t>
        </w:r>
        <w:r>
          <w:rPr>
            <w:rStyle w:val="Hyperlink"/>
            <w:color w:val="0000FF"/>
            <w:u w:val="single"/>
            <w:rtl w:val="true"/>
          </w:rPr>
          <w:t xml:space="preserve"> </w:t>
        </w:r>
        <w:r>
          <w:rPr>
            <w:rStyle w:val="Hyperlink"/>
            <w:color w:val="0000FF"/>
            <w:u w:val="single"/>
          </w:rPr>
          <w:t>1</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37">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hyperlink r:id="rId38">
        <w:r>
          <w:rPr>
            <w:rStyle w:val="Hyperlink"/>
            <w:color w:val="0000FF"/>
            <w:u w:val="single"/>
            <w:rtl w:val="true"/>
          </w:rPr>
          <w:t>וסעיפים</w:t>
        </w:r>
        <w:r>
          <w:rPr>
            <w:rStyle w:val="Hyperlink"/>
            <w:color w:val="0000FF"/>
            <w:u w:val="single"/>
            <w:rtl w:val="true"/>
          </w:rPr>
          <w:t xml:space="preserve"> </w:t>
        </w:r>
        <w:r>
          <w:rPr>
            <w:rStyle w:val="Hyperlink"/>
            <w:color w:val="0000FF"/>
            <w:u w:val="single"/>
          </w:rPr>
          <w:t>73</w:t>
        </w:r>
      </w:hyperlink>
      <w:r>
        <w:rPr>
          <w:rtl w:val="true"/>
        </w:rPr>
        <w:t xml:space="preserve"> </w:t>
      </w:r>
      <w:r>
        <w:rPr>
          <w:rtl w:val="true"/>
        </w:rPr>
        <w:t>ו</w:t>
      </w:r>
      <w:r>
        <w:rPr>
          <w:rtl w:val="true"/>
        </w:rPr>
        <w:t>-</w:t>
      </w:r>
      <w:hyperlink r:id="rId39">
        <w:r>
          <w:rPr>
            <w:rStyle w:val="Hyperlink"/>
            <w:color w:val="0000FF"/>
            <w:u w:val="single"/>
          </w:rPr>
          <w:t>73</w:t>
        </w:r>
        <w:r>
          <w:rPr>
            <w:rStyle w:val="Hyperlink"/>
            <w:color w:val="0000FF"/>
            <w:u w:val="single"/>
            <w:rtl w:val="true"/>
          </w:rPr>
          <w:t>א</w:t>
        </w:r>
      </w:hyperlink>
      <w:r>
        <w:rPr>
          <w:rtl w:val="true"/>
        </w:rPr>
        <w:t xml:space="preserve"> ל</w:t>
      </w:r>
      <w:hyperlink r:id="rId4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בתי</w:t>
        </w:r>
        <w:r>
          <w:rPr>
            <w:rStyle w:val="Hyperlink"/>
            <w:color w:val="0000FF"/>
            <w:u w:val="single"/>
            <w:rtl w:val="true"/>
          </w:rPr>
          <w:t xml:space="preserve"> </w:t>
        </w:r>
        <w:r>
          <w:rPr>
            <w:rStyle w:val="Hyperlink"/>
            <w:color w:val="0000FF"/>
            <w:u w:val="single"/>
            <w:rtl w:val="true"/>
          </w:rPr>
          <w:t>המשפט</w:t>
        </w:r>
      </w:hyperlink>
      <w:r>
        <w:rPr>
          <w:rtl w:val="true"/>
        </w:rPr>
        <w:t xml:space="preserve"> </w:t>
      </w:r>
      <w:r>
        <w:rPr>
          <w:rtl w:val="true"/>
        </w:rPr>
        <w:t>[</w:t>
      </w:r>
      <w:r>
        <w:rPr>
          <w:rtl w:val="true"/>
        </w:rPr>
        <w:t>נוסח משולב</w:t>
      </w:r>
      <w:r>
        <w:rPr>
          <w:rtl w:val="true"/>
        </w:rPr>
        <w:t xml:space="preserve">], </w:t>
      </w:r>
      <w:r>
        <w:rPr>
          <w:rtl w:val="true"/>
        </w:rPr>
        <w:t>התשמ</w:t>
      </w:r>
      <w:r>
        <w:rPr>
          <w:rtl w:val="true"/>
        </w:rPr>
        <w:t>"</w:t>
      </w:r>
      <w:r>
        <w:rPr>
          <w:rtl w:val="true"/>
        </w:rPr>
        <w:t>ד</w:t>
      </w:r>
      <w:r>
        <w:rPr>
          <w:rtl w:val="true"/>
        </w:rPr>
        <w:t>-</w:t>
      </w:r>
      <w:r>
        <w:rPr/>
        <w:t>1984</w:t>
      </w:r>
      <w:r>
        <w:rPr>
          <w:rtl w:val="true"/>
        </w:rPr>
        <w:t xml:space="preserve">), </w:t>
      </w:r>
      <w:r>
        <w:rPr>
          <w:rtl w:val="true"/>
        </w:rPr>
        <w:t>וכי המערער בחר שלא לעשות שימוש בזכות זו</w:t>
      </w:r>
      <w:r>
        <w:rPr>
          <w:rtl w:val="true"/>
        </w:rPr>
        <w:t xml:space="preserve">. </w:t>
      </w:r>
      <w:r>
        <w:rPr>
          <w:rtl w:val="true"/>
        </w:rPr>
        <w:t>את בחירתו זו נכבד ולא נסיק ממנה שום מסקנות לחובת המערער</w:t>
      </w:r>
      <w:r>
        <w:rPr>
          <w:rtl w:val="true"/>
        </w:rPr>
        <w:t xml:space="preserve">. </w:t>
      </w:r>
      <w:r>
        <w:rPr>
          <w:rtl w:val="true"/>
        </w:rPr>
        <w:t>בד</w:t>
      </w:r>
      <w:r>
        <w:rPr>
          <w:rtl w:val="true"/>
        </w:rPr>
        <w:t>-</w:t>
      </w:r>
      <w:r>
        <w:rPr>
          <w:rtl w:val="true"/>
        </w:rPr>
        <w:t>בבד</w:t>
      </w:r>
      <w:r>
        <w:rPr>
          <w:rtl w:val="true"/>
        </w:rPr>
        <w:t xml:space="preserve">, </w:t>
      </w:r>
      <w:r>
        <w:rPr>
          <w:rtl w:val="true"/>
        </w:rPr>
        <w:t>לא נבוא חשבון עם המשטרה והתביעה שבחרו שלא לזמן עדים שזימונם איננו מתבקש</w:t>
      </w:r>
      <w:r>
        <w:rPr>
          <w:rtl w:val="true"/>
        </w:rPr>
        <w:t xml:space="preserve">. </w:t>
      </w:r>
      <w:r>
        <w:rPr>
          <w:rtl w:val="true"/>
        </w:rPr>
        <w:t xml:space="preserve">אינני רואה אפוא שום סיבה להתערב בהערכתו של בית משפט קמא כי אין בפנינו מחדל תביעתי או משטרתי אשר יש בו כדי לעורר ספק סביר לגבי אשמתו של המערער או להקנות לו הגנה מן הצדק </w:t>
      </w:r>
      <w:r>
        <w:rPr>
          <w:rtl w:val="true"/>
        </w:rPr>
        <w:t>(</w:t>
      </w:r>
      <w:r>
        <w:rPr>
          <w:rtl w:val="true"/>
        </w:rPr>
        <w:t xml:space="preserve">ראו </w:t>
      </w:r>
      <w:hyperlink r:id="rId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7758/04</w:t>
        </w:r>
      </w:hyperlink>
      <w:r>
        <w:rPr>
          <w:rtl w:val="true"/>
        </w:rPr>
        <w:t xml:space="preserve"> </w:t>
      </w:r>
      <w:r>
        <w:rPr>
          <w:rFonts w:ascii="Century" w:hAnsi="Century" w:cs="Miriam"/>
          <w:b/>
          <w:b/>
          <w:spacing w:val="0"/>
          <w:sz w:val="22"/>
          <w:sz w:val="22"/>
          <w:szCs w:val="24"/>
          <w:rtl w:val="true"/>
        </w:rPr>
        <w:t>עבד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אלקאדר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בעמ</w:t>
      </w:r>
      <w:r>
        <w:rPr>
          <w:rFonts w:cs="Century" w:ascii="Century" w:hAnsi="Century"/>
          <w:sz w:val="22"/>
          <w:rtl w:val="true"/>
        </w:rPr>
        <w:t xml:space="preserve">' </w:t>
      </w:r>
      <w:r>
        <w:rPr>
          <w:rFonts w:cs="Century" w:ascii="Century" w:hAnsi="Century"/>
          <w:sz w:val="22"/>
        </w:rPr>
        <w:t>27-26</w:t>
      </w:r>
      <w:r>
        <w:rPr>
          <w:rFonts w:cs="Century" w:ascii="Century" w:hAnsi="Century"/>
          <w:sz w:val="22"/>
          <w:rtl w:val="true"/>
        </w:rPr>
        <w:t xml:space="preserve"> (</w:t>
      </w:r>
      <w:r>
        <w:rPr>
          <w:rFonts w:cs="Century" w:ascii="Century" w:hAnsi="Century"/>
          <w:sz w:val="22"/>
        </w:rPr>
        <w:t>19.7.2007</w:t>
      </w:r>
      <w:r>
        <w:rPr>
          <w:rFonts w:cs="Century" w:ascii="Century" w:hAnsi="Century"/>
          <w:sz w:val="22"/>
          <w:rtl w:val="true"/>
        </w:rPr>
        <w:t>)</w:t>
      </w:r>
      <w:r>
        <w:rPr>
          <w:rtl w:val="true"/>
        </w:rPr>
        <w:t xml:space="preserve">; </w:t>
      </w:r>
      <w:hyperlink r:id="rId4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1977/05</w:t>
        </w:r>
      </w:hyperlink>
      <w:r>
        <w:rPr>
          <w:rtl w:val="true"/>
        </w:rPr>
        <w:t xml:space="preserve"> </w:t>
      </w:r>
      <w:r>
        <w:rPr>
          <w:rFonts w:ascii="Century" w:hAnsi="Century" w:cs="Miriam"/>
          <w:b/>
          <w:b/>
          <w:spacing w:val="0"/>
          <w:sz w:val="22"/>
          <w:sz w:val="22"/>
          <w:szCs w:val="24"/>
          <w:rtl w:val="true"/>
        </w:rPr>
        <w:t>גולה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13</w:t>
      </w:r>
      <w:r>
        <w:rPr>
          <w:rFonts w:cs="Century" w:ascii="Century" w:hAnsi="Century"/>
          <w:sz w:val="22"/>
          <w:rtl w:val="true"/>
        </w:rPr>
        <w:t xml:space="preserve"> (</w:t>
      </w:r>
      <w:r>
        <w:rPr>
          <w:rFonts w:cs="Century" w:ascii="Century" w:hAnsi="Century"/>
          <w:sz w:val="22"/>
        </w:rPr>
        <w:t>2.11.2006</w:t>
      </w:r>
      <w:r>
        <w:rPr>
          <w:rFonts w:cs="Century" w:ascii="Century" w:hAnsi="Century"/>
          <w:sz w:val="22"/>
          <w:rtl w:val="true"/>
        </w:rPr>
        <w:t xml:space="preserve">); </w:t>
      </w:r>
      <w:r>
        <w:rPr>
          <w:rFonts w:ascii="Century" w:hAnsi="Century" w:cs="Century"/>
          <w:sz w:val="22"/>
          <w:sz w:val="22"/>
          <w:rtl w:val="true"/>
        </w:rPr>
        <w:t>ו</w:t>
      </w:r>
      <w:hyperlink r:id="rId43">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5633/12</w:t>
        </w:r>
      </w:hyperlink>
      <w:r>
        <w:rPr>
          <w:rFonts w:cs="Century" w:ascii="Century" w:hAnsi="Century"/>
          <w:sz w:val="22"/>
          <w:rtl w:val="true"/>
        </w:rPr>
        <w:t xml:space="preserve"> </w:t>
      </w:r>
      <w:r>
        <w:rPr>
          <w:rFonts w:ascii="Century" w:hAnsi="Century" w:cs="Miriam"/>
          <w:b/>
          <w:b/>
          <w:spacing w:val="0"/>
          <w:sz w:val="22"/>
          <w:sz w:val="22"/>
          <w:szCs w:val="24"/>
          <w:rtl w:val="true"/>
        </w:rPr>
        <w:t>ניימן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48</w:t>
      </w:r>
      <w:r>
        <w:rPr>
          <w:rFonts w:cs="Century" w:ascii="Century" w:hAnsi="Century"/>
          <w:sz w:val="22"/>
          <w:rtl w:val="true"/>
        </w:rPr>
        <w:t xml:space="preserve"> (</w:t>
      </w:r>
      <w:r>
        <w:rPr>
          <w:rFonts w:cs="Century" w:ascii="Century" w:hAnsi="Century"/>
          <w:sz w:val="22"/>
        </w:rPr>
        <w:t>10.7.2013</w:t>
      </w:r>
      <w:r>
        <w:rPr>
          <w:rFonts w:cs="Century" w:ascii="Century" w:hAnsi="Century"/>
          <w:sz w:val="22"/>
          <w:rtl w:val="true"/>
        </w:rPr>
        <w:t>)</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זאת ועוד</w:t>
      </w:r>
      <w:r>
        <w:rPr>
          <w:rtl w:val="true"/>
        </w:rPr>
        <w:t xml:space="preserve">: </w:t>
      </w:r>
      <w:r>
        <w:rPr>
          <w:rtl w:val="true"/>
        </w:rPr>
        <w:t>הערעור דכאן נסוב כמעט באופן בלעדי על טענות מהימנות ועובדה אשר נידונו בהרחבה והוכרעו בפני בית משפט קמא</w:t>
      </w:r>
      <w:r>
        <w:rPr>
          <w:rtl w:val="true"/>
        </w:rPr>
        <w:t xml:space="preserve">. </w:t>
      </w:r>
      <w:r>
        <w:rPr>
          <w:rtl w:val="true"/>
        </w:rPr>
        <w:t>המערער לא ביקש להשיג על קביעותיו של בית משפט קמא בשל פגם קונקרטי כזה או אחר או סטייה משורת הדין</w:t>
      </w:r>
      <w:r>
        <w:rPr>
          <w:rtl w:val="true"/>
        </w:rPr>
        <w:t xml:space="preserve">, </w:t>
      </w:r>
      <w:r>
        <w:rPr>
          <w:rtl w:val="true"/>
        </w:rPr>
        <w:t xml:space="preserve">אלא בשל רצונו כי טענותיו שלו </w:t>
      </w:r>
      <w:r>
        <w:rPr>
          <w:rtl w:val="true"/>
        </w:rPr>
        <w:t>–</w:t>
      </w:r>
      <w:r>
        <w:rPr>
          <w:rtl w:val="true"/>
        </w:rPr>
        <w:t xml:space="preserve"> ולא עדויותיהם של מ</w:t>
      </w:r>
      <w:r>
        <w:rPr>
          <w:rtl w:val="true"/>
        </w:rPr>
        <w:t xml:space="preserve">', </w:t>
      </w:r>
      <w:r>
        <w:rPr>
          <w:rtl w:val="true"/>
        </w:rPr>
        <w:t>אחותה ש</w:t>
      </w:r>
      <w:r>
        <w:rPr>
          <w:rtl w:val="true"/>
        </w:rPr>
        <w:t xml:space="preserve">' </w:t>
      </w:r>
      <w:r>
        <w:rPr>
          <w:rtl w:val="true"/>
        </w:rPr>
        <w:t xml:space="preserve">ובעלה </w:t>
      </w:r>
      <w:r>
        <w:rPr>
          <w:rtl w:val="true"/>
        </w:rPr>
        <w:t>–</w:t>
      </w:r>
      <w:r>
        <w:rPr>
          <w:rtl w:val="true"/>
        </w:rPr>
        <w:t xml:space="preserve"> יהיו אלו שמעצבות את הכרעת הדין</w:t>
      </w:r>
      <w:r>
        <w:rPr>
          <w:rtl w:val="true"/>
        </w:rPr>
        <w:t xml:space="preserve">. </w:t>
      </w:r>
      <w:r>
        <w:rPr>
          <w:rtl w:val="true"/>
        </w:rPr>
        <w:t>הכלל היסודי שמורנו להימנע מהתערבות בממצאי המהימנות של הערכאה הדיונית חל בהקשר דנן ביתר שאת</w:t>
      </w:r>
      <w:r>
        <w:rPr>
          <w:rtl w:val="true"/>
        </w:rPr>
        <w:t xml:space="preserve">: </w:t>
      </w:r>
      <w:r>
        <w:rPr>
          <w:rtl w:val="true"/>
        </w:rPr>
        <w:t xml:space="preserve">הליך הערעור איננו בגדר </w:t>
      </w:r>
      <w:r>
        <w:rPr>
          <w:rtl w:val="true"/>
        </w:rPr>
        <w:t>"</w:t>
      </w:r>
      <w:r>
        <w:rPr>
          <w:rtl w:val="true"/>
        </w:rPr>
        <w:t>הצגה חוזרת</w:t>
      </w:r>
      <w:r>
        <w:rPr>
          <w:rtl w:val="true"/>
        </w:rPr>
        <w:t xml:space="preserve">" </w:t>
      </w:r>
      <w:r>
        <w:rPr>
          <w:rtl w:val="true"/>
        </w:rPr>
        <w:t>שמגלגלת את ההליך קמא מראשיתו ואין בו מקום למקצי שיפורים ב</w:t>
      </w:r>
      <w:r>
        <w:rPr>
          <w:rtl w:val="true"/>
        </w:rPr>
        <w:t>"</w:t>
      </w:r>
      <w:r>
        <w:rPr>
          <w:rtl w:val="true"/>
        </w:rPr>
        <w:t>שיטת מצליח</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טענת המדינה כי ניתן וראוי היה להרשיע את המערער בעבירה שביצעהּ במסגרתו של אירוע הפד</w:t>
      </w:r>
      <w:r>
        <w:rPr>
          <w:rtl w:val="true"/>
        </w:rPr>
        <w:t xml:space="preserve">, </w:t>
      </w:r>
      <w:r>
        <w:rPr>
          <w:rtl w:val="true"/>
        </w:rPr>
        <w:t>אף היא טענה נכונה</w:t>
      </w:r>
      <w:r>
        <w:rPr>
          <w:rtl w:val="true"/>
        </w:rPr>
        <w:t xml:space="preserve">. </w:t>
      </w:r>
      <w:r>
        <w:rPr>
          <w:rtl w:val="true"/>
        </w:rPr>
        <w:t>אירוע הפד אכן לא צויין מפורשות בכתב האישום</w:t>
      </w:r>
      <w:r>
        <w:rPr>
          <w:rtl w:val="true"/>
        </w:rPr>
        <w:t xml:space="preserve">, </w:t>
      </w:r>
      <w:r>
        <w:rPr>
          <w:rtl w:val="true"/>
        </w:rPr>
        <w:t>אך הוא נכלל במסגרת התיאור הכללי של האישומים אשר יוחסו למערער</w:t>
      </w:r>
      <w:r>
        <w:rPr>
          <w:rtl w:val="true"/>
        </w:rPr>
        <w:t xml:space="preserve">. </w:t>
      </w:r>
      <w:r>
        <w:rPr>
          <w:rtl w:val="true"/>
        </w:rPr>
        <w:t>יתרה מכך</w:t>
      </w:r>
      <w:r>
        <w:rPr>
          <w:rtl w:val="true"/>
        </w:rPr>
        <w:t xml:space="preserve">: </w:t>
      </w:r>
      <w:r>
        <w:rPr>
          <w:rtl w:val="true"/>
        </w:rPr>
        <w:t xml:space="preserve">הרשעת המערער בעבירה זו ממילא היתה מתאפשרת מכוח האמור </w:t>
      </w:r>
      <w:hyperlink r:id="rId44">
        <w:r>
          <w:rPr>
            <w:rStyle w:val="Hyperlink"/>
            <w:color w:val="0000FF"/>
            <w:u w:val="single"/>
            <w:rtl w:val="true"/>
          </w:rPr>
          <w:t>בסעיף</w:t>
        </w:r>
        <w:r>
          <w:rPr>
            <w:rStyle w:val="Hyperlink"/>
            <w:color w:val="0000FF"/>
            <w:u w:val="single"/>
            <w:rtl w:val="true"/>
          </w:rPr>
          <w:t xml:space="preserve"> </w:t>
        </w:r>
        <w:r>
          <w:rPr>
            <w:rStyle w:val="Hyperlink"/>
            <w:color w:val="0000FF"/>
            <w:u w:val="single"/>
          </w:rPr>
          <w:t>184</w:t>
        </w:r>
      </w:hyperlink>
      <w:r>
        <w:rPr>
          <w:rtl w:val="true"/>
        </w:rPr>
        <w:t xml:space="preserve"> </w:t>
      </w:r>
      <w:r>
        <w:rPr>
          <w:rtl w:val="true"/>
        </w:rPr>
        <w:t>ל</w:t>
      </w:r>
      <w:hyperlink r:id="rId4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hyperlink>
      <w:r>
        <w:rPr>
          <w:rtl w:val="true"/>
        </w:rPr>
        <w:t xml:space="preserve"> </w:t>
      </w:r>
      <w:r>
        <w:rPr>
          <w:rtl w:val="true"/>
        </w:rPr>
        <w:t>[</w:t>
      </w:r>
      <w:r>
        <w:rPr>
          <w:rtl w:val="true"/>
        </w:rPr>
        <w:t>נוסח משולב</w:t>
      </w:r>
      <w:r>
        <w:rPr>
          <w:rtl w:val="true"/>
        </w:rPr>
        <w:t xml:space="preserve">], </w:t>
      </w:r>
      <w:r>
        <w:rPr>
          <w:rtl w:val="true"/>
        </w:rPr>
        <w:t>התשמ</w:t>
      </w:r>
      <w:r>
        <w:rPr>
          <w:rtl w:val="true"/>
        </w:rPr>
        <w:t>"</w:t>
      </w:r>
      <w:r>
        <w:rPr>
          <w:rtl w:val="true"/>
        </w:rPr>
        <w:t>ב</w:t>
      </w:r>
      <w:r>
        <w:rPr>
          <w:rtl w:val="true"/>
        </w:rPr>
        <w:t>-</w:t>
      </w:r>
      <w:r>
        <w:rPr/>
        <w:t>1982</w:t>
      </w:r>
      <w:r>
        <w:rPr>
          <w:rtl w:val="true"/>
        </w:rPr>
        <w:t xml:space="preserve">, </w:t>
      </w:r>
      <w:r>
        <w:rPr>
          <w:rtl w:val="true"/>
        </w:rPr>
        <w:t>אשר מכיר באפשרות להרשיע נאשם בעבירה שונה מזו המופיעה בכתב האישום</w:t>
      </w:r>
      <w:r>
        <w:rPr>
          <w:rtl w:val="true"/>
        </w:rPr>
        <w:t xml:space="preserve">, </w:t>
      </w:r>
      <w:r>
        <w:rPr>
          <w:rtl w:val="true"/>
        </w:rPr>
        <w:t xml:space="preserve">ובלבד שלא תהא פגיעה בזכותו להתגונן </w:t>
      </w:r>
      <w:r>
        <w:rPr>
          <w:rtl w:val="true"/>
        </w:rPr>
        <w:t>(</w:t>
      </w:r>
      <w:r>
        <w:rPr>
          <w:rtl w:val="true"/>
        </w:rPr>
        <w:t>ראו לדוגמה</w:t>
      </w:r>
      <w:r>
        <w:rPr>
          <w:rtl w:val="true"/>
        </w:rPr>
        <w:t xml:space="preserve">: </w:t>
      </w:r>
      <w:hyperlink r:id="rId4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7832/00</w:t>
        </w:r>
        <w:r>
          <w:rPr>
            <w:rStyle w:val="Hyperlink"/>
            <w:color w:val="0000FF"/>
            <w:u w:val="single"/>
            <w:rtl w:val="true"/>
          </w:rPr>
          <w:t xml:space="preserve"> </w:t>
        </w:r>
        <w:r>
          <w:rPr>
            <w:rStyle w:val="Hyperlink"/>
            <w:color w:val="0000FF"/>
            <w:u w:val="single"/>
            <w:rtl w:val="true"/>
          </w:rPr>
          <w:t>יעקובוב</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נו</w:t>
        </w:r>
      </w:hyperlink>
      <w:r>
        <w:rPr>
          <w:rFonts w:cs="Century" w:ascii="Century" w:hAnsi="Century"/>
          <w:sz w:val="22"/>
          <w:rtl w:val="true"/>
        </w:rPr>
        <w:t>(</w:t>
      </w:r>
      <w:r>
        <w:rPr>
          <w:rFonts w:cs="Century" w:ascii="Century" w:hAnsi="Century"/>
          <w:sz w:val="22"/>
        </w:rPr>
        <w:t>2</w:t>
      </w:r>
      <w:r>
        <w:rPr>
          <w:rFonts w:cs="Century" w:ascii="Century" w:hAnsi="Century"/>
          <w:sz w:val="22"/>
          <w:rtl w:val="true"/>
        </w:rPr>
        <w:t xml:space="preserve">) </w:t>
      </w:r>
      <w:r>
        <w:rPr>
          <w:rFonts w:cs="Century" w:ascii="Century" w:hAnsi="Century"/>
          <w:sz w:val="22"/>
        </w:rPr>
        <w:t>534</w:t>
      </w:r>
      <w:r>
        <w:rPr>
          <w:rFonts w:cs="Century" w:ascii="Century" w:hAnsi="Century"/>
          <w:sz w:val="22"/>
          <w:rtl w:val="true"/>
        </w:rPr>
        <w:t xml:space="preserve">, </w:t>
      </w:r>
      <w:r>
        <w:rPr>
          <w:rFonts w:cs="Century" w:ascii="Century" w:hAnsi="Century"/>
          <w:sz w:val="22"/>
        </w:rPr>
        <w:t>541</w:t>
      </w:r>
      <w:r>
        <w:rPr>
          <w:rFonts w:cs="Century" w:ascii="Century" w:hAnsi="Century"/>
          <w:sz w:val="22"/>
          <w:rtl w:val="true"/>
        </w:rPr>
        <w:t xml:space="preserve"> (</w:t>
      </w:r>
      <w:r>
        <w:rPr>
          <w:rFonts w:cs="Century" w:ascii="Century" w:hAnsi="Century"/>
          <w:sz w:val="22"/>
        </w:rPr>
        <w:t>2002</w:t>
      </w:r>
      <w:r>
        <w:rPr>
          <w:rFonts w:cs="Century" w:ascii="Century" w:hAnsi="Century"/>
          <w:sz w:val="22"/>
          <w:rtl w:val="true"/>
        </w:rPr>
        <w:t xml:space="preserve">); </w:t>
      </w:r>
      <w:hyperlink r:id="rId47">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5140/99</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וידאל</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נ</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מדינת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ישראל</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פ</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ד</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נו</w:t>
        </w:r>
      </w:hyperlink>
      <w:r>
        <w:rPr>
          <w:rFonts w:cs="Century" w:ascii="Century" w:hAnsi="Century"/>
          <w:sz w:val="22"/>
          <w:rtl w:val="true"/>
        </w:rPr>
        <w:t>(</w:t>
      </w:r>
      <w:r>
        <w:rPr>
          <w:rFonts w:cs="Century" w:ascii="Century" w:hAnsi="Century"/>
          <w:sz w:val="22"/>
        </w:rPr>
        <w:t>2</w:t>
      </w:r>
      <w:r>
        <w:rPr>
          <w:rFonts w:cs="Century" w:ascii="Century" w:hAnsi="Century"/>
          <w:sz w:val="22"/>
          <w:rtl w:val="true"/>
        </w:rPr>
        <w:t xml:space="preserve">) </w:t>
      </w:r>
      <w:r>
        <w:rPr>
          <w:rFonts w:cs="Century" w:ascii="Century" w:hAnsi="Century"/>
          <w:sz w:val="22"/>
        </w:rPr>
        <w:t>844</w:t>
      </w:r>
      <w:r>
        <w:rPr>
          <w:rFonts w:cs="Century" w:ascii="Century" w:hAnsi="Century"/>
          <w:sz w:val="22"/>
          <w:rtl w:val="true"/>
        </w:rPr>
        <w:t xml:space="preserve">, </w:t>
      </w:r>
      <w:r>
        <w:rPr>
          <w:rFonts w:cs="Century" w:ascii="Century" w:hAnsi="Century"/>
          <w:sz w:val="22"/>
        </w:rPr>
        <w:t>862</w:t>
      </w:r>
      <w:r>
        <w:rPr>
          <w:rFonts w:cs="Century" w:ascii="Century" w:hAnsi="Century"/>
          <w:sz w:val="22"/>
          <w:rtl w:val="true"/>
        </w:rPr>
        <w:t xml:space="preserve"> (</w:t>
      </w:r>
      <w:r>
        <w:rPr>
          <w:rFonts w:cs="Century" w:ascii="Century" w:hAnsi="Century"/>
          <w:sz w:val="22"/>
        </w:rPr>
        <w:t>2002</w:t>
      </w:r>
      <w:r>
        <w:rPr>
          <w:rFonts w:cs="Century" w:ascii="Century" w:hAnsi="Century"/>
          <w:sz w:val="22"/>
          <w:rtl w:val="true"/>
        </w:rPr>
        <w:t xml:space="preserve">) </w:t>
      </w:r>
      <w:r>
        <w:rPr>
          <w:rFonts w:ascii="Century" w:hAnsi="Century" w:cs="Century"/>
          <w:sz w:val="22"/>
          <w:sz w:val="22"/>
          <w:rtl w:val="true"/>
        </w:rPr>
        <w:t>והאסמכתאות הנזכרות שם</w:t>
      </w:r>
      <w:r>
        <w:rPr>
          <w:rtl w:val="true"/>
        </w:rPr>
        <w:t xml:space="preserve">). </w:t>
      </w:r>
      <w:r>
        <w:rPr>
          <w:rtl w:val="true"/>
        </w:rPr>
        <w:t>במקרה דנן</w:t>
      </w:r>
      <w:r>
        <w:rPr>
          <w:rtl w:val="true"/>
        </w:rPr>
        <w:t xml:space="preserve">, </w:t>
      </w:r>
      <w:r>
        <w:rPr>
          <w:rtl w:val="true"/>
        </w:rPr>
        <w:t>המערער הואשם בריבוי מעשי אינוס שכאמור בוצעו באמצעות החדרת אצבעות לאיבר מינה של הקורבן</w:t>
      </w:r>
      <w:r>
        <w:rPr>
          <w:rtl w:val="true"/>
        </w:rPr>
        <w:t xml:space="preserve">. </w:t>
      </w:r>
      <w:r>
        <w:rPr>
          <w:rtl w:val="true"/>
        </w:rPr>
        <w:t>ברי הוא</w:t>
      </w:r>
      <w:r>
        <w:rPr>
          <w:rtl w:val="true"/>
        </w:rPr>
        <w:t xml:space="preserve">, </w:t>
      </w:r>
      <w:r>
        <w:rPr>
          <w:rtl w:val="true"/>
        </w:rPr>
        <w:t>כי המערער קיבל הזדמנות נאותה להתגונן מפני אישום זה וכי הוא אף ניצל את ההזדמנות על ידי הכחשת המעשים</w:t>
      </w:r>
      <w:r>
        <w:rPr>
          <w:rtl w:val="true"/>
        </w:rPr>
        <w:t xml:space="preserve">. </w:t>
      </w:r>
      <w:r>
        <w:rPr>
          <w:rtl w:val="true"/>
        </w:rPr>
        <w:t>משכך</w:t>
      </w:r>
      <w:r>
        <w:rPr>
          <w:rtl w:val="true"/>
        </w:rPr>
        <w:t xml:space="preserve">, </w:t>
      </w:r>
      <w:r>
        <w:rPr>
          <w:rtl w:val="true"/>
        </w:rPr>
        <w:t>אין לדידי ספק שהיה ביכולתו של המערער להתייחס גם לאפשרות של נגיעה עבריינית באיבר מינה של נפגעת העבירה</w:t>
      </w:r>
      <w:r>
        <w:rPr>
          <w:rtl w:val="true"/>
        </w:rPr>
        <w:t xml:space="preserve">, </w:t>
      </w:r>
      <w:r>
        <w:rPr>
          <w:rtl w:val="true"/>
        </w:rPr>
        <w:t>מ</w:t>
      </w:r>
      <w:r>
        <w:rPr>
          <w:rtl w:val="true"/>
        </w:rPr>
        <w:t xml:space="preserve">', </w:t>
      </w:r>
      <w:r>
        <w:rPr>
          <w:rtl w:val="true"/>
        </w:rPr>
        <w:t>מבלי לבצע חדירת אצבע</w:t>
      </w:r>
      <w:r>
        <w:rPr>
          <w:rtl w:val="true"/>
        </w:rPr>
        <w:t xml:space="preserve">; </w:t>
      </w:r>
      <w:r>
        <w:rPr>
          <w:rtl w:val="true"/>
        </w:rPr>
        <w:t>והמערער אכן שלל אפשרות זו על ידי מתן הכחשה כללית ביחס לכל מגע בעל אופי מיני עם מ</w:t>
      </w:r>
      <w:r>
        <w:rPr>
          <w:rtl w:val="true"/>
        </w:rPr>
        <w:t>' (</w:t>
      </w:r>
      <w:r>
        <w:rPr>
          <w:rtl w:val="true"/>
        </w:rPr>
        <w:t>ועם אחותה ש</w:t>
      </w:r>
      <w:r>
        <w:rPr>
          <w:rtl w:val="true"/>
        </w:rPr>
        <w:t xml:space="preserve">'). </w:t>
      </w:r>
      <w:r>
        <w:rPr>
          <w:rtl w:val="true"/>
        </w:rPr>
        <w:t>אילו הוכח</w:t>
      </w:r>
      <w:r>
        <w:rPr>
          <w:rtl w:val="true"/>
        </w:rPr>
        <w:t xml:space="preserve">, </w:t>
      </w:r>
      <w:r>
        <w:rPr>
          <w:rtl w:val="true"/>
        </w:rPr>
        <w:t>ביחס לאירוע הפד</w:t>
      </w:r>
      <w:r>
        <w:rPr>
          <w:rtl w:val="true"/>
        </w:rPr>
        <w:t xml:space="preserve">, </w:t>
      </w:r>
      <w:r>
        <w:rPr>
          <w:rtl w:val="true"/>
        </w:rPr>
        <w:t>שהמערער החדיר אחת מאצבעותיו אל תוך איבר מינה של מ</w:t>
      </w:r>
      <w:r>
        <w:rPr>
          <w:rtl w:val="true"/>
        </w:rPr>
        <w:t xml:space="preserve">', </w:t>
      </w:r>
      <w:r>
        <w:rPr>
          <w:rtl w:val="true"/>
        </w:rPr>
        <w:t>מן הדין היה להרשיעו באינוס במסגרת תיאור האישומים הכללי</w:t>
      </w:r>
      <w:r>
        <w:rPr>
          <w:rtl w:val="true"/>
        </w:rPr>
        <w:t xml:space="preserve">; </w:t>
      </w:r>
      <w:r>
        <w:rPr>
          <w:rtl w:val="true"/>
        </w:rPr>
        <w:t>ומשכך</w:t>
      </w:r>
      <w:r>
        <w:rPr>
          <w:rtl w:val="true"/>
        </w:rPr>
        <w:t xml:space="preserve">, </w:t>
      </w:r>
      <w:r>
        <w:rPr>
          <w:rtl w:val="true"/>
        </w:rPr>
        <w:t>ברי הוא כי הרשעתו בעבירה פחותה של מעשה מגונה לא קיפחה את הגנתו וממילא לא הסבה לו שום עיוות דין</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מכאן עולה מסקנה ברורה כי בטענות המערער אשר באו לתקוף את הרשעתו אין כל ממש ודינן להידחות</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העונש שהושת על המערער</w:t>
      </w:r>
      <w:r>
        <w:rPr>
          <w:rtl w:val="true"/>
        </w:rPr>
        <w:t xml:space="preserve">, </w:t>
      </w:r>
      <w:r>
        <w:rPr>
          <w:rtl w:val="true"/>
        </w:rPr>
        <w:t>אף הוא אינו מצדיק את התערבותנו</w:t>
      </w:r>
      <w:r>
        <w:rPr>
          <w:rtl w:val="true"/>
        </w:rPr>
        <w:t xml:space="preserve">. </w:t>
      </w:r>
      <w:r>
        <w:rPr>
          <w:rtl w:val="true"/>
        </w:rPr>
        <w:t xml:space="preserve">מדובר בעונש ראוי ומאוזן לחלוטין שעולה בקנה אחד עם מדיניות הענישה אשר נקוטה בידינו ביחס לעבירות מין בקטינים בני משפחה </w:t>
      </w:r>
      <w:r>
        <w:rPr>
          <w:rtl w:val="true"/>
        </w:rPr>
        <w:t>(</w:t>
      </w:r>
      <w:r>
        <w:rPr>
          <w:rtl w:val="true"/>
        </w:rPr>
        <w:t xml:space="preserve">ראו </w:t>
      </w:r>
      <w:hyperlink r:id="rId4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1987/17</w:t>
        </w:r>
      </w:hyperlink>
      <w:r>
        <w:rPr>
          <w:rtl w:val="true"/>
        </w:rPr>
        <w:t xml:space="preserve"> </w:t>
      </w:r>
      <w:r>
        <w:rPr>
          <w:rtl w:val="true"/>
        </w:rPr>
        <w:t>הנ</w:t>
      </w:r>
      <w:r>
        <w:rPr>
          <w:rtl w:val="true"/>
        </w:rPr>
        <w:t>"</w:t>
      </w:r>
      <w:r>
        <w:rPr>
          <w:rtl w:val="true"/>
        </w:rPr>
        <w:t>ל</w:t>
      </w:r>
      <w:r>
        <w:rPr>
          <w:rtl w:val="true"/>
        </w:rPr>
        <w:t xml:space="preserve">, </w:t>
      </w:r>
      <w:r>
        <w:rPr>
          <w:rtl w:val="true"/>
        </w:rPr>
        <w:t xml:space="preserve">פסקה </w:t>
      </w:r>
      <w:r>
        <w:rPr/>
        <w:t>17</w:t>
      </w:r>
      <w:r>
        <w:rPr>
          <w:rtl w:val="true"/>
        </w:rPr>
        <w:t xml:space="preserve">) </w:t>
      </w:r>
      <w:r>
        <w:rPr>
          <w:rtl w:val="true"/>
        </w:rPr>
        <w:t>ויש בו גם מידה רבה של התחשבות בעינוי הדין אשר נגרם למערער שלא באשמתו</w:t>
      </w:r>
      <w:r>
        <w:rPr>
          <w:rtl w:val="true"/>
        </w:rPr>
        <w:t xml:space="preserve">. </w:t>
      </w:r>
      <w:r>
        <w:rPr>
          <w:rtl w:val="true"/>
        </w:rPr>
        <w:t>ממילא אין מקום לטענה כי העונש שנגזר על המערער הוא חמור בהתחשב בריבוי העבירות ובחומרתן</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כפי שכבר הזדמן לי להעיר לגבי העונשים שראוי להטיל על עברייני מין</w:t>
      </w:r>
      <w:r>
        <w:rPr>
          <w:rtl w:val="true"/>
        </w:rPr>
        <w:t xml:space="preserve">: </w:t>
      </w:r>
    </w:p>
    <w:p>
      <w:pPr>
        <w:pStyle w:val="Ruller41"/>
        <w:numPr>
          <w:ilvl w:val="0"/>
          <w:numId w:val="0"/>
        </w:numPr>
        <w:ind w:hanging="0" w:start="0" w:end="0"/>
        <w:jc w:val="both"/>
        <w:rPr/>
      </w:pPr>
      <w:r>
        <w:rPr>
          <w:rtl w:val="true"/>
        </w:rPr>
      </w:r>
    </w:p>
    <w:p>
      <w:pPr>
        <w:pStyle w:val="Ruller5"/>
        <w:ind w:end="1282"/>
        <w:jc w:val="both"/>
        <w:rPr>
          <w:szCs w:val="24"/>
        </w:rPr>
      </w:pPr>
      <w:r>
        <w:rPr>
          <w:rtl w:val="true"/>
        </w:rPr>
        <w:t>"</w:t>
      </w:r>
      <w:r>
        <w:rPr>
          <w:rtl w:val="true"/>
        </w:rPr>
        <w:t>הרתעה</w:t>
      </w:r>
      <w:r>
        <w:rPr>
          <w:rFonts w:eastAsia="Arial TUR;Arial" w:cs="Arial TUR;Arial"/>
          <w:rtl w:val="true"/>
        </w:rPr>
        <w:t xml:space="preserve"> </w:t>
      </w:r>
      <w:r>
        <w:rPr>
          <w:rtl w:val="true"/>
        </w:rPr>
        <w:t>כללית</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בגדר</w:t>
      </w:r>
      <w:r>
        <w:rPr>
          <w:rFonts w:eastAsia="Arial TUR;Arial" w:cs="Arial TUR;Arial"/>
          <w:rtl w:val="true"/>
        </w:rPr>
        <w:t xml:space="preserve"> </w:t>
      </w:r>
      <w:r>
        <w:rPr>
          <w:rtl w:val="true"/>
        </w:rPr>
        <w:t>כורח</w:t>
      </w:r>
      <w:r>
        <w:rPr>
          <w:rFonts w:eastAsia="Arial TUR;Arial" w:cs="Arial TUR;Arial"/>
          <w:rtl w:val="true"/>
        </w:rPr>
        <w:t xml:space="preserve"> </w:t>
      </w:r>
      <w:r>
        <w:rPr>
          <w:rtl w:val="true"/>
        </w:rPr>
        <w:t>חברתי</w:t>
      </w:r>
      <w:r>
        <w:rPr>
          <w:rFonts w:eastAsia="Arial TUR;Arial" w:cs="Arial TUR;Arial"/>
          <w:rtl w:val="true"/>
        </w:rPr>
        <w:t xml:space="preserve"> </w:t>
      </w:r>
      <w:r>
        <w:rPr>
          <w:rtl w:val="true"/>
        </w:rPr>
        <w:t>שקיבל</w:t>
      </w:r>
      <w:r>
        <w:rPr>
          <w:rFonts w:eastAsia="Arial TUR;Arial" w:cs="Arial TUR;Arial"/>
          <w:rtl w:val="true"/>
        </w:rPr>
        <w:t xml:space="preserve"> </w:t>
      </w:r>
      <w:r>
        <w:rPr>
          <w:rtl w:val="true"/>
        </w:rPr>
        <w:t>הכרה</w:t>
      </w:r>
      <w:r>
        <w:rPr>
          <w:rFonts w:eastAsia="Arial TUR;Arial" w:cs="Arial TUR;Arial"/>
          <w:rtl w:val="true"/>
        </w:rPr>
        <w:t xml:space="preserve"> </w:t>
      </w:r>
      <w:r>
        <w:rPr>
          <w:rtl w:val="true"/>
        </w:rPr>
        <w:t>בסעיף</w:t>
      </w:r>
      <w:r>
        <w:rPr>
          <w:rFonts w:eastAsia="Arial TUR;Arial" w:cs="Arial TUR;Arial"/>
          <w:rtl w:val="true"/>
        </w:rPr>
        <w:t xml:space="preserve"> </w:t>
      </w:r>
      <w:r>
        <w:rPr/>
        <w:t>40</w:t>
      </w:r>
      <w:r>
        <w:rPr>
          <w:rtl w:val="true"/>
        </w:rPr>
        <w:t>ז</w:t>
      </w:r>
      <w:r>
        <w:rPr>
          <w:rFonts w:eastAsia="Arial TUR;Arial" w:cs="Arial TUR;Arial"/>
          <w:rtl w:val="true"/>
        </w:rPr>
        <w:t xml:space="preserve"> </w:t>
      </w:r>
      <w:r>
        <w:rPr>
          <w:rtl w:val="true"/>
        </w:rPr>
        <w:t>ל</w:t>
      </w:r>
      <w:hyperlink r:id="rId49">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w:t>
      </w:r>
      <w:r>
        <w:rPr>
          <w:rtl w:val="true"/>
        </w:rPr>
        <w:t xml:space="preserve"> </w:t>
      </w:r>
      <w:r>
        <w:rPr>
          <w:rtl w:val="true"/>
        </w:rPr>
        <w:t>עבירות</w:t>
      </w:r>
      <w:r>
        <w:rPr>
          <w:rFonts w:eastAsia="Arial TUR;Arial" w:cs="Arial TUR;Arial"/>
          <w:rtl w:val="true"/>
        </w:rPr>
        <w:t xml:space="preserve"> </w:t>
      </w:r>
      <w:r>
        <w:rPr>
          <w:rtl w:val="true"/>
        </w:rPr>
        <w:t>מין</w:t>
      </w:r>
      <w:r>
        <w:rPr>
          <w:rtl w:val="true"/>
        </w:rPr>
        <w:t xml:space="preserve">, </w:t>
      </w:r>
      <w:r>
        <w:rPr>
          <w:rtl w:val="true"/>
        </w:rPr>
        <w:t>ובפרט</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קטינים</w:t>
      </w:r>
      <w:r>
        <w:rPr>
          <w:rtl w:val="true"/>
        </w:rPr>
        <w:t xml:space="preserve">, </w:t>
      </w:r>
      <w:r>
        <w:rPr>
          <w:rtl w:val="true"/>
        </w:rPr>
        <w:t>הן</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חדרי</w:t>
      </w:r>
      <w:r>
        <w:rPr>
          <w:rtl w:val="true"/>
        </w:rPr>
        <w:t>-</w:t>
      </w:r>
      <w:r>
        <w:rPr>
          <w:rtl w:val="true"/>
        </w:rPr>
        <w:t>חדרים</w:t>
      </w:r>
      <w:r>
        <w:rPr>
          <w:rtl w:val="true"/>
        </w:rPr>
        <w:t xml:space="preserve">, </w:t>
      </w:r>
      <w:r>
        <w:rPr>
          <w:rtl w:val="true"/>
        </w:rPr>
        <w:t>נגישות</w:t>
      </w:r>
      <w:r>
        <w:rPr>
          <w:rtl w:val="true"/>
        </w:rPr>
        <w:t xml:space="preserve">, </w:t>
      </w:r>
      <w:r>
        <w:rPr>
          <w:rtl w:val="true"/>
        </w:rPr>
        <w:t>קלות</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וקשות</w:t>
      </w:r>
      <w:r>
        <w:rPr>
          <w:rFonts w:eastAsia="Arial TUR;Arial" w:cs="Arial TUR;Arial"/>
          <w:rtl w:val="true"/>
        </w:rPr>
        <w:t xml:space="preserve"> </w:t>
      </w:r>
      <w:r>
        <w:rPr>
          <w:rtl w:val="true"/>
        </w:rPr>
        <w:t>לגילוי</w:t>
      </w:r>
      <w:r>
        <w:rPr>
          <w:rtl w:val="true"/>
        </w:rPr>
        <w:t xml:space="preserve">. </w:t>
      </w:r>
      <w:r>
        <w:rPr>
          <w:rtl w:val="true"/>
        </w:rPr>
        <w:t>מציאות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מעצימה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תמריציהם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עברייני</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לממש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מאווייהם</w:t>
      </w:r>
      <w:r>
        <w:rPr>
          <w:rFonts w:eastAsia="Arial TUR;Arial" w:cs="Arial TUR;Arial"/>
          <w:rtl w:val="true"/>
        </w:rPr>
        <w:t xml:space="preserve"> </w:t>
      </w:r>
      <w:r>
        <w:rPr>
          <w:rtl w:val="true"/>
        </w:rPr>
        <w:t>מעוררי</w:t>
      </w:r>
      <w:r>
        <w:rPr>
          <w:rFonts w:eastAsia="Arial TUR;Arial" w:cs="Arial TUR;Arial"/>
          <w:rtl w:val="true"/>
        </w:rPr>
        <w:t xml:space="preserve"> </w:t>
      </w:r>
      <w:r>
        <w:rPr>
          <w:rtl w:val="true"/>
        </w:rPr>
        <w:t>הסלידה</w:t>
      </w:r>
      <w:r>
        <w:rPr>
          <w:rFonts w:eastAsia="Arial TUR;Arial" w:cs="Arial TUR;Arial"/>
          <w:rtl w:val="true"/>
        </w:rPr>
        <w:t xml:space="preserve"> </w:t>
      </w:r>
      <w:r>
        <w:rPr>
          <w:rtl w:val="true"/>
        </w:rPr>
        <w:t>ולספק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יצריהם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פגיעה</w:t>
      </w:r>
      <w:r>
        <w:rPr>
          <w:rFonts w:eastAsia="Arial TUR;Arial" w:cs="Arial TUR;Arial"/>
          <w:rtl w:val="true"/>
        </w:rPr>
        <w:t xml:space="preserve"> </w:t>
      </w:r>
      <w:r>
        <w:rPr>
          <w:rtl w:val="true"/>
        </w:rPr>
        <w:t>בקטינים</w:t>
      </w:r>
      <w:r>
        <w:rPr>
          <w:rFonts w:eastAsia="Arial TUR;Arial" w:cs="Arial TUR;Arial"/>
          <w:rtl w:val="true"/>
        </w:rPr>
        <w:t xml:space="preserve"> </w:t>
      </w:r>
      <w:r>
        <w:rPr>
          <w:rtl w:val="true"/>
        </w:rPr>
        <w:t>חסרי</w:t>
      </w:r>
      <w:r>
        <w:rPr>
          <w:rFonts w:eastAsia="Arial TUR;Arial" w:cs="Arial TUR;Arial"/>
          <w:rtl w:val="true"/>
        </w:rPr>
        <w:t xml:space="preserve"> </w:t>
      </w:r>
      <w:r>
        <w:rPr>
          <w:rtl w:val="true"/>
        </w:rPr>
        <w:t>ישע</w:t>
      </w:r>
      <w:r>
        <w:rPr>
          <w:rtl w:val="true"/>
        </w:rPr>
        <w:t xml:space="preserve">, </w:t>
      </w:r>
      <w:r>
        <w:rPr>
          <w:rtl w:val="true"/>
        </w:rPr>
        <w:t>כפי</w:t>
      </w:r>
      <w:r>
        <w:rPr>
          <w:rFonts w:eastAsia="Arial TUR;Arial" w:cs="Arial TUR;Arial"/>
          <w:rtl w:val="true"/>
        </w:rPr>
        <w:t xml:space="preserve"> </w:t>
      </w:r>
      <w:r>
        <w:rPr>
          <w:rtl w:val="true"/>
        </w:rPr>
        <w:t>שקרה</w:t>
      </w:r>
      <w:r>
        <w:rPr>
          <w:rFonts w:eastAsia="Arial TUR;Arial" w:cs="Arial TUR;Arial"/>
          <w:rtl w:val="true"/>
        </w:rPr>
        <w:t xml:space="preserve"> </w:t>
      </w:r>
      <w:r>
        <w:rPr>
          <w:rtl w:val="true"/>
        </w:rPr>
        <w:t>במקרה</w:t>
      </w:r>
      <w:r>
        <w:rPr>
          <w:rFonts w:eastAsia="Arial TUR;Arial" w:cs="Arial TUR;Arial"/>
          <w:rtl w:val="true"/>
        </w:rPr>
        <w:t xml:space="preserve"> </w:t>
      </w:r>
      <w:r>
        <w:rPr>
          <w:rtl w:val="true"/>
        </w:rPr>
        <w:t>דכאן</w:t>
      </w:r>
      <w:r>
        <w:rPr>
          <w:rtl w:val="true"/>
        </w:rPr>
        <w:t xml:space="preserve">. </w:t>
      </w:r>
      <w:r>
        <w:rPr>
          <w:rtl w:val="true"/>
        </w:rPr>
        <w:t>הדרך</w:t>
      </w:r>
      <w:r>
        <w:rPr>
          <w:rFonts w:eastAsia="Arial TUR;Arial" w:cs="Arial TUR;Arial"/>
          <w:rtl w:val="true"/>
        </w:rPr>
        <w:t xml:space="preserve"> </w:t>
      </w:r>
      <w:r>
        <w:rPr>
          <w:rtl w:val="true"/>
        </w:rPr>
        <w:t>הטובה</w:t>
      </w:r>
      <w:r>
        <w:rPr>
          <w:rFonts w:eastAsia="Arial TUR;Arial" w:cs="Arial TUR;Arial"/>
          <w:rtl w:val="true"/>
        </w:rPr>
        <w:t xml:space="preserve"> </w:t>
      </w:r>
      <w:r>
        <w:rPr>
          <w:rtl w:val="true"/>
        </w:rPr>
        <w:t>ביותר</w:t>
      </w:r>
      <w:r>
        <w:rPr>
          <w:rFonts w:eastAsia="Arial TUR;Arial" w:cs="Arial TUR;Arial"/>
          <w:rtl w:val="true"/>
        </w:rPr>
        <w:t xml:space="preserve"> </w:t>
      </w:r>
      <w:r>
        <w:rPr>
          <w:rtl w:val="true"/>
        </w:rPr>
        <w:t>להקטין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התמריץ</w:t>
      </w:r>
      <w:r>
        <w:rPr>
          <w:rFonts w:eastAsia="Arial TUR;Arial" w:cs="Arial TUR;Arial"/>
          <w:rtl w:val="true"/>
        </w:rPr>
        <w:t xml:space="preserve"> </w:t>
      </w:r>
      <w:r>
        <w:rPr>
          <w:rtl w:val="true"/>
        </w:rPr>
        <w:t>המיני</w:t>
      </w:r>
      <w:r>
        <w:rPr>
          <w:rFonts w:eastAsia="Arial TUR;Arial" w:cs="Arial TUR;Arial"/>
          <w:rtl w:val="true"/>
        </w:rPr>
        <w:t xml:space="preserve"> </w:t>
      </w:r>
      <w:r>
        <w:rPr>
          <w:rtl w:val="true"/>
        </w:rPr>
        <w:t>המעוות</w:t>
      </w:r>
      <w:r>
        <w:rPr>
          <w:rFonts w:eastAsia="Arial TUR;Arial" w:cs="Arial TUR;Arial"/>
          <w:rtl w:val="true"/>
        </w:rPr>
        <w:t xml:space="preserve"> </w:t>
      </w:r>
      <w:r>
        <w:rPr>
          <w:rtl w:val="true"/>
        </w:rPr>
        <w:t>ועמו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הפיתוי</w:t>
      </w:r>
      <w:r>
        <w:rPr>
          <w:rFonts w:eastAsia="Arial TUR;Arial" w:cs="Arial TUR;Arial"/>
          <w:rtl w:val="true"/>
        </w:rPr>
        <w:t xml:space="preserve"> </w:t>
      </w:r>
      <w:r>
        <w:rPr>
          <w:rtl w:val="true"/>
        </w:rPr>
        <w:t>לבצע</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הסוג</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עסקינן</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להגדיל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המאסר</w:t>
      </w:r>
      <w:r>
        <w:rPr>
          <w:rFonts w:eastAsia="Arial TUR;Arial" w:cs="Arial TUR;Arial"/>
          <w:rtl w:val="true"/>
        </w:rPr>
        <w:t xml:space="preserve"> </w:t>
      </w:r>
      <w:r>
        <w:rPr>
          <w:rtl w:val="true"/>
        </w:rPr>
        <w:t>המוטל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העבריין</w:t>
      </w:r>
      <w:r>
        <w:rPr>
          <w:rtl w:val="true"/>
        </w:rPr>
        <w:t xml:space="preserve">. </w:t>
      </w:r>
      <w:r>
        <w:rPr>
          <w:rtl w:val="true"/>
        </w:rPr>
        <w:t>מחקרים</w:t>
      </w:r>
      <w:r>
        <w:rPr>
          <w:rFonts w:eastAsia="Arial TUR;Arial" w:cs="Arial TUR;Arial"/>
          <w:rtl w:val="true"/>
        </w:rPr>
        <w:t xml:space="preserve"> </w:t>
      </w:r>
      <w:r>
        <w:rPr>
          <w:rtl w:val="true"/>
        </w:rPr>
        <w:t>תאורטיים</w:t>
      </w:r>
      <w:r>
        <w:rPr>
          <w:rFonts w:eastAsia="Arial TUR;Arial" w:cs="Arial TUR;Arial"/>
          <w:rtl w:val="true"/>
        </w:rPr>
        <w:t xml:space="preserve"> </w:t>
      </w:r>
      <w:r>
        <w:rPr>
          <w:rtl w:val="true"/>
        </w:rPr>
        <w:t>ואמפיריים</w:t>
      </w:r>
      <w:r>
        <w:rPr>
          <w:rFonts w:eastAsia="Arial TUR;Arial" w:cs="Arial TUR;Arial"/>
          <w:rtl w:val="true"/>
        </w:rPr>
        <w:t xml:space="preserve"> </w:t>
      </w:r>
      <w:r>
        <w:rPr>
          <w:rtl w:val="true"/>
        </w:rPr>
        <w:t>בתחום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כלכלה</w:t>
      </w:r>
      <w:r>
        <w:rPr>
          <w:rFonts w:eastAsia="Arial TUR;Arial" w:cs="Arial TUR;Arial"/>
          <w:rtl w:val="true"/>
        </w:rPr>
        <w:t xml:space="preserve"> </w:t>
      </w:r>
      <w:r>
        <w:rPr>
          <w:rtl w:val="true"/>
        </w:rPr>
        <w:t>והכוונת</w:t>
      </w:r>
      <w:r>
        <w:rPr>
          <w:rFonts w:eastAsia="Arial TUR;Arial" w:cs="Arial TUR;Arial"/>
          <w:rtl w:val="true"/>
        </w:rPr>
        <w:t xml:space="preserve"> </w:t>
      </w:r>
      <w:r>
        <w:rPr>
          <w:rtl w:val="true"/>
        </w:rPr>
        <w:t>התנהגות</w:t>
      </w:r>
      <w:r>
        <w:rPr>
          <w:rFonts w:eastAsia="Arial TUR;Arial" w:cs="Arial TUR;Arial"/>
          <w:rtl w:val="true"/>
        </w:rPr>
        <w:t xml:space="preserve"> </w:t>
      </w:r>
      <w:r>
        <w:rPr>
          <w:rtl w:val="true"/>
        </w:rPr>
        <w:t>מראים</w:t>
      </w:r>
      <w:r>
        <w:rPr>
          <w:rFonts w:eastAsia="Arial TUR;Arial" w:cs="Arial TUR;Arial"/>
          <w:rtl w:val="true"/>
        </w:rPr>
        <w:t xml:space="preserve"> </w:t>
      </w:r>
      <w:r>
        <w:rPr>
          <w:rtl w:val="true"/>
        </w:rPr>
        <w:t>שמנגנון</w:t>
      </w:r>
      <w:r>
        <w:rPr>
          <w:rFonts w:eastAsia="Arial TUR;Arial" w:cs="Arial TUR;Arial"/>
          <w:rtl w:val="true"/>
        </w:rPr>
        <w:t xml:space="preserve"> </w:t>
      </w:r>
      <w:r>
        <w:rPr>
          <w:rtl w:val="true"/>
        </w:rPr>
        <w:t>הרתעה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פועל</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משביע</w:t>
      </w:r>
      <w:r>
        <w:rPr>
          <w:rFonts w:eastAsia="Arial TUR;Arial" w:cs="Arial TUR;Arial"/>
          <w:rtl w:val="true"/>
        </w:rPr>
        <w:t xml:space="preserve"> </w:t>
      </w:r>
      <w:r>
        <w:rPr>
          <w:rtl w:val="true"/>
        </w:rPr>
        <w:t>רצון</w:t>
      </w:r>
      <w:r>
        <w:rPr>
          <w:rtl w:val="true"/>
        </w:rPr>
        <w:t xml:space="preserve">. [...] </w:t>
      </w:r>
      <w:r>
        <w:rPr>
          <w:rtl w:val="true"/>
        </w:rPr>
        <w:t>ברי</w:t>
      </w:r>
      <w:r>
        <w:rPr>
          <w:rFonts w:eastAsia="Arial TUR;Arial" w:cs="Arial TUR;Arial"/>
          <w:rtl w:val="true"/>
        </w:rPr>
        <w:t xml:space="preserve"> </w:t>
      </w:r>
      <w:r>
        <w:rPr>
          <w:rtl w:val="true"/>
        </w:rPr>
        <w:t>הוא</w:t>
      </w:r>
      <w:r>
        <w:rPr>
          <w:rtl w:val="true"/>
        </w:rPr>
        <w:t xml:space="preserve">, </w:t>
      </w:r>
      <w:r>
        <w:rPr>
          <w:rtl w:val="true"/>
        </w:rPr>
        <w:t>כי</w:t>
      </w:r>
      <w:r>
        <w:rPr>
          <w:rFonts w:eastAsia="Arial TUR;Arial" w:cs="Arial TUR;Arial"/>
          <w:rtl w:val="true"/>
        </w:rPr>
        <w:t xml:space="preserve"> </w:t>
      </w:r>
      <w:r>
        <w:rPr>
          <w:rtl w:val="true"/>
        </w:rPr>
        <w:t>הגדלת</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תמיד</w:t>
      </w:r>
      <w:r>
        <w:rPr>
          <w:rFonts w:eastAsia="Arial TUR;Arial" w:cs="Arial TUR;Arial"/>
          <w:rtl w:val="true"/>
        </w:rPr>
        <w:t xml:space="preserve"> </w:t>
      </w:r>
      <w:r>
        <w:rPr>
          <w:rtl w:val="true"/>
        </w:rPr>
        <w:t>תהווה</w:t>
      </w:r>
      <w:r>
        <w:rPr>
          <w:rFonts w:eastAsia="Arial TUR;Arial" w:cs="Arial TUR;Arial"/>
          <w:rtl w:val="true"/>
        </w:rPr>
        <w:t xml:space="preserve"> </w:t>
      </w:r>
      <w:r>
        <w:rPr>
          <w:rtl w:val="true"/>
        </w:rPr>
        <w:t>איום</w:t>
      </w:r>
      <w:r>
        <w:rPr>
          <w:rFonts w:eastAsia="Arial TUR;Arial" w:cs="Arial TUR;Arial"/>
          <w:rtl w:val="true"/>
        </w:rPr>
        <w:t xml:space="preserve"> </w:t>
      </w:r>
      <w:r>
        <w:rPr>
          <w:rtl w:val="true"/>
        </w:rPr>
        <w:t>ממשי</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ירתיע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העבריין</w:t>
      </w:r>
      <w:r>
        <w:rPr>
          <w:rFonts w:eastAsia="Arial TUR;Arial" w:cs="Arial TUR;Arial"/>
          <w:rtl w:val="true"/>
        </w:rPr>
        <w:t xml:space="preserve"> </w:t>
      </w:r>
      <w:r>
        <w:rPr>
          <w:rtl w:val="true"/>
        </w:rPr>
        <w:t>בכוח</w:t>
      </w:r>
      <w:r>
        <w:rPr>
          <w:rFonts w:eastAsia="Arial TUR;Arial" w:cs="Arial TUR;Arial"/>
          <w:rtl w:val="true"/>
        </w:rPr>
        <w:t xml:space="preserve"> </w:t>
      </w:r>
      <w:r>
        <w:rPr>
          <w:rtl w:val="true"/>
        </w:rPr>
        <w:t>המונע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יצריו</w:t>
      </w:r>
      <w:r>
        <w:rPr>
          <w:rtl w:val="true"/>
        </w:rPr>
        <w:t xml:space="preserve">. </w:t>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כך</w:t>
      </w:r>
      <w:r>
        <w:rPr>
          <w:rtl w:val="true"/>
        </w:rPr>
        <w:t xml:space="preserve">, </w:t>
      </w:r>
      <w:r>
        <w:rPr>
          <w:rtl w:val="true"/>
        </w:rPr>
        <w:t>בתחום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הורסות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חיי</w:t>
      </w:r>
      <w:r>
        <w:rPr>
          <w:rFonts w:eastAsia="Arial TUR;Arial" w:cs="Arial TUR;Arial"/>
          <w:rtl w:val="true"/>
        </w:rPr>
        <w:t xml:space="preserve"> </w:t>
      </w:r>
      <w:r>
        <w:rPr>
          <w:rtl w:val="true"/>
        </w:rPr>
        <w:t>הקורבנות</w:t>
      </w:r>
      <w:r>
        <w:rPr>
          <w:rFonts w:eastAsia="Arial TUR;Arial" w:cs="Arial TUR;Arial"/>
          <w:rtl w:val="true"/>
        </w:rPr>
        <w:t xml:space="preserve"> </w:t>
      </w:r>
      <w:r>
        <w:rPr>
          <w:rtl w:val="true"/>
        </w:rPr>
        <w:t>–</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רבים</w:t>
      </w:r>
      <w:r>
        <w:rPr>
          <w:rtl w:val="true"/>
        </w:rPr>
        <w:t xml:space="preserve">, </w:t>
      </w:r>
      <w:r>
        <w:rPr>
          <w:rtl w:val="true"/>
        </w:rPr>
        <w:t>קורבנות</w:t>
      </w:r>
      <w:r>
        <w:rPr>
          <w:rFonts w:eastAsia="Arial TUR;Arial" w:cs="Arial TUR;Arial"/>
          <w:rtl w:val="true"/>
        </w:rPr>
        <w:t xml:space="preserve"> </w:t>
      </w:r>
      <w:r>
        <w:rPr>
          <w:rtl w:val="true"/>
        </w:rPr>
        <w:t>חסרי</w:t>
      </w:r>
      <w:r>
        <w:rPr>
          <w:rFonts w:eastAsia="Arial TUR;Arial" w:cs="Arial TUR;Arial"/>
          <w:rtl w:val="true"/>
        </w:rPr>
        <w:t xml:space="preserve"> </w:t>
      </w:r>
      <w:r>
        <w:rPr>
          <w:rtl w:val="true"/>
        </w:rPr>
        <w:t>הגנה</w:t>
      </w:r>
      <w:r>
        <w:rPr>
          <w:rFonts w:eastAsia="Arial TUR;Arial" w:cs="Arial TUR;Arial"/>
          <w:rtl w:val="true"/>
        </w:rPr>
        <w:t xml:space="preserve"> </w:t>
      </w:r>
      <w:r>
        <w:rPr>
          <w:rtl w:val="true"/>
        </w:rPr>
        <w:t>–</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להרתעה</w:t>
      </w:r>
      <w:r>
        <w:rPr>
          <w:rFonts w:eastAsia="Arial TUR;Arial" w:cs="Arial TUR;Arial"/>
          <w:rtl w:val="true"/>
        </w:rPr>
        <w:t xml:space="preserve"> </w:t>
      </w:r>
      <w:r>
        <w:rPr>
          <w:rtl w:val="true"/>
        </w:rPr>
        <w:t>חלקית</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תועלת</w:t>
      </w:r>
      <w:r>
        <w:rPr>
          <w:rFonts w:eastAsia="Arial TUR;Arial" w:cs="Arial TUR;Arial"/>
          <w:rtl w:val="true"/>
        </w:rPr>
        <w:t xml:space="preserve"> </w:t>
      </w:r>
      <w:r>
        <w:rPr>
          <w:rtl w:val="true"/>
        </w:rPr>
        <w:t>חברתית</w:t>
      </w:r>
      <w:r>
        <w:rPr>
          <w:rFonts w:eastAsia="Arial TUR;Arial" w:cs="Arial TUR;Arial"/>
          <w:rtl w:val="true"/>
        </w:rPr>
        <w:t xml:space="preserve"> </w:t>
      </w:r>
      <w:r>
        <w:rPr>
          <w:rtl w:val="true"/>
        </w:rPr>
        <w:t>עצומה</w:t>
      </w:r>
      <w:r>
        <w:rPr>
          <w:rtl w:val="true"/>
        </w:rPr>
        <w:t xml:space="preserve">. [...] </w:t>
      </w:r>
      <w:r>
        <w:rPr>
          <w:rtl w:val="true"/>
        </w:rPr>
        <w:t>אם</w:t>
      </w:r>
      <w:r>
        <w:rPr>
          <w:rFonts w:eastAsia="Arial TUR;Arial" w:cs="Arial TUR;Arial"/>
          <w:rtl w:val="true"/>
        </w:rPr>
        <w:t xml:space="preserve"> </w:t>
      </w:r>
      <w:r>
        <w:rPr>
          <w:rtl w:val="true"/>
        </w:rPr>
        <w:t>החמרה</w:t>
      </w:r>
      <w:r>
        <w:rPr>
          <w:rFonts w:eastAsia="Arial TUR;Arial" w:cs="Arial TUR;Arial"/>
          <w:rtl w:val="true"/>
        </w:rPr>
        <w:t xml:space="preserve"> </w:t>
      </w:r>
      <w:r>
        <w:rPr>
          <w:rtl w:val="true"/>
        </w:rPr>
        <w:t>בעונש</w:t>
      </w:r>
      <w:r>
        <w:rPr>
          <w:rFonts w:eastAsia="Arial TUR;Arial" w:cs="Arial TUR;Arial"/>
          <w:rtl w:val="true"/>
        </w:rPr>
        <w:t xml:space="preserve"> </w:t>
      </w:r>
      <w:r>
        <w:rPr>
          <w:rtl w:val="true"/>
        </w:rPr>
        <w:t>המאסר</w:t>
      </w:r>
      <w:r>
        <w:rPr>
          <w:rFonts w:eastAsia="Arial TUR;Arial" w:cs="Arial TUR;Arial"/>
          <w:rtl w:val="true"/>
        </w:rPr>
        <w:t xml:space="preserve"> </w:t>
      </w:r>
      <w:r>
        <w:rPr>
          <w:rtl w:val="true"/>
        </w:rPr>
        <w:t>תגרום</w:t>
      </w:r>
      <w:r>
        <w:rPr>
          <w:rFonts w:eastAsia="Arial TUR;Arial" w:cs="Arial TUR;Arial"/>
          <w:rtl w:val="true"/>
        </w:rPr>
        <w:t xml:space="preserve"> </w:t>
      </w:r>
      <w:r>
        <w:rPr>
          <w:rtl w:val="true"/>
        </w:rPr>
        <w:t>לעבריין</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לזנוח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תכניתו</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מינית</w:t>
      </w:r>
      <w:r>
        <w:rPr>
          <w:rFonts w:eastAsia="Arial TUR;Arial" w:cs="Arial TUR;Arial"/>
          <w:rtl w:val="true"/>
        </w:rPr>
        <w:t xml:space="preserve"> </w:t>
      </w:r>
      <w:r>
        <w:rPr>
          <w:rtl w:val="true"/>
        </w:rPr>
        <w:t>בילדה</w:t>
      </w:r>
      <w:r>
        <w:rPr>
          <w:rFonts w:eastAsia="Arial TUR;Arial" w:cs="Arial TUR;Arial"/>
          <w:rtl w:val="true"/>
        </w:rPr>
        <w:t xml:space="preserve"> </w:t>
      </w:r>
      <w:r>
        <w:rPr>
          <w:rtl w:val="true"/>
        </w:rPr>
        <w:t>חסרת</w:t>
      </w:r>
      <w:r>
        <w:rPr>
          <w:rFonts w:eastAsia="Arial TUR;Arial" w:cs="Arial TUR;Arial"/>
          <w:rtl w:val="true"/>
        </w:rPr>
        <w:t xml:space="preserve"> </w:t>
      </w:r>
      <w:r>
        <w:rPr>
          <w:rtl w:val="true"/>
        </w:rPr>
        <w:t>ישע</w:t>
      </w:r>
      <w:r>
        <w:rPr>
          <w:rFonts w:eastAsia="Arial TUR;Arial" w:cs="Arial TUR;Arial"/>
          <w:rtl w:val="true"/>
        </w:rPr>
        <w:t xml:space="preserve"> </w:t>
      </w:r>
      <w:r>
        <w:rPr>
          <w:rtl w:val="true"/>
        </w:rPr>
        <w:t>–</w:t>
      </w:r>
      <w:r>
        <w:rPr>
          <w:rFonts w:eastAsia="Arial TUR;Arial" w:cs="Arial TUR;Arial"/>
          <w:rtl w:val="true"/>
        </w:rPr>
        <w:t xml:space="preserve"> </w:t>
      </w:r>
      <w:r>
        <w:rPr>
          <w:rtl w:val="true"/>
        </w:rPr>
        <w:t>דיינו</w:t>
      </w:r>
      <w:r>
        <w:rPr>
          <w:color w:val="000000"/>
          <w:rtl w:val="true"/>
        </w:rPr>
        <w:t xml:space="preserve">. </w:t>
      </w:r>
      <w:r>
        <w:rPr>
          <w:rtl w:val="true"/>
        </w:rPr>
        <w:t>רחמים</w:t>
      </w:r>
      <w:r>
        <w:rPr>
          <w:rFonts w:eastAsia="Arial TUR;Arial" w:cs="Arial TUR;Arial"/>
          <w:rtl w:val="true"/>
        </w:rPr>
        <w:t xml:space="preserve"> </w:t>
      </w:r>
      <w:r>
        <w:rPr>
          <w:rtl w:val="true"/>
        </w:rPr>
        <w:t>בענישתם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עברייני</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דוגמת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דכאן</w:t>
      </w:r>
      <w:r>
        <w:rPr>
          <w:rtl w:val="true"/>
        </w:rPr>
        <w:t xml:space="preserve">, </w:t>
      </w:r>
      <w:r>
        <w:rPr>
          <w:rtl w:val="true"/>
        </w:rPr>
        <w:t>כמוהם</w:t>
      </w:r>
      <w:r>
        <w:rPr>
          <w:rFonts w:eastAsia="Arial TUR;Arial" w:cs="Arial TUR;Arial"/>
          <w:rtl w:val="true"/>
        </w:rPr>
        <w:t xml:space="preserve"> </w:t>
      </w:r>
      <w:r>
        <w:rPr>
          <w:rtl w:val="true"/>
        </w:rPr>
        <w:t>כמשחק</w:t>
      </w:r>
      <w:r>
        <w:rPr>
          <w:rtl w:val="true"/>
        </w:rPr>
        <w:t>-</w:t>
      </w:r>
      <w:r>
        <w:rPr>
          <w:rtl w:val="true"/>
        </w:rPr>
        <w:t>סכום</w:t>
      </w:r>
      <w:r>
        <w:rPr>
          <w:rtl w:val="true"/>
        </w:rPr>
        <w:t>-</w:t>
      </w:r>
      <w:r>
        <w:rPr>
          <w:rtl w:val="true"/>
        </w:rPr>
        <w:t>אפס</w:t>
      </w:r>
      <w:r>
        <w:rPr>
          <w:rtl w:val="true"/>
        </w:rPr>
        <w:t xml:space="preserve">: </w:t>
      </w:r>
      <w:r>
        <w:rPr>
          <w:rtl w:val="true"/>
        </w:rPr>
        <w:t>שופט</w:t>
      </w:r>
      <w:r>
        <w:rPr>
          <w:rFonts w:eastAsia="Arial TUR;Arial" w:cs="Arial TUR;Arial"/>
          <w:rtl w:val="true"/>
        </w:rPr>
        <w:t xml:space="preserve"> </w:t>
      </w:r>
      <w:r>
        <w:rPr>
          <w:rtl w:val="true"/>
        </w:rPr>
        <w:t>שמרחם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עבריין</w:t>
      </w:r>
      <w:r>
        <w:rPr>
          <w:rFonts w:eastAsia="Arial TUR;Arial" w:cs="Arial TUR;Arial"/>
          <w:rtl w:val="true"/>
        </w:rPr>
        <w:t xml:space="preserve"> </w:t>
      </w:r>
      <w:r>
        <w:rPr>
          <w:rtl w:val="true"/>
        </w:rPr>
        <w:t>ומפחית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עונשו</w:t>
      </w:r>
      <w:r>
        <w:rPr>
          <w:rtl w:val="true"/>
        </w:rPr>
        <w:t xml:space="preserve">, </w:t>
      </w:r>
      <w:r>
        <w:rPr>
          <w:rtl w:val="true"/>
        </w:rPr>
        <w:t>תוך</w:t>
      </w:r>
      <w:r>
        <w:rPr>
          <w:rFonts w:eastAsia="Arial TUR;Arial" w:cs="Arial TUR;Arial"/>
          <w:rtl w:val="true"/>
        </w:rPr>
        <w:t xml:space="preserve"> </w:t>
      </w:r>
      <w:r>
        <w:rPr>
          <w:rtl w:val="true"/>
        </w:rPr>
        <w:t>החלשת</w:t>
      </w:r>
      <w:r>
        <w:rPr>
          <w:rFonts w:eastAsia="Arial TUR;Arial" w:cs="Arial TUR;Arial"/>
          <w:rtl w:val="true"/>
        </w:rPr>
        <w:t xml:space="preserve"> </w:t>
      </w:r>
      <w:r>
        <w:rPr>
          <w:rtl w:val="true"/>
        </w:rPr>
        <w:t>ההרתעה</w:t>
      </w:r>
      <w:r>
        <w:rPr>
          <w:rFonts w:eastAsia="Arial TUR;Arial" w:cs="Arial TUR;Arial"/>
          <w:rtl w:val="true"/>
        </w:rPr>
        <w:t xml:space="preserve"> </w:t>
      </w:r>
      <w:r>
        <w:rPr>
          <w:rtl w:val="true"/>
        </w:rPr>
        <w:t>הכללית</w:t>
      </w:r>
      <w:r>
        <w:rPr>
          <w:rtl w:val="true"/>
        </w:rPr>
        <w:t xml:space="preserve">, </w:t>
      </w:r>
      <w:r>
        <w:rPr>
          <w:rtl w:val="true"/>
        </w:rPr>
        <w:t>איננו</w:t>
      </w:r>
      <w:r>
        <w:rPr>
          <w:rFonts w:eastAsia="Arial TUR;Arial" w:cs="Arial TUR;Arial"/>
          <w:rtl w:val="true"/>
        </w:rPr>
        <w:t xml:space="preserve"> </w:t>
      </w:r>
      <w:r>
        <w:rPr>
          <w:rtl w:val="true"/>
        </w:rPr>
        <w:t>מרחם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הקורבנות</w:t>
      </w:r>
      <w:r>
        <w:rPr>
          <w:rtl w:val="true"/>
        </w:rPr>
        <w:t>.</w:t>
      </w:r>
    </w:p>
    <w:p>
      <w:pPr>
        <w:pStyle w:val="Ruller5"/>
        <w:ind w:end="1282"/>
        <w:jc w:val="both"/>
        <w:rPr>
          <w:szCs w:val="24"/>
        </w:rPr>
      </w:pPr>
      <w:r>
        <w:rPr>
          <w:szCs w:val="24"/>
          <w:rtl w:val="true"/>
        </w:rPr>
      </w:r>
    </w:p>
    <w:p>
      <w:pPr>
        <w:pStyle w:val="Ruller5"/>
        <w:ind w:end="1282"/>
        <w:jc w:val="both"/>
        <w:rPr/>
      </w:pPr>
      <w:r>
        <w:rPr>
          <w:rtl w:val="true"/>
        </w:rPr>
        <w:t>[...]</w:t>
      </w:r>
    </w:p>
    <w:p>
      <w:pPr>
        <w:pStyle w:val="Ruller5"/>
        <w:ind w:end="1282"/>
        <w:jc w:val="both"/>
        <w:rPr/>
      </w:pPr>
      <w:r>
        <w:rPr>
          <w:rtl w:val="true"/>
        </w:rPr>
      </w:r>
    </w:p>
    <w:p>
      <w:pPr>
        <w:pStyle w:val="Ruller5"/>
        <w:ind w:end="1282"/>
        <w:jc w:val="both"/>
        <w:rPr/>
      </w:pPr>
      <w:r>
        <w:rPr>
          <w:rtl w:val="true"/>
        </w:rPr>
        <w:t>[</w:t>
      </w:r>
      <w:r>
        <w:rPr>
          <w:rtl w:val="true"/>
        </w:rPr>
        <w:t>באשר</w:t>
      </w:r>
      <w:r>
        <w:rPr>
          <w:rtl w:val="true"/>
        </w:rPr>
        <w:t xml:space="preserve">] </w:t>
      </w:r>
      <w:r>
        <w:rPr>
          <w:rtl w:val="true"/>
        </w:rPr>
        <w:t>לאיזון</w:t>
      </w:r>
      <w:r>
        <w:rPr>
          <w:rFonts w:eastAsia="Arial TUR;Arial" w:cs="Arial TUR;Arial"/>
          <w:rtl w:val="true"/>
        </w:rPr>
        <w:t xml:space="preserve"> </w:t>
      </w:r>
      <w:r>
        <w:rPr>
          <w:rtl w:val="true"/>
        </w:rPr>
        <w:t>המוסרי</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העבריין</w:t>
      </w:r>
      <w:r>
        <w:rPr>
          <w:rFonts w:eastAsia="Arial TUR;Arial" w:cs="Arial TUR;Arial"/>
          <w:rtl w:val="true"/>
        </w:rPr>
        <w:t xml:space="preserve"> </w:t>
      </w:r>
      <w:r>
        <w:rPr>
          <w:rtl w:val="true"/>
        </w:rPr>
        <w:t>לקורבן</w:t>
      </w:r>
      <w:r>
        <w:rPr>
          <w:rtl w:val="true"/>
        </w:rPr>
        <w:t xml:space="preserve">, </w:t>
      </w:r>
      <w:r>
        <w:rPr>
          <w:rtl w:val="true"/>
        </w:rPr>
        <w:t>אשר</w:t>
      </w:r>
      <w:r>
        <w:rPr>
          <w:rFonts w:eastAsia="Arial TUR;Arial" w:cs="Arial TUR;Arial"/>
          <w:rtl w:val="true"/>
        </w:rPr>
        <w:t xml:space="preserve"> </w:t>
      </w:r>
      <w:r>
        <w:rPr>
          <w:rtl w:val="true"/>
        </w:rPr>
        <w:t>מהווה</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מעיקרון</w:t>
      </w:r>
      <w:r>
        <w:rPr>
          <w:rFonts w:eastAsia="Arial TUR;Arial" w:cs="Arial TUR;Arial"/>
          <w:rtl w:val="true"/>
        </w:rPr>
        <w:t xml:space="preserve"> </w:t>
      </w:r>
      <w:r>
        <w:rPr>
          <w:rtl w:val="true"/>
        </w:rPr>
        <w:t>ההלימה</w:t>
      </w:r>
      <w:r>
        <w:rPr>
          <w:rFonts w:eastAsia="Arial TUR;Arial" w:cs="Arial TUR;Arial"/>
          <w:rtl w:val="true"/>
        </w:rPr>
        <w:t xml:space="preserve"> </w:t>
      </w:r>
      <w:r>
        <w:rPr>
          <w:rtl w:val="true"/>
        </w:rPr>
        <w:t>המעוגן</w:t>
      </w:r>
      <w:r>
        <w:rPr>
          <w:rFonts w:eastAsia="Arial TUR;Arial" w:cs="Arial TUR;Arial"/>
          <w:rtl w:val="true"/>
        </w:rPr>
        <w:t xml:space="preserve"> </w:t>
      </w:r>
      <w:r>
        <w:rPr>
          <w:rtl w:val="true"/>
        </w:rPr>
        <w:t>בתיקון</w:t>
      </w:r>
      <w:r>
        <w:rPr>
          <w:rFonts w:eastAsia="Arial TUR;Arial" w:cs="Arial TUR;Arial"/>
          <w:rtl w:val="true"/>
        </w:rPr>
        <w:t xml:space="preserve"> </w:t>
      </w:r>
      <w:r>
        <w:rPr/>
        <w:t>113</w:t>
      </w:r>
      <w:r>
        <w:rPr>
          <w:rtl w:val="true"/>
        </w:rPr>
        <w:t xml:space="preserve"> </w:t>
      </w:r>
      <w:r>
        <w:rPr>
          <w:rtl w:val="true"/>
        </w:rPr>
        <w:t>ל</w:t>
      </w:r>
      <w:hyperlink r:id="rId50">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Fonts w:eastAsia="Arial TUR;Arial" w:cs="Arial TUR;Arial"/>
          <w:rtl w:val="true"/>
        </w:rPr>
        <w:t xml:space="preserve"> </w:t>
      </w:r>
      <w:r>
        <w:rPr>
          <w:rtl w:val="true"/>
        </w:rPr>
        <w:t>[,]</w:t>
      </w:r>
      <w:r>
        <w:rPr>
          <w:rtl w:val="true"/>
        </w:rPr>
        <w:t xml:space="preserve"> </w:t>
      </w:r>
      <w:r>
        <w:rPr>
          <w:rtl w:val="true"/>
        </w:rPr>
        <w:t>עיקרון</w:t>
      </w:r>
      <w:r>
        <w:rPr>
          <w:rFonts w:eastAsia="Arial TUR;Arial" w:cs="Arial TUR;Arial"/>
          <w:rtl w:val="true"/>
        </w:rPr>
        <w:t xml:space="preserve"> </w:t>
      </w:r>
      <w:r>
        <w:rPr>
          <w:rtl w:val="true"/>
        </w:rPr>
        <w:t>ההלימה</w:t>
      </w:r>
      <w:r>
        <w:rPr>
          <w:rFonts w:eastAsia="Arial TUR;Arial" w:cs="Arial TUR;Arial"/>
          <w:rtl w:val="true"/>
        </w:rPr>
        <w:t xml:space="preserve"> </w:t>
      </w:r>
      <w:r>
        <w:rPr>
          <w:rtl w:val="true"/>
        </w:rPr>
        <w:t>מחייב</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ענישת</w:t>
      </w:r>
      <w:r>
        <w:rPr>
          <w:rFonts w:eastAsia="Arial TUR;Arial" w:cs="Arial TUR;Arial"/>
          <w:rtl w:val="true"/>
        </w:rPr>
        <w:t xml:space="preserve"> </w:t>
      </w:r>
      <w:r>
        <w:rPr>
          <w:rtl w:val="true"/>
        </w:rPr>
        <w:t>העבריין</w:t>
      </w:r>
      <w:r>
        <w:rPr>
          <w:rFonts w:eastAsia="Arial TUR;Arial" w:cs="Arial TUR;Arial"/>
          <w:rtl w:val="true"/>
        </w:rPr>
        <w:t xml:space="preserve"> </w:t>
      </w:r>
      <w:r>
        <w:rPr>
          <w:rtl w:val="true"/>
        </w:rPr>
        <w:t>תביא</w:t>
      </w:r>
      <w:r>
        <w:rPr>
          <w:rFonts w:eastAsia="Arial TUR;Arial" w:cs="Arial TUR;Arial"/>
          <w:rtl w:val="true"/>
        </w:rPr>
        <w:t xml:space="preserve"> </w:t>
      </w:r>
      <w:r>
        <w:rPr>
          <w:rtl w:val="true"/>
        </w:rPr>
        <w:t>לתיקון</w:t>
      </w:r>
      <w:r>
        <w:rPr>
          <w:rFonts w:eastAsia="Arial TUR;Arial" w:cs="Arial TUR;Arial"/>
          <w:rtl w:val="true"/>
        </w:rPr>
        <w:t xml:space="preserve"> </w:t>
      </w:r>
      <w:r>
        <w:rPr>
          <w:rtl w:val="true"/>
        </w:rPr>
        <w:t>מוסרי</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ישקם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ערכה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הנפגעת</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כאדם</w:t>
      </w:r>
      <w:r>
        <w:rPr>
          <w:rFonts w:eastAsia="Arial TUR;Arial" w:cs="Arial TUR;Arial"/>
          <w:rtl w:val="true"/>
        </w:rPr>
        <w:t xml:space="preserve"> </w:t>
      </w:r>
      <w:r>
        <w:rPr>
          <w:rtl w:val="true"/>
        </w:rPr>
        <w:t>בן</w:t>
      </w:r>
      <w:r>
        <w:rPr>
          <w:rFonts w:eastAsia="Arial TUR;Arial" w:cs="Arial TUR;Arial"/>
          <w:rtl w:val="true"/>
        </w:rPr>
        <w:t xml:space="preserve"> </w:t>
      </w:r>
      <w:r>
        <w:rPr>
          <w:rtl w:val="true"/>
        </w:rPr>
        <w:t>חורין</w:t>
      </w:r>
      <w:r>
        <w:rPr>
          <w:rFonts w:eastAsia="Arial TUR;Arial" w:cs="Arial TUR;Arial"/>
          <w:rtl w:val="true"/>
        </w:rPr>
        <w:t xml:space="preserve"> </w:t>
      </w:r>
      <w:r>
        <w:rPr>
          <w:rtl w:val="true"/>
        </w:rPr>
        <w:t>הזכאי</w:t>
      </w:r>
      <w:r>
        <w:rPr>
          <w:rFonts w:eastAsia="Arial TUR;Arial" w:cs="Arial TUR;Arial"/>
          <w:rtl w:val="true"/>
        </w:rPr>
        <w:t xml:space="preserve"> </w:t>
      </w:r>
      <w:r>
        <w:rPr>
          <w:rtl w:val="true"/>
        </w:rPr>
        <w:t>לשלמות</w:t>
      </w:r>
      <w:r>
        <w:rPr>
          <w:rFonts w:eastAsia="Arial TUR;Arial" w:cs="Arial TUR;Arial"/>
          <w:rtl w:val="true"/>
        </w:rPr>
        <w:t xml:space="preserve"> </w:t>
      </w:r>
      <w:r>
        <w:rPr>
          <w:rtl w:val="true"/>
        </w:rPr>
        <w:t>גוף</w:t>
      </w:r>
      <w:r>
        <w:rPr>
          <w:rFonts w:eastAsia="Arial TUR;Arial" w:cs="Arial TUR;Arial"/>
          <w:rtl w:val="true"/>
        </w:rPr>
        <w:t xml:space="preserve"> </w:t>
      </w:r>
      <w:r>
        <w:rPr>
          <w:rtl w:val="true"/>
        </w:rPr>
        <w:t>ולחופש</w:t>
      </w:r>
      <w:r>
        <w:rPr>
          <w:rFonts w:eastAsia="Arial TUR;Arial" w:cs="Arial TUR;Arial"/>
          <w:rtl w:val="true"/>
        </w:rPr>
        <w:t xml:space="preserve"> </w:t>
      </w:r>
      <w:r>
        <w:rPr>
          <w:rtl w:val="true"/>
        </w:rPr>
        <w:t>הרצון</w:t>
      </w:r>
      <w:r>
        <w:rPr>
          <w:rtl w:val="true"/>
        </w:rPr>
        <w:t xml:space="preserve">. </w:t>
      </w:r>
      <w:r>
        <w:rPr>
          <w:rtl w:val="true"/>
        </w:rPr>
        <w:t>העבריין</w:t>
      </w:r>
      <w:r>
        <w:rPr>
          <w:rFonts w:eastAsia="Arial TUR;Arial" w:cs="Arial TUR;Arial"/>
          <w:rtl w:val="true"/>
        </w:rPr>
        <w:t xml:space="preserve"> </w:t>
      </w:r>
      <w:r>
        <w:rPr>
          <w:rtl w:val="true"/>
        </w:rPr>
        <w:t>שלל</w:t>
      </w:r>
      <w:r>
        <w:rPr>
          <w:rFonts w:eastAsia="Arial TUR;Arial" w:cs="Arial TUR;Arial"/>
          <w:rtl w:val="true"/>
        </w:rPr>
        <w:t xml:space="preserve"> </w:t>
      </w:r>
      <w:r>
        <w:rPr>
          <w:rtl w:val="true"/>
        </w:rPr>
        <w:t>ערך</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הפחיתו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כפייה</w:t>
      </w:r>
      <w:r>
        <w:rPr>
          <w:rFonts w:eastAsia="Arial TUR;Arial" w:cs="Arial TUR;Arial"/>
          <w:rtl w:val="true"/>
        </w:rPr>
        <w:t xml:space="preserve"> </w:t>
      </w:r>
      <w:r>
        <w:rPr>
          <w:rtl w:val="true"/>
        </w:rPr>
        <w:t>פוגעני</w:t>
      </w:r>
      <w:r>
        <w:rPr>
          <w:rtl w:val="true"/>
        </w:rPr>
        <w:t xml:space="preserve">. </w:t>
      </w:r>
      <w:r>
        <w:rPr>
          <w:rtl w:val="true"/>
        </w:rPr>
        <w:t>התיקון</w:t>
      </w:r>
      <w:r>
        <w:rPr>
          <w:rFonts w:eastAsia="Arial TUR;Arial" w:cs="Arial TUR;Arial"/>
          <w:rtl w:val="true"/>
        </w:rPr>
        <w:t xml:space="preserve"> </w:t>
      </w:r>
      <w:r>
        <w:rPr>
          <w:rtl w:val="true"/>
        </w:rPr>
        <w:t>הדרוש</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ייעשה</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העבריין</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יהא</w:t>
      </w:r>
      <w:r>
        <w:rPr>
          <w:rFonts w:eastAsia="Arial TUR;Arial" w:cs="Arial TUR;Arial"/>
          <w:rtl w:val="true"/>
        </w:rPr>
        <w:t xml:space="preserve"> </w:t>
      </w:r>
      <w:r>
        <w:rPr>
          <w:rtl w:val="true"/>
        </w:rPr>
        <w:t>שקול</w:t>
      </w:r>
      <w:r>
        <w:rPr>
          <w:rFonts w:eastAsia="Arial TUR;Arial" w:cs="Arial TUR;Arial"/>
          <w:rtl w:val="true"/>
        </w:rPr>
        <w:t xml:space="preserve"> </w:t>
      </w:r>
      <w:r>
        <w:rPr>
          <w:rtl w:val="true"/>
        </w:rPr>
        <w:t>כנגד</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שעולל</w:t>
      </w:r>
      <w:r>
        <w:rPr>
          <w:rFonts w:eastAsia="Arial TUR;Arial" w:cs="Arial TUR;Arial"/>
          <w:rtl w:val="true"/>
        </w:rPr>
        <w:t xml:space="preserve"> </w:t>
      </w:r>
      <w:r>
        <w:rPr>
          <w:rtl w:val="true"/>
        </w:rPr>
        <w:t>לקורבנו</w:t>
      </w:r>
      <w:r>
        <w:rPr>
          <w:rtl w:val="true"/>
        </w:rPr>
        <w:t>.</w:t>
      </w:r>
      <w:r>
        <w:rPr>
          <w:rtl w:val="true"/>
        </w:rPr>
        <w:t xml:space="preserve">  </w:t>
      </w:r>
      <w:r>
        <w:rPr>
          <w:rtl w:val="true"/>
        </w:rPr>
        <w:t>אשר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כן</w:t>
      </w:r>
      <w:r>
        <w:rPr>
          <w:rtl w:val="true"/>
        </w:rPr>
        <w:t xml:space="preserve">, [...] </w:t>
      </w:r>
      <w:r>
        <w:rPr>
          <w:rtl w:val="true"/>
        </w:rPr>
        <w:t>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שייצא</w:t>
      </w:r>
      <w:r>
        <w:rPr>
          <w:rFonts w:eastAsia="Arial TUR;Arial" w:cs="Arial TUR;Arial"/>
          <w:rtl w:val="true"/>
        </w:rPr>
        <w:t xml:space="preserve"> </w:t>
      </w:r>
      <w:r>
        <w:rPr>
          <w:rtl w:val="true"/>
        </w:rPr>
        <w:t>מתחת</w:t>
      </w:r>
      <w:r>
        <w:rPr>
          <w:rFonts w:eastAsia="Arial TUR;Arial" w:cs="Arial TUR;Arial"/>
          <w:rtl w:val="true"/>
        </w:rPr>
        <w:t xml:space="preserve"> </w:t>
      </w:r>
      <w:r>
        <w:rPr>
          <w:rtl w:val="true"/>
        </w:rPr>
        <w:t>לידינו</w:t>
      </w:r>
      <w:r>
        <w:rPr>
          <w:rFonts w:eastAsia="Arial TUR;Arial" w:cs="Arial TUR;Arial"/>
          <w:rtl w:val="true"/>
        </w:rPr>
        <w:t xml:space="preserve"> </w:t>
      </w:r>
      <w:r>
        <w:rPr>
          <w:rtl w:val="true"/>
        </w:rPr>
        <w:t>צריך</w:t>
      </w:r>
      <w:r>
        <w:rPr>
          <w:rFonts w:eastAsia="Arial TUR;Arial" w:cs="Arial TUR;Arial"/>
          <w:rtl w:val="true"/>
        </w:rPr>
        <w:t xml:space="preserve"> </w:t>
      </w:r>
      <w:r>
        <w:rPr>
          <w:rtl w:val="true"/>
        </w:rPr>
        <w:t>[</w:t>
      </w:r>
      <w:r>
        <w:rPr>
          <w:rtl w:val="true"/>
        </w:rPr>
        <w:t>שיאמר</w:t>
      </w:r>
      <w:r>
        <w:rPr>
          <w:rtl w:val="true"/>
        </w:rPr>
        <w:t xml:space="preserve">] </w:t>
      </w:r>
      <w:r>
        <w:rPr>
          <w:rtl w:val="true"/>
        </w:rPr>
        <w:t>למתלוננת</w:t>
      </w:r>
      <w:r>
        <w:rPr>
          <w:rtl w:val="true"/>
        </w:rPr>
        <w:t xml:space="preserve">, </w:t>
      </w:r>
      <w:r>
        <w:rPr>
          <w:rtl w:val="true"/>
        </w:rPr>
        <w:t>ללא</w:t>
      </w:r>
      <w:r>
        <w:rPr>
          <w:rFonts w:eastAsia="Arial TUR;Arial" w:cs="Arial TUR;Arial"/>
          <w:rtl w:val="true"/>
        </w:rPr>
        <w:t xml:space="preserve"> </w:t>
      </w:r>
      <w:r>
        <w:rPr>
          <w:rtl w:val="true"/>
        </w:rPr>
        <w:t>כחל</w:t>
      </w:r>
      <w:r>
        <w:rPr>
          <w:rFonts w:eastAsia="Arial TUR;Arial" w:cs="Arial TUR;Arial"/>
          <w:rtl w:val="true"/>
        </w:rPr>
        <w:t xml:space="preserve"> </w:t>
      </w:r>
      <w:r>
        <w:rPr>
          <w:rtl w:val="true"/>
        </w:rPr>
        <w:t>וסרק</w:t>
      </w:r>
      <w:r>
        <w:rPr>
          <w:rtl w:val="true"/>
        </w:rPr>
        <w:t xml:space="preserve">, </w:t>
      </w:r>
      <w:r>
        <w:rPr>
          <w:rtl w:val="true"/>
        </w:rPr>
        <w:t>כי</w:t>
      </w:r>
      <w:r>
        <w:rPr>
          <w:rFonts w:eastAsia="Arial TUR;Arial" w:cs="Arial TUR;Arial"/>
          <w:rtl w:val="true"/>
        </w:rPr>
        <w:t xml:space="preserve"> </w:t>
      </w:r>
      <w:r>
        <w:rPr>
          <w:rtl w:val="true"/>
        </w:rPr>
        <w:t>זעקתה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זעקתנו</w:t>
      </w:r>
      <w:r>
        <w:rPr>
          <w:rtl w:val="true"/>
        </w:rPr>
        <w:t xml:space="preserve">. </w:t>
      </w:r>
      <w:r>
        <w:rPr>
          <w:rtl w:val="true"/>
        </w:rPr>
        <w:t>בפחות</w:t>
      </w:r>
      <w:r>
        <w:rPr>
          <w:rFonts w:eastAsia="Arial TUR;Arial" w:cs="Arial TUR;Arial"/>
          <w:rtl w:val="true"/>
        </w:rPr>
        <w:t xml:space="preserve"> </w:t>
      </w:r>
      <w:r>
        <w:rPr>
          <w:rtl w:val="true"/>
        </w:rPr>
        <w:t>מכך</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נוכל</w:t>
      </w:r>
      <w:r>
        <w:rPr>
          <w:rFonts w:eastAsia="Arial TUR;Arial" w:cs="Arial TUR;Arial"/>
          <w:rtl w:val="true"/>
        </w:rPr>
        <w:t xml:space="preserve"> </w:t>
      </w:r>
      <w:r>
        <w:rPr>
          <w:rtl w:val="true"/>
        </w:rPr>
        <w:t>להסתפק</w:t>
      </w:r>
      <w:r>
        <w:rPr>
          <w:rtl w:val="true"/>
        </w:rPr>
        <w:t>" (</w:t>
      </w:r>
      <w:r>
        <w:rPr>
          <w:rtl w:val="true"/>
        </w:rPr>
        <w:t>ראו</w:t>
      </w:r>
      <w:r>
        <w:rPr>
          <w:rFonts w:eastAsia="Arial TUR;Arial" w:cs="Arial TUR;Arial"/>
          <w:rtl w:val="true"/>
        </w:rPr>
        <w:t xml:space="preserve"> </w:t>
      </w:r>
      <w:hyperlink r:id="rId5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4802/18</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פסקאות</w:t>
      </w:r>
      <w:r>
        <w:rPr>
          <w:rFonts w:eastAsia="Arial TUR;Arial" w:cs="Arial TUR;Arial"/>
          <w:rtl w:val="true"/>
        </w:rPr>
        <w:t xml:space="preserve"> </w:t>
      </w:r>
      <w:r>
        <w:rPr/>
        <w:t>36-35</w:t>
      </w:r>
      <w:r>
        <w:rPr>
          <w:rtl w:val="true"/>
        </w:rPr>
        <w:t xml:space="preserve"> </w:t>
      </w:r>
      <w:r>
        <w:rPr>
          <w:sz w:val="28"/>
          <w:rtl w:val="true"/>
        </w:rPr>
        <w:t>(</w:t>
      </w:r>
      <w:r>
        <w:rPr>
          <w:sz w:val="28"/>
        </w:rPr>
        <w:t>29.1.2019</w:t>
      </w:r>
      <w:r>
        <w:rPr>
          <w:sz w:val="28"/>
          <w:rtl w:val="true"/>
        </w:rPr>
        <w:t>) (</w:t>
      </w:r>
      <w:r>
        <w:rPr>
          <w:sz w:val="28"/>
          <w:sz w:val="28"/>
          <w:rtl w:val="true"/>
        </w:rPr>
        <w:t>ההפניות</w:t>
      </w:r>
      <w:r>
        <w:rPr>
          <w:rFonts w:eastAsia="Arial TUR;Arial" w:cs="Arial TUR;Arial"/>
          <w:sz w:val="28"/>
          <w:sz w:val="28"/>
          <w:rtl w:val="true"/>
        </w:rPr>
        <w:t xml:space="preserve"> </w:t>
      </w:r>
      <w:r>
        <w:rPr>
          <w:sz w:val="28"/>
          <w:sz w:val="28"/>
          <w:rtl w:val="true"/>
        </w:rPr>
        <w:t>הושמטו</w:t>
      </w:r>
      <w:r>
        <w:rPr>
          <w:rFonts w:eastAsia="Arial TUR;Arial" w:cs="Arial TUR;Arial"/>
          <w:sz w:val="28"/>
          <w:sz w:val="28"/>
          <w:rtl w:val="true"/>
        </w:rPr>
        <w:t xml:space="preserve"> </w:t>
      </w:r>
      <w:r>
        <w:rPr>
          <w:sz w:val="28"/>
          <w:sz w:val="28"/>
          <w:rtl w:val="true"/>
        </w:rPr>
        <w:t>–</w:t>
      </w:r>
      <w:r>
        <w:rPr>
          <w:rFonts w:eastAsia="Arial TUR;Arial" w:cs="Arial TUR;Arial"/>
          <w:sz w:val="28"/>
          <w:sz w:val="28"/>
          <w:rtl w:val="true"/>
        </w:rPr>
        <w:t xml:space="preserve"> </w:t>
      </w:r>
      <w:r>
        <w:rPr>
          <w:sz w:val="28"/>
          <w:sz w:val="28"/>
          <w:rtl w:val="true"/>
        </w:rPr>
        <w:t>א</w:t>
      </w:r>
      <w:r>
        <w:rPr>
          <w:sz w:val="28"/>
          <w:rtl w:val="true"/>
        </w:rPr>
        <w:t>.</w:t>
      </w:r>
      <w:r>
        <w:rPr>
          <w:sz w:val="28"/>
          <w:sz w:val="28"/>
          <w:rtl w:val="true"/>
        </w:rPr>
        <w:t>ש</w:t>
      </w:r>
      <w:r>
        <w:rPr>
          <w:sz w:val="28"/>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עקרונות ענישה אלה חלים בענייננו ללא כל סייג</w:t>
      </w:r>
      <w:r>
        <w:rPr>
          <w:rtl w:val="true"/>
        </w:rPr>
        <w:t xml:space="preserve">. </w:t>
      </w:r>
      <w:r>
        <w:rPr>
          <w:rtl w:val="true"/>
        </w:rPr>
        <w:t>עקרונות אלה ומטרות הענישה ייפגעו אם נפחית מעונשו של המערער</w:t>
      </w:r>
      <w:r>
        <w:rPr>
          <w:rtl w:val="true"/>
        </w:rPr>
        <w:t xml:space="preserve">, </w:t>
      </w:r>
      <w:r>
        <w:rPr>
          <w:rtl w:val="true"/>
        </w:rPr>
        <w:t>ולו במקצת</w:t>
      </w:r>
      <w:r>
        <w:rPr>
          <w:rtl w:val="true"/>
        </w:rPr>
        <w:t xml:space="preserve">. </w:t>
      </w:r>
      <w:r>
        <w:rPr>
          <w:rtl w:val="true"/>
        </w:rPr>
        <w:t>חברתי</w:t>
      </w:r>
      <w:r>
        <w:rPr>
          <w:rtl w:val="true"/>
        </w:rPr>
        <w:t xml:space="preserve">, </w:t>
      </w:r>
      <w:r>
        <w:rPr>
          <w:rtl w:val="true"/>
        </w:rPr>
        <w:t xml:space="preserve">השופטת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וילנר</w:t>
      </w:r>
      <w:r>
        <w:rPr>
          <w:rtl w:val="true"/>
        </w:rPr>
        <w:t xml:space="preserve">, </w:t>
      </w:r>
      <w:r>
        <w:rPr>
          <w:rtl w:val="true"/>
        </w:rPr>
        <w:t>אשר היתה שותפה לפסק דיני ב</w:t>
      </w:r>
      <w:hyperlink r:id="rId5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4802/18</w:t>
        </w:r>
      </w:hyperlink>
      <w:r>
        <w:rPr>
          <w:rtl w:val="true"/>
        </w:rPr>
        <w:t xml:space="preserve"> </w:t>
      </w:r>
      <w:r>
        <w:rPr>
          <w:rtl w:val="true"/>
        </w:rPr>
        <w:t>הנ</w:t>
      </w:r>
      <w:r>
        <w:rPr>
          <w:rtl w:val="true"/>
        </w:rPr>
        <w:t>"</w:t>
      </w:r>
      <w:r>
        <w:rPr>
          <w:rtl w:val="true"/>
        </w:rPr>
        <w:t>ל</w:t>
      </w:r>
      <w:r>
        <w:rPr>
          <w:rtl w:val="true"/>
        </w:rPr>
        <w:t xml:space="preserve">, </w:t>
      </w:r>
      <w:r>
        <w:rPr>
          <w:rtl w:val="true"/>
        </w:rPr>
        <w:t>ביקשה לסייג את דבריי דשם על יד הערה בדבר חשיבותו של שיקום העבריין</w:t>
      </w:r>
      <w:r>
        <w:rPr>
          <w:rtl w:val="true"/>
        </w:rPr>
        <w:t xml:space="preserve">. </w:t>
      </w:r>
      <w:r>
        <w:rPr>
          <w:rtl w:val="true"/>
        </w:rPr>
        <w:t xml:space="preserve">הנני מסכים עם חברתי כי שיקום יכול שיהווה שיקול להקלה בעונש במקרים מתאימים </w:t>
      </w:r>
      <w:r>
        <w:rPr>
          <w:rtl w:val="true"/>
        </w:rPr>
        <w:t>–</w:t>
      </w:r>
      <w:r>
        <w:rPr>
          <w:rtl w:val="true"/>
        </w:rPr>
        <w:t xml:space="preserve"> המחוקק קבע כך </w:t>
      </w:r>
      <w:hyperlink r:id="rId53">
        <w:r>
          <w:rPr>
            <w:rStyle w:val="Hyperlink"/>
            <w:color w:val="0000FF"/>
            <w:u w:val="single"/>
            <w:rtl w:val="true"/>
          </w:rPr>
          <w:t>בסעיף</w:t>
        </w:r>
        <w:r>
          <w:rPr>
            <w:rStyle w:val="Hyperlink"/>
            <w:color w:val="0000FF"/>
            <w:u w:val="single"/>
            <w:rtl w:val="true"/>
          </w:rPr>
          <w:t xml:space="preserve"> </w:t>
        </w:r>
        <w:r>
          <w:rPr>
            <w:rStyle w:val="Hyperlink"/>
            <w:color w:val="0000FF"/>
            <w:u w:val="single"/>
          </w:rPr>
          <w:t>40</w:t>
        </w:r>
        <w:r>
          <w:rPr>
            <w:rStyle w:val="Hyperlink"/>
            <w:color w:val="0000FF"/>
            <w:u w:val="single"/>
            <w:rtl w:val="true"/>
          </w:rPr>
          <w:t>ד</w:t>
        </w:r>
      </w:hyperlink>
      <w:r>
        <w:rPr>
          <w:rtl w:val="true"/>
        </w:rPr>
        <w:t xml:space="preserve"> ל</w:t>
      </w:r>
      <w:hyperlink r:id="rId5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ואת דברו נקיים</w:t>
      </w:r>
      <w:r>
        <w:rPr>
          <w:rtl w:val="true"/>
        </w:rPr>
        <w:t xml:space="preserve">. </w:t>
      </w:r>
      <w:r>
        <w:rPr>
          <w:rtl w:val="true"/>
        </w:rPr>
        <w:t>דא עקא</w:t>
      </w:r>
      <w:r>
        <w:rPr>
          <w:rtl w:val="true"/>
        </w:rPr>
        <w:t xml:space="preserve">, </w:t>
      </w:r>
      <w:r>
        <w:rPr>
          <w:rtl w:val="true"/>
        </w:rPr>
        <w:t>הקלה בעונשו של עבריין שביצע עבירות מין בעלות חומרה יתרה לא תתאפשר אלא במקרים מיוחדים ויוצאי דופן</w:t>
      </w:r>
      <w:r>
        <w:rPr>
          <w:rtl w:val="true"/>
        </w:rPr>
        <w:t xml:space="preserve">, </w:t>
      </w:r>
      <w:r>
        <w:rPr>
          <w:rtl w:val="true"/>
        </w:rPr>
        <w:t xml:space="preserve">כאמור </w:t>
      </w:r>
      <w:hyperlink r:id="rId55">
        <w:r>
          <w:rPr>
            <w:rStyle w:val="Hyperlink"/>
            <w:color w:val="0000FF"/>
            <w:u w:val="single"/>
            <w:rtl w:val="true"/>
          </w:rPr>
          <w:t>בסעיף</w:t>
        </w:r>
        <w:r>
          <w:rPr>
            <w:rStyle w:val="Hyperlink"/>
            <w:color w:val="0000FF"/>
            <w:u w:val="single"/>
            <w:rtl w:val="true"/>
          </w:rPr>
          <w:t xml:space="preserve"> </w:t>
        </w:r>
        <w:r>
          <w:rPr>
            <w:rStyle w:val="Hyperlink"/>
            <w:color w:val="0000FF"/>
            <w:u w:val="single"/>
          </w:rPr>
          <w:t>40</w:t>
        </w:r>
        <w:r>
          <w:rPr>
            <w:rStyle w:val="Hyperlink"/>
            <w:color w:val="0000FF"/>
            <w:u w:val="single"/>
            <w:rtl w:val="true"/>
          </w:rPr>
          <w:t>ד</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5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המקרה דנן איננו נמנה עם אותם מקרים חריגים</w:t>
      </w:r>
      <w:r>
        <w:rPr>
          <w:rtl w:val="true"/>
        </w:rPr>
        <w:t xml:space="preserve">, </w:t>
      </w:r>
      <w:r>
        <w:rPr>
          <w:rtl w:val="true"/>
        </w:rPr>
        <w:t>ודי אם אציין בהקשר זה כי המערער שעומד לפנינו כלל לא לקח אחריות למעשיו</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סוף דבר</w:t>
      </w:r>
      <w:r>
        <w:rPr>
          <w:rtl w:val="true"/>
        </w:rPr>
        <w:t xml:space="preserve">: </w:t>
      </w:r>
      <w:r>
        <w:rPr>
          <w:rtl w:val="true"/>
        </w:rPr>
        <w:t>הנני מציע לחברותיי כי נדחה את הערעור הנוכחי על כל חלקיו</w:t>
      </w:r>
      <w:r>
        <w:rPr>
          <w:rtl w:val="true"/>
        </w:rPr>
        <w:t>.</w:t>
      </w:r>
    </w:p>
    <w:p>
      <w:pPr>
        <w:pStyle w:val="Ruller4"/>
        <w:ind w:end="0"/>
        <w:jc w:val="both"/>
        <w:rPr/>
      </w:pPr>
      <w:r>
        <w:rPr>
          <w:rtl w:val="true"/>
        </w:rPr>
      </w:r>
    </w:p>
    <w:p>
      <w:pPr>
        <w:pStyle w:val="Ruller4"/>
        <w:ind w:end="0"/>
        <w:jc w:val="both"/>
        <w:rPr/>
      </w:pPr>
      <w:r>
        <w:rPr>
          <w:rtl w:val="true"/>
        </w:rPr>
      </w:r>
    </w:p>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BODYVERDICT"/>
        <w:ind w:end="0"/>
        <w:jc w:val="start"/>
        <w:rPr>
          <w:rFonts w:cs="Miriam"/>
          <w:sz w:val="24"/>
          <w:szCs w:val="24"/>
          <w:u w:val="single"/>
        </w:rPr>
      </w:pPr>
      <w:r>
        <w:rPr>
          <w:rFonts w:cs="Miriam"/>
          <w:sz w:val="24"/>
          <w:szCs w:val="24"/>
          <w:u w:val="single"/>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Miriam"/>
          <w:sz w:val="24"/>
          <w:sz w:val="24"/>
          <w:szCs w:val="24"/>
          <w:u w:val="single"/>
          <w:rtl w:val="true"/>
        </w:rPr>
        <w:t>ת</w:t>
      </w:r>
      <w:r>
        <w:rPr>
          <w:rFonts w:cs="Times New Roman"/>
          <w:sz w:val="24"/>
          <w:sz w:val="24"/>
          <w:szCs w:val="24"/>
          <w:u w:val="single"/>
          <w:rtl w:val="true"/>
        </w:rPr>
        <w:t xml:space="preserve"> </w:t>
      </w:r>
      <w:r>
        <w:rPr>
          <w:rFonts w:cs="Miriam"/>
          <w:sz w:val="24"/>
          <w:sz w:val="24"/>
          <w:szCs w:val="24"/>
          <w:u w:val="single"/>
          <w:rtl w:val="true"/>
        </w:rPr>
        <w:t>ע</w:t>
      </w:r>
      <w:r>
        <w:rPr>
          <w:rFonts w:cs="Miriam"/>
          <w:sz w:val="24"/>
          <w:szCs w:val="24"/>
          <w:u w:val="single"/>
          <w:rtl w:val="true"/>
        </w:rPr>
        <w:t xml:space="preserve">' </w:t>
      </w:r>
      <w:r>
        <w:rPr>
          <w:rFonts w:cs="Miriam"/>
          <w:sz w:val="24"/>
          <w:sz w:val="24"/>
          <w:szCs w:val="24"/>
          <w:u w:val="single"/>
          <w:rtl w:val="true"/>
        </w:rPr>
        <w:t>ברון</w:t>
      </w:r>
      <w:r>
        <w:rPr>
          <w:rFonts w:cs="Miriam"/>
          <w:sz w:val="24"/>
          <w:szCs w:val="24"/>
          <w:u w:val="single"/>
          <w:rtl w:val="true"/>
        </w:rPr>
        <w:t>:</w:t>
      </w:r>
    </w:p>
    <w:p>
      <w:pPr>
        <w:pStyle w:val="Ruller4"/>
        <w:ind w:end="0"/>
        <w:jc w:val="both"/>
        <w:rPr>
          <w:rFonts w:cs="Miriam"/>
          <w:sz w:val="24"/>
          <w:szCs w:val="24"/>
          <w:u w:val="single"/>
        </w:rPr>
      </w:pPr>
      <w:r>
        <w:rPr>
          <w:rFonts w:cs="Miriam"/>
          <w:sz w:val="24"/>
          <w:szCs w:val="24"/>
          <w:u w:val="single"/>
          <w:rtl w:val="true"/>
        </w:rPr>
      </w:r>
    </w:p>
    <w:p>
      <w:pPr>
        <w:pStyle w:val="Ruller4"/>
        <w:ind w:end="0"/>
        <w:jc w:val="both"/>
        <w:rPr/>
      </w:pPr>
      <w:r>
        <w:rPr>
          <w:rtl w:val="true"/>
        </w:rPr>
      </w:r>
    </w:p>
    <w:p>
      <w:pPr>
        <w:pStyle w:val="Ruller4"/>
        <w:ind w:end="0"/>
        <w:jc w:val="both"/>
        <w:rPr/>
      </w:pPr>
      <w:r>
        <w:rPr>
          <w:rtl w:val="true"/>
        </w:rPr>
        <w:tab/>
      </w:r>
      <w:r>
        <w:rPr>
          <w:rtl w:val="true"/>
        </w:rPr>
        <w:t>אני</w:t>
      </w:r>
      <w:r>
        <w:rPr>
          <w:rFonts w:eastAsia="Arial TUR;Arial" w:cs="Arial TUR;Arial"/>
          <w:rtl w:val="true"/>
        </w:rPr>
        <w:t xml:space="preserve"> </w:t>
      </w:r>
      <w:r>
        <w:rPr>
          <w:rtl w:val="true"/>
        </w:rPr>
        <w:t>מסכימה</w:t>
      </w:r>
      <w:r>
        <w:rPr>
          <w:rtl w:val="true"/>
        </w:rPr>
        <w:t>.</w:t>
      </w:r>
    </w:p>
    <w:p>
      <w:pPr>
        <w:pStyle w:val="Ruller4"/>
        <w:ind w:end="0"/>
        <w:jc w:val="both"/>
        <w:rPr/>
      </w:pPr>
      <w:r>
        <w:rPr>
          <w:rtl w:val="true"/>
        </w:rPr>
      </w:r>
    </w:p>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p>
      <w:pPr>
        <w:pStyle w:val="Ruller4"/>
        <w:ind w:end="0"/>
        <w:jc w:val="both"/>
        <w:rPr/>
      </w:pPr>
      <w:r>
        <w:rPr>
          <w:rtl w:val="true"/>
        </w:rPr>
      </w:r>
    </w:p>
    <w:p>
      <w:pPr>
        <w:pStyle w:val="Ruller4"/>
        <w:ind w:end="0"/>
        <w:jc w:val="both"/>
        <w:rPr/>
      </w:pPr>
      <w:r>
        <w:rPr>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Miriam"/>
          <w:sz w:val="24"/>
          <w:sz w:val="24"/>
          <w:szCs w:val="24"/>
          <w:u w:val="single"/>
          <w:rtl w:val="true"/>
        </w:rPr>
        <w:t>ת</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וילנר</w:t>
      </w:r>
      <w:r>
        <w:rPr>
          <w:rFonts w:cs="Miriam"/>
          <w:sz w:val="24"/>
          <w:szCs w:val="24"/>
          <w:u w:val="single"/>
          <w:rtl w:val="true"/>
        </w:rPr>
        <w:t>:</w:t>
      </w:r>
    </w:p>
    <w:p>
      <w:pPr>
        <w:pStyle w:val="Ruller4"/>
        <w:ind w:end="0"/>
        <w:jc w:val="both"/>
        <w:rPr>
          <w:rFonts w:cs="Miriam"/>
          <w:sz w:val="24"/>
          <w:szCs w:val="24"/>
          <w:u w:val="single"/>
        </w:rPr>
      </w:pPr>
      <w:r>
        <w:rPr>
          <w:rFonts w:cs="Miriam"/>
          <w:sz w:val="24"/>
          <w:szCs w:val="24"/>
          <w:u w:val="single"/>
          <w:rtl w:val="true"/>
        </w:rPr>
      </w:r>
    </w:p>
    <w:p>
      <w:pPr>
        <w:pStyle w:val="Ruller4"/>
        <w:ind w:end="0"/>
        <w:jc w:val="both"/>
        <w:rPr/>
      </w:pPr>
      <w:r>
        <w:rPr>
          <w:rtl w:val="true"/>
        </w:rPr>
      </w:r>
    </w:p>
    <w:p>
      <w:pPr>
        <w:pStyle w:val="Ruller4"/>
        <w:ind w:end="0"/>
        <w:jc w:val="both"/>
        <w:rPr/>
      </w:pPr>
      <w:r>
        <w:rPr>
          <w:rtl w:val="true"/>
        </w:rPr>
        <w:tab/>
      </w:r>
      <w:r>
        <w:rPr>
          <w:rtl w:val="true"/>
        </w:rPr>
        <w:t>אני</w:t>
      </w:r>
      <w:r>
        <w:rPr>
          <w:rFonts w:eastAsia="Arial TUR;Arial" w:cs="Arial TUR;Arial"/>
          <w:rtl w:val="true"/>
        </w:rPr>
        <w:t xml:space="preserve"> </w:t>
      </w:r>
      <w:r>
        <w:rPr>
          <w:rtl w:val="true"/>
        </w:rPr>
        <w:t>מסכימה</w:t>
      </w:r>
      <w:r>
        <w:rPr>
          <w:rtl w:val="true"/>
        </w:rPr>
        <w:t>.</w:t>
      </w:r>
    </w:p>
    <w:p>
      <w:pPr>
        <w:pStyle w:val="Ruller4"/>
        <w:ind w:end="0"/>
        <w:jc w:val="both"/>
        <w:rPr/>
      </w:pPr>
      <w:r>
        <w:rPr>
          <w:rtl w:val="true"/>
        </w:rPr>
      </w:r>
    </w:p>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p>
      <w:pPr>
        <w:pStyle w:val="Ruller4"/>
        <w:ind w:end="0"/>
        <w:jc w:val="both"/>
        <w:rPr/>
      </w:pPr>
      <w:r>
        <w:rPr>
          <w:rtl w:val="true"/>
        </w:rPr>
      </w:r>
    </w:p>
    <w:p>
      <w:pPr>
        <w:pStyle w:val="Ruller4"/>
        <w:ind w:end="0"/>
        <w:jc w:val="both"/>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שטיין</w:t>
      </w:r>
      <w:r>
        <w:rPr>
          <w:rtl w:val="true"/>
        </w:rPr>
        <w:t>.</w:t>
      </w:r>
    </w:p>
    <w:p>
      <w:pPr>
        <w:pStyle w:val="Ruller4"/>
        <w:ind w:end="0"/>
        <w:jc w:val="both"/>
        <w:rPr/>
      </w:pPr>
      <w:r>
        <w:rPr>
          <w:rtl w:val="true"/>
        </w:rPr>
        <w:tab/>
      </w:r>
    </w:p>
    <w:p>
      <w:pPr>
        <w:pStyle w:val="Ruller4"/>
        <w:ind w:end="0"/>
        <w:jc w:val="both"/>
        <w:rPr/>
      </w:pPr>
      <w:bookmarkStart w:id="18"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xml:space="preserve">, </w:t>
      </w:r>
      <w:r>
        <w:rPr>
          <w:rtl w:val="true"/>
        </w:rPr>
        <w:t>י</w:t>
      </w:r>
      <w:r>
        <w:rPr>
          <w:rtl w:val="true"/>
        </w:rPr>
        <w:t xml:space="preserve">' </w:t>
      </w:r>
      <w:r>
        <w:rPr>
          <w:rtl w:val="true"/>
        </w:rPr>
        <w:t>בסיון</w:t>
      </w:r>
      <w:r>
        <w:rPr>
          <w:rFonts w:eastAsia="Arial TUR;Arial" w:cs="Arial TUR;Arial"/>
          <w:rtl w:val="true"/>
        </w:rPr>
        <w:t xml:space="preserve"> </w:t>
      </w:r>
      <w:r>
        <w:rPr>
          <w:rtl w:val="true"/>
        </w:rPr>
        <w:t>התשע</w:t>
      </w:r>
      <w:r>
        <w:rPr>
          <w:rtl w:val="true"/>
        </w:rPr>
        <w:t>"</w:t>
      </w:r>
      <w:r>
        <w:rPr>
          <w:rtl w:val="true"/>
        </w:rPr>
        <w:t>ט</w:t>
      </w:r>
      <w:r>
        <w:rPr>
          <w:rFonts w:eastAsia="Arial TUR;Arial" w:cs="Arial TUR;Arial"/>
          <w:rtl w:val="true"/>
        </w:rPr>
        <w:t xml:space="preserve"> </w:t>
      </w:r>
      <w:r>
        <w:rPr>
          <w:rtl w:val="true"/>
        </w:rPr>
        <w:t>(‏</w:t>
      </w:r>
      <w:r>
        <w:rPr/>
        <w:t>13.6.2019</w:t>
      </w:r>
      <w:r>
        <w:rPr>
          <w:rtl w:val="true"/>
        </w:rPr>
        <w:t xml:space="preserve">). </w:t>
      </w:r>
      <w:bookmarkEnd w:id="18"/>
    </w:p>
    <w:p>
      <w:pPr>
        <w:pStyle w:val="Ruller4"/>
        <w:ind w:end="0"/>
        <w:jc w:val="both"/>
        <w:rPr/>
      </w:pPr>
      <w:r>
        <w:rPr>
          <w:rtl w:val="true"/>
        </w:rPr>
      </w:r>
    </w:p>
    <w:p>
      <w:pPr>
        <w:pStyle w:val="Ruller4"/>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9"/>
        <w:gridCol w:w="2787"/>
        <w:gridCol w:w="2787"/>
      </w:tblGrid>
      <w:tr>
        <w:trPr/>
        <w:tc>
          <w:tcPr>
            <w:tcW w:w="2789" w:type="dxa"/>
            <w:tcBorders/>
          </w:tcPr>
          <w:p>
            <w:pPr>
              <w:pStyle w:val="Ruller4"/>
              <w:ind w:end="0"/>
              <w:jc w:val="both"/>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c>
          <w:tcPr>
            <w:tcW w:w="2787"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c>
          <w:tcPr>
            <w:tcW w:w="2787" w:type="dxa"/>
            <w:tcBorders/>
          </w:tcPr>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
        <w:ind w:end="0"/>
        <w:jc w:val="both"/>
        <w:rPr/>
      </w:pPr>
      <w:r>
        <w:rPr>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17035410</w:t>
      </w:r>
      <w:r>
        <w:rPr>
          <w:sz w:val="16"/>
          <w:rtl w:val="true"/>
        </w:rPr>
        <w:t>_</w:t>
      </w:r>
      <w:r>
        <w:rPr>
          <w:sz w:val="16"/>
        </w:rPr>
        <w:t>F15.docx</w:t>
      </w:r>
      <w:r>
        <w:rPr>
          <w:sz w:val="16"/>
          <w:rtl w:val="true"/>
        </w:rPr>
        <w:t xml:space="preserve">   </w:t>
      </w:r>
      <w:r>
        <w:rPr>
          <w:sz w:val="16"/>
          <w:sz w:val="16"/>
          <w:rtl w:val="true"/>
        </w:rPr>
        <w:t>עב</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57">
        <w:r>
          <w:rPr>
            <w:rStyle w:val="Hyperlink"/>
            <w:sz w:val="16"/>
          </w:rPr>
          <w:t>http://supreme.court.gov.i</w:t>
        </w:r>
      </w:hyperlink>
      <w:r>
        <w:rPr>
          <w:sz w:val="16"/>
        </w:rPr>
        <w:t>l</w:t>
      </w:r>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ע</w:t>
      </w:r>
      <w:r>
        <w:rPr>
          <w:rFonts w:cs="David" w:ascii="David" w:hAnsi="David"/>
          <w:color w:val="000000"/>
          <w:szCs w:val="22"/>
          <w:rtl w:val="true"/>
        </w:rPr>
        <w:t xml:space="preserve">' </w:t>
      </w:r>
      <w:r>
        <w:rPr>
          <w:rFonts w:ascii="David" w:hAnsi="David"/>
          <w:color w:val="000000"/>
          <w:szCs w:val="22"/>
          <w:rtl w:val="true"/>
        </w:rPr>
        <w:t xml:space="preserve">ברון </w:t>
      </w:r>
      <w:r>
        <w:rPr>
          <w:rFonts w:cs="David" w:ascii="David" w:hAnsi="David"/>
          <w:color w:val="000000"/>
          <w:szCs w:val="22"/>
        </w:rPr>
        <w:t>54678313-3541/17</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58">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59"/>
      <w:footerReference w:type="default" r:id="rId60"/>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David">
    <w:charset w:val="00" w:characterSet="windows-1252"/>
    <w:family w:val="swiss"/>
    <w:pitch w:val="variable"/>
  </w:font>
  <w:font w:name="Century">
    <w:charset w:val="00" w:characterSet="windows-1252"/>
    <w:family w:val="roman"/>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27</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3541/17</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פלוני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ang w:val="en-US"/>
      </w:rPr>
    </w:lvl>
  </w:abstractNum>
  <w:abstractNum w:abstractNumId="2">
    <w:lvl w:ilvl="0">
      <w:start w:val="1"/>
      <w:numFmt w:val="hebrew1"/>
      <w:lvlText w:val="%1."/>
      <w:lvlJc w:val="end"/>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lang w:val="en-US"/>
    </w:rPr>
  </w:style>
  <w:style w:type="character" w:styleId="WW8Num12z0">
    <w:name w:val="WW8Num12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
    <w:next w:val="Ruller4"/>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1">
    <w:name w:val="Ruller 4 ממוספר"/>
    <w:basedOn w:val="Ruller4"/>
    <w:next w:val="Ruller4"/>
    <w:qFormat/>
    <w:pPr>
      <w:numPr>
        <w:ilvl w:val="0"/>
        <w:numId w:val="1"/>
      </w:numPr>
    </w:pPr>
    <w:rPr>
      <w:rFonts w:ascii="Garamond" w:hAnsi="Garamond" w:cs="Garamond"/>
      <w:sz w:val="24"/>
    </w:rPr>
  </w:style>
  <w:style w:type="paragraph" w:styleId="Ruller42">
    <w:name w:val="Ruller4 אלפביתי"/>
    <w:basedOn w:val="Ruller4"/>
    <w:next w:val="Ruller4"/>
    <w:qFormat/>
    <w:pPr>
      <w:numPr>
        <w:ilvl w:val="0"/>
        <w:numId w:val="2"/>
      </w:numPr>
    </w:pPr>
    <w:rPr/>
  </w:style>
  <w:style w:type="paragraph" w:styleId="ruller40">
    <w:name w:val="ruller40"/>
    <w:basedOn w:val="Normal"/>
    <w:qFormat/>
    <w:pPr>
      <w:spacing w:lineRule="auto" w:line="360"/>
      <w:jc w:val="both"/>
      <w:textAlignment w:val="auto"/>
    </w:pPr>
    <w:rPr>
      <w:rFonts w:ascii="Garamond" w:hAnsi="Garamond" w:cs="Times New Roman"/>
      <w:spacing w:val="1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d" TargetMode="External"/><Relationship Id="rId4" Type="http://schemas.openxmlformats.org/officeDocument/2006/relationships/hyperlink" Target="http://www.nevo.co.il/law/70301/40d.b" TargetMode="External"/><Relationship Id="rId5" Type="http://schemas.openxmlformats.org/officeDocument/2006/relationships/hyperlink" Target="http://www.nevo.co.il/law/70301/345.a.3" TargetMode="External"/><Relationship Id="rId6" Type="http://schemas.openxmlformats.org/officeDocument/2006/relationships/hyperlink" Target="http://www.nevo.co.il/law/70301/351.a.3" TargetMode="External"/><Relationship Id="rId7" Type="http://schemas.openxmlformats.org/officeDocument/2006/relationships/hyperlink" Target="http://www.nevo.co.il/law/70301/351.c.3" TargetMode="External"/><Relationship Id="rId8" Type="http://schemas.openxmlformats.org/officeDocument/2006/relationships/hyperlink" Target="http://www.nevo.co.il/law/70301/jCeS" TargetMode="External"/><Relationship Id="rId9" Type="http://schemas.openxmlformats.org/officeDocument/2006/relationships/hyperlink" Target="http://www.nevo.co.il/law/98569" TargetMode="External"/><Relationship Id="rId10" Type="http://schemas.openxmlformats.org/officeDocument/2006/relationships/hyperlink" Target="http://www.nevo.co.il/law/98569/1.a" TargetMode="External"/><Relationship Id="rId11" Type="http://schemas.openxmlformats.org/officeDocument/2006/relationships/hyperlink" Target="http://www.nevo.co.il/law/98569/54a.b" TargetMode="External"/><Relationship Id="rId12" Type="http://schemas.openxmlformats.org/officeDocument/2006/relationships/hyperlink" Target="http://www.nevo.co.il/law/74849" TargetMode="External"/><Relationship Id="rId13" Type="http://schemas.openxmlformats.org/officeDocument/2006/relationships/hyperlink" Target="http://www.nevo.co.il/law/74849/73" TargetMode="External"/><Relationship Id="rId14" Type="http://schemas.openxmlformats.org/officeDocument/2006/relationships/hyperlink" Target="http://www.nevo.co.il/law/74849/73a" TargetMode="External"/><Relationship Id="rId15" Type="http://schemas.openxmlformats.org/officeDocument/2006/relationships/hyperlink" Target="http://www.nevo.co.il/law/74903" TargetMode="External"/><Relationship Id="rId16" Type="http://schemas.openxmlformats.org/officeDocument/2006/relationships/hyperlink" Target="http://www.nevo.co.il/law/74903/184" TargetMode="External"/><Relationship Id="rId17" Type="http://schemas.openxmlformats.org/officeDocument/2006/relationships/hyperlink" Target="http://www.nevo.co.il/law/70301/351.a.3" TargetMode="External"/><Relationship Id="rId18" Type="http://schemas.openxmlformats.org/officeDocument/2006/relationships/hyperlink" Target="http://www.nevo.co.il/law/70301/345.a.3" TargetMode="External"/><Relationship Id="rId19" Type="http://schemas.openxmlformats.org/officeDocument/2006/relationships/hyperlink" Target="http://www.nevo.co.il/law/70301" TargetMode="External"/><Relationship Id="rId20" Type="http://schemas.openxmlformats.org/officeDocument/2006/relationships/hyperlink" Target="http://www.nevo.co.il/law/70301/351.c.3" TargetMode="External"/><Relationship Id="rId21" Type="http://schemas.openxmlformats.org/officeDocument/2006/relationships/hyperlink" Target="http://www.nevo.co.il/law/70301/jCeS" TargetMode="External"/><Relationship Id="rId22" Type="http://schemas.openxmlformats.org/officeDocument/2006/relationships/hyperlink" Target="http://www.nevo.co.il/law/70301" TargetMode="External"/><Relationship Id="rId23" Type="http://schemas.openxmlformats.org/officeDocument/2006/relationships/hyperlink" Target="http://www.nevo.co.il/law/70301/jCeS" TargetMode="External"/><Relationship Id="rId24" Type="http://schemas.openxmlformats.org/officeDocument/2006/relationships/hyperlink" Target="http://www.nevo.co.il/law/70301" TargetMode="External"/><Relationship Id="rId25" Type="http://schemas.openxmlformats.org/officeDocument/2006/relationships/hyperlink" Target="http://www.nevo.co.il/case/23398421" TargetMode="External"/><Relationship Id="rId26" Type="http://schemas.openxmlformats.org/officeDocument/2006/relationships/hyperlink" Target="http://www.nevo.co.il/law/98569/54a.b" TargetMode="External"/><Relationship Id="rId27" Type="http://schemas.openxmlformats.org/officeDocument/2006/relationships/hyperlink" Target="http://www.nevo.co.il/law/98569" TargetMode="External"/><Relationship Id="rId28" Type="http://schemas.openxmlformats.org/officeDocument/2006/relationships/hyperlink" Target="http://www.nevo.co.il/case/5756128" TargetMode="External"/><Relationship Id="rId29" Type="http://schemas.openxmlformats.org/officeDocument/2006/relationships/hyperlink" Target="http://www.nevo.co.il/case/5172651" TargetMode="External"/><Relationship Id="rId30" Type="http://schemas.openxmlformats.org/officeDocument/2006/relationships/hyperlink" Target="http://www.nevo.co.il/law/98569/54a.b" TargetMode="External"/><Relationship Id="rId31" Type="http://schemas.openxmlformats.org/officeDocument/2006/relationships/hyperlink" Target="http://www.nevo.co.il/law/98569" TargetMode="External"/><Relationship Id="rId32" Type="http://schemas.openxmlformats.org/officeDocument/2006/relationships/hyperlink" Target="http://www.nevo.co.il/case/25014832" TargetMode="External"/><Relationship Id="rId33" Type="http://schemas.openxmlformats.org/officeDocument/2006/relationships/hyperlink" Target="http://www.nevo.co.il/law/98569/54a.b" TargetMode="External"/><Relationship Id="rId34" Type="http://schemas.openxmlformats.org/officeDocument/2006/relationships/hyperlink" Target="http://www.nevo.co.il/case/17947174" TargetMode="External"/><Relationship Id="rId35" Type="http://schemas.openxmlformats.org/officeDocument/2006/relationships/hyperlink" Target="http://www.nevo.co.il/case/22303637" TargetMode="External"/><Relationship Id="rId36" Type="http://schemas.openxmlformats.org/officeDocument/2006/relationships/hyperlink" Target="http://www.nevo.co.il/law/98569/1.a" TargetMode="External"/><Relationship Id="rId37" Type="http://schemas.openxmlformats.org/officeDocument/2006/relationships/hyperlink" Target="http://www.nevo.co.il/law/98569" TargetMode="External"/><Relationship Id="rId38" Type="http://schemas.openxmlformats.org/officeDocument/2006/relationships/hyperlink" Target="http://www.nevo.co.il/law/74849/73" TargetMode="External"/><Relationship Id="rId39" Type="http://schemas.openxmlformats.org/officeDocument/2006/relationships/hyperlink" Target="http://www.nevo.co.il/law/74849/73a" TargetMode="External"/><Relationship Id="rId40" Type="http://schemas.openxmlformats.org/officeDocument/2006/relationships/hyperlink" Target="http://www.nevo.co.il/law/74849" TargetMode="External"/><Relationship Id="rId41" Type="http://schemas.openxmlformats.org/officeDocument/2006/relationships/hyperlink" Target="http://www.nevo.co.il/case/5709779" TargetMode="External"/><Relationship Id="rId42" Type="http://schemas.openxmlformats.org/officeDocument/2006/relationships/hyperlink" Target="http://www.nevo.co.il/case/5804091" TargetMode="External"/><Relationship Id="rId43" Type="http://schemas.openxmlformats.org/officeDocument/2006/relationships/hyperlink" Target="http://www.nevo.co.il/case/6246489" TargetMode="External"/><Relationship Id="rId44" Type="http://schemas.openxmlformats.org/officeDocument/2006/relationships/hyperlink" Target="http://www.nevo.co.il/law/74903/184" TargetMode="External"/><Relationship Id="rId45" Type="http://schemas.openxmlformats.org/officeDocument/2006/relationships/hyperlink" Target="http://www.nevo.co.il/law/74903" TargetMode="External"/><Relationship Id="rId46" Type="http://schemas.openxmlformats.org/officeDocument/2006/relationships/hyperlink" Target="http://www.nevo.co.il/case/5738950" TargetMode="External"/><Relationship Id="rId47" Type="http://schemas.openxmlformats.org/officeDocument/2006/relationships/hyperlink" Target="http://www.nevo.co.il/case/5995712" TargetMode="External"/><Relationship Id="rId48" Type="http://schemas.openxmlformats.org/officeDocument/2006/relationships/hyperlink" Target="http://www.nevo.co.il/case/22303637" TargetMode="External"/><Relationship Id="rId49" Type="http://schemas.openxmlformats.org/officeDocument/2006/relationships/hyperlink" Target="http://www.nevo.co.il/law/70301" TargetMode="External"/><Relationship Id="rId50" Type="http://schemas.openxmlformats.org/officeDocument/2006/relationships/hyperlink" Target="http://www.nevo.co.il/law/70301" TargetMode="External"/><Relationship Id="rId51" Type="http://schemas.openxmlformats.org/officeDocument/2006/relationships/hyperlink" Target="http://www.nevo.co.il/case/24323669" TargetMode="External"/><Relationship Id="rId52" Type="http://schemas.openxmlformats.org/officeDocument/2006/relationships/hyperlink" Target="http://www.nevo.co.il/case/24323669" TargetMode="External"/><Relationship Id="rId53" Type="http://schemas.openxmlformats.org/officeDocument/2006/relationships/hyperlink" Target="http://www.nevo.co.il/law/70301/40d" TargetMode="External"/><Relationship Id="rId54" Type="http://schemas.openxmlformats.org/officeDocument/2006/relationships/hyperlink" Target="http://www.nevo.co.il/law/70301" TargetMode="External"/><Relationship Id="rId55" Type="http://schemas.openxmlformats.org/officeDocument/2006/relationships/hyperlink" Target="http://www.nevo.co.il/law/70301/40d.b" TargetMode="External"/><Relationship Id="rId56" Type="http://schemas.openxmlformats.org/officeDocument/2006/relationships/hyperlink" Target="http://www.nevo.co.il/law/70301" TargetMode="External"/><Relationship Id="rId57" Type="http://schemas.openxmlformats.org/officeDocument/2006/relationships/hyperlink" Target="http://supreme.court.gov.il/" TargetMode="External"/><Relationship Id="rId58" Type="http://schemas.openxmlformats.org/officeDocument/2006/relationships/hyperlink" Target="http://www.nevo.co.il/advertisements/nevo-100.doc" TargetMode="External"/><Relationship Id="rId59" Type="http://schemas.openxmlformats.org/officeDocument/2006/relationships/header" Target="header1.xml"/><Relationship Id="rId60" Type="http://schemas.openxmlformats.org/officeDocument/2006/relationships/footer" Target="footer1.xml"/><Relationship Id="rId61" Type="http://schemas.openxmlformats.org/officeDocument/2006/relationships/numbering" Target="numbering.xml"/><Relationship Id="rId62" Type="http://schemas.openxmlformats.org/officeDocument/2006/relationships/fontTable" Target="fontTable.xml"/><Relationship Id="rId63" Type="http://schemas.openxmlformats.org/officeDocument/2006/relationships/settings" Target="settings.xml"/><Relationship Id="rId6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2019-06-16T09:33:00Z</dcterms:created>
  <dc:creator>h4</dc:creator>
  <dc:description/>
  <cp:keywords/>
  <dc:language>en-IL</dc:language>
  <cp:lastModifiedBy>orly</cp:lastModifiedBy>
  <cp:lastPrinted>2019-06-13T15:03:00Z</cp:lastPrinted>
  <dcterms:modified xsi:type="dcterms:W3CDTF">2019-06-16T09:33:00Z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23398421;5756128;5172651;25014832;17947174;22303637:2;5709779;5804091;6246489;5738950;5995712;24323669:2</vt:lpwstr>
  </property>
  <property fmtid="{D5CDD505-2E9C-101B-9397-08002B2CF9AE}" pid="9" name="CITY">
    <vt:lpwstr/>
  </property>
  <property fmtid="{D5CDD505-2E9C-101B-9397-08002B2CF9AE}" pid="10" name="DATE">
    <vt:lpwstr>20190613</vt:lpwstr>
  </property>
  <property fmtid="{D5CDD505-2E9C-101B-9397-08002B2CF9AE}" pid="11" name="DELEMATA">
    <vt:lpwstr/>
  </property>
  <property fmtid="{D5CDD505-2E9C-101B-9397-08002B2CF9AE}" pid="12" name="ISABSTRACT">
    <vt:lpwstr>Y</vt:lpwstr>
  </property>
  <property fmtid="{D5CDD505-2E9C-101B-9397-08002B2CF9AE}" pid="13" name="JUDGE">
    <vt:lpwstr>ע' ברון;י' וילנר;א' שטיין</vt:lpwstr>
  </property>
  <property fmtid="{D5CDD505-2E9C-101B-9397-08002B2CF9AE}" pid="14" name="LAWLISTTMP1">
    <vt:lpwstr>70301/351.a.3;345.a.3;351.c.3;jCeS:2;040d;040d.b</vt:lpwstr>
  </property>
  <property fmtid="{D5CDD505-2E9C-101B-9397-08002B2CF9AE}" pid="15" name="LAWLISTTMP2">
    <vt:lpwstr>98569/054a.b:3;001.a</vt:lpwstr>
  </property>
  <property fmtid="{D5CDD505-2E9C-101B-9397-08002B2CF9AE}" pid="16" name="LAWLISTTMP3">
    <vt:lpwstr>74849/073;073a</vt:lpwstr>
  </property>
  <property fmtid="{D5CDD505-2E9C-101B-9397-08002B2CF9AE}" pid="17" name="LAWLISTTMP4">
    <vt:lpwstr>74903/184</vt:lpwstr>
  </property>
  <property fmtid="{D5CDD505-2E9C-101B-9397-08002B2CF9AE}" pid="18" name="LAWYER">
    <vt:lpwstr>מירי קולומבוס;גד זילברשלג;ליאור בר ניר</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METAKZER">
    <vt:lpwstr>פאני</vt:lpwstr>
  </property>
  <property fmtid="{D5CDD505-2E9C-101B-9397-08002B2CF9AE}" pid="25" name="NEWPARTA">
    <vt:lpwstr/>
  </property>
  <property fmtid="{D5CDD505-2E9C-101B-9397-08002B2CF9AE}" pid="26" name="NEWPARTB">
    <vt:lpwstr/>
  </property>
  <property fmtid="{D5CDD505-2E9C-101B-9397-08002B2CF9AE}" pid="27" name="NEWPARTC">
    <vt:lpwstr/>
  </property>
  <property fmtid="{D5CDD505-2E9C-101B-9397-08002B2CF9AE}" pid="28" name="NEWPROC">
    <vt:lpwstr/>
  </property>
  <property fmtid="{D5CDD505-2E9C-101B-9397-08002B2CF9AE}" pid="29" name="NOSE11">
    <vt:lpwstr>דיון פלילי</vt:lpwstr>
  </property>
  <property fmtid="{D5CDD505-2E9C-101B-9397-08002B2CF9AE}" pid="30" name="NOSE110">
    <vt:lpwstr/>
  </property>
  <property fmtid="{D5CDD505-2E9C-101B-9397-08002B2CF9AE}" pid="31" name="NOSE12">
    <vt:lpwstr>דיון פלילי</vt:lpwstr>
  </property>
  <property fmtid="{D5CDD505-2E9C-101B-9397-08002B2CF9AE}" pid="32" name="NOSE13">
    <vt:lpwstr>עונשין</vt:lpwstr>
  </property>
  <property fmtid="{D5CDD505-2E9C-101B-9397-08002B2CF9AE}" pid="33" name="NOSE14">
    <vt:lpwstr>עונשין</vt:lpwstr>
  </property>
  <property fmtid="{D5CDD505-2E9C-101B-9397-08002B2CF9AE}" pid="34" name="NOSE15">
    <vt:lpwstr/>
  </property>
  <property fmtid="{D5CDD505-2E9C-101B-9397-08002B2CF9AE}" pid="35" name="NOSE16">
    <vt:lpwstr/>
  </property>
  <property fmtid="{D5CDD505-2E9C-101B-9397-08002B2CF9AE}" pid="36" name="NOSE17">
    <vt:lpwstr/>
  </property>
  <property fmtid="{D5CDD505-2E9C-101B-9397-08002B2CF9AE}" pid="37" name="NOSE18">
    <vt:lpwstr/>
  </property>
  <property fmtid="{D5CDD505-2E9C-101B-9397-08002B2CF9AE}" pid="38" name="NOSE19">
    <vt:lpwstr/>
  </property>
  <property fmtid="{D5CDD505-2E9C-101B-9397-08002B2CF9AE}" pid="39" name="NOSE1ID">
    <vt:lpwstr>18;18;77;77</vt:lpwstr>
  </property>
  <property fmtid="{D5CDD505-2E9C-101B-9397-08002B2CF9AE}" pid="40" name="NOSE21">
    <vt:lpwstr>ערעור</vt:lpwstr>
  </property>
  <property fmtid="{D5CDD505-2E9C-101B-9397-08002B2CF9AE}" pid="41" name="NOSE210">
    <vt:lpwstr/>
  </property>
  <property fmtid="{D5CDD505-2E9C-101B-9397-08002B2CF9AE}" pid="42" name="NOSE22">
    <vt:lpwstr>ערעור</vt:lpwstr>
  </property>
  <property fmtid="{D5CDD505-2E9C-101B-9397-08002B2CF9AE}" pid="43" name="NOSE23">
    <vt:lpwstr>ענישה</vt:lpwstr>
  </property>
  <property fmtid="{D5CDD505-2E9C-101B-9397-08002B2CF9AE}" pid="44" name="NOSE24">
    <vt:lpwstr>ענישה</vt:lpwstr>
  </property>
  <property fmtid="{D5CDD505-2E9C-101B-9397-08002B2CF9AE}" pid="45" name="NOSE25">
    <vt:lpwstr/>
  </property>
  <property fmtid="{D5CDD505-2E9C-101B-9397-08002B2CF9AE}" pid="46" name="NOSE26">
    <vt:lpwstr/>
  </property>
  <property fmtid="{D5CDD505-2E9C-101B-9397-08002B2CF9AE}" pid="47" name="NOSE27">
    <vt:lpwstr/>
  </property>
  <property fmtid="{D5CDD505-2E9C-101B-9397-08002B2CF9AE}" pid="48" name="NOSE28">
    <vt:lpwstr/>
  </property>
  <property fmtid="{D5CDD505-2E9C-101B-9397-08002B2CF9AE}" pid="49" name="NOSE29">
    <vt:lpwstr/>
  </property>
  <property fmtid="{D5CDD505-2E9C-101B-9397-08002B2CF9AE}" pid="50" name="NOSE2ID">
    <vt:lpwstr>504;504;1446;1446</vt:lpwstr>
  </property>
  <property fmtid="{D5CDD505-2E9C-101B-9397-08002B2CF9AE}" pid="51" name="NOSE31">
    <vt:lpwstr>אי-התערבות בממצאים עובדתיים</vt:lpwstr>
  </property>
  <property fmtid="{D5CDD505-2E9C-101B-9397-08002B2CF9AE}" pid="52" name="NOSE310">
    <vt:lpwstr/>
  </property>
  <property fmtid="{D5CDD505-2E9C-101B-9397-08002B2CF9AE}" pid="53" name="NOSE32">
    <vt:lpwstr>אי-התערבות במידת העונש</vt:lpwstr>
  </property>
  <property fmtid="{D5CDD505-2E9C-101B-9397-08002B2CF9AE}" pid="54" name="NOSE33">
    <vt:lpwstr>מדיניות ענישה: עבירות מין במשפחה</vt:lpwstr>
  </property>
  <property fmtid="{D5CDD505-2E9C-101B-9397-08002B2CF9AE}" pid="55" name="NOSE34">
    <vt:lpwstr>מדיניות ענישה: התערבות ערכאת ערעור</vt:lpwstr>
  </property>
  <property fmtid="{D5CDD505-2E9C-101B-9397-08002B2CF9AE}" pid="56" name="NOSE35">
    <vt:lpwstr/>
  </property>
  <property fmtid="{D5CDD505-2E9C-101B-9397-08002B2CF9AE}" pid="57" name="NOSE36">
    <vt:lpwstr/>
  </property>
  <property fmtid="{D5CDD505-2E9C-101B-9397-08002B2CF9AE}" pid="58" name="NOSE37">
    <vt:lpwstr/>
  </property>
  <property fmtid="{D5CDD505-2E9C-101B-9397-08002B2CF9AE}" pid="59" name="NOSE38">
    <vt:lpwstr/>
  </property>
  <property fmtid="{D5CDD505-2E9C-101B-9397-08002B2CF9AE}" pid="60" name="NOSE39">
    <vt:lpwstr/>
  </property>
  <property fmtid="{D5CDD505-2E9C-101B-9397-08002B2CF9AE}" pid="61" name="NOSE3ID">
    <vt:lpwstr>3849;17039;16241;8982</vt:lpwstr>
  </property>
  <property fmtid="{D5CDD505-2E9C-101B-9397-08002B2CF9AE}" pid="62" name="PADIDATE">
    <vt:lpwstr>20190616</vt:lpwstr>
  </property>
  <property fmtid="{D5CDD505-2E9C-101B-9397-08002B2CF9AE}" pid="63" name="PADIMAIL">
    <vt:lpwstr>YES</vt:lpwstr>
  </property>
  <property fmtid="{D5CDD505-2E9C-101B-9397-08002B2CF9AE}" pid="64" name="PAGE">
    <vt:lpwstr/>
  </property>
  <property fmtid="{D5CDD505-2E9C-101B-9397-08002B2CF9AE}" pid="65" name="PART">
    <vt:lpwstr/>
  </property>
  <property fmtid="{D5CDD505-2E9C-101B-9397-08002B2CF9AE}" pid="66" name="PROCESS">
    <vt:lpwstr>עפ</vt:lpwstr>
  </property>
  <property fmtid="{D5CDD505-2E9C-101B-9397-08002B2CF9AE}" pid="67" name="PROCNUM">
    <vt:lpwstr>3541</vt:lpwstr>
  </property>
  <property fmtid="{D5CDD505-2E9C-101B-9397-08002B2CF9AE}" pid="68" name="PROCYEAR">
    <vt:lpwstr>17</vt:lpwstr>
  </property>
  <property fmtid="{D5CDD505-2E9C-101B-9397-08002B2CF9AE}" pid="69" name="PSAKDIN">
    <vt:lpwstr>פסק-דין</vt:lpwstr>
  </property>
  <property fmtid="{D5CDD505-2E9C-101B-9397-08002B2CF9AE}" pid="70" name="TYPE">
    <vt:lpwstr>1</vt:lpwstr>
  </property>
  <property fmtid="{D5CDD505-2E9C-101B-9397-08002B2CF9AE}" pid="71" name="TYPE_ABS_DATE">
    <vt:lpwstr>410120190613</vt:lpwstr>
  </property>
  <property fmtid="{D5CDD505-2E9C-101B-9397-08002B2CF9AE}" pid="72" name="TYPE_N_DATE">
    <vt:lpwstr>41020190613</vt:lpwstr>
  </property>
  <property fmtid="{D5CDD505-2E9C-101B-9397-08002B2CF9AE}" pid="73" name="VOLUME">
    <vt:lpwstr/>
  </property>
  <property fmtid="{D5CDD505-2E9C-101B-9397-08002B2CF9AE}" pid="74" name="WORDNUMPAGES">
    <vt:lpwstr>24</vt:lpwstr>
  </property>
</Properties>
</file>