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3541/19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ביתן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11.4.2019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33041-02-17</w:t>
            </w:r>
          </w:p>
        </w:tc>
      </w:tr>
    </w:tbl>
    <w:p>
      <w:pPr>
        <w:pStyle w:val="Ruller3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26.9.2019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10" w:type="dxa"/>
        <w:jc w:val="start"/>
        <w:tblInd w:w="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187"/>
        <w:gridCol w:w="27"/>
        <w:gridCol w:w="506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06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מישור</w:t>
            </w:r>
          </w:p>
        </w:tc>
      </w:tr>
      <w:tr>
        <w:trPr/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096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  <w:tr>
        <w:trPr/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096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דחה ערעור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במסגרו הושתו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ירוצו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הרשעתו בעבי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של סחיטה באיומים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וסחיטה בכח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שבוצעו חלקן בהיותו קטין וחלקן בהיותו בגיר בסמיכות לגיל קטינות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שניתן מפורט ומנומק תוך התחשבות לקולה בגילו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קבע לא פעם כי היות העבריין קטין לא מהווה הצדקה שלא להעניש אותו באופן ההולם את העבירות שביצע ואת חומרתן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סחיטה באיומים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 גיל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בגירים צעירים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במסגרתו נידון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בעקבות הרשעתו בעבירות של סחיטה באיומים וסחיטה בכח –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ירוצו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ותשלום פיצוי למתלונן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12,675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הוגש נגד רכיב המאסר בפועל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בוצעו כלפי חייל בשירות סדיר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במשך תקופה של שלושה 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חלקן בהיותו קטין כבן 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וביחד עם נאשם 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וחלקן בהיות המערער בגיר בסמיכות לגיל קטינות כשעבירות אלו ביצע המערער לבדו וגם כלפי אחיו הקטין של החייל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תלמיד כיתה 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המשנה לנשיאה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מלצר והשופט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כלל ידוע הוא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ערכאת הערעור אינה גוזרת מחדש את דינו 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נאשם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שבהם נפלה טעות מהותית בגזר הדין או שהעונש שנגזר חורג באופן קיצוני ממדיניות הענישה הראויה או המקובלת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בהן הורשע המערער על פי הודאתו הן קשות וחמורות ומצדיקות הטלת ענישה מוחשית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כבר עמד על חומרתן הרבה של עבירות הסחיטה המערערות את יסודות הסדר החברתי ופוגעות באופן ניכר בשלום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בשגרת חייו ובביטחונו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עבירות אלו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 במרקם חייהם של הנסחטים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במישור האישי והכלכלי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בביצוע מעשי סחיטה ואיומים כחלק ממסכת אירועים מתמשכת וכוחנית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כלפי קטין תלמיד כיתה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 קשים אלו ראויים לגמול עונשי ממשי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שגה בכך שלא נתן משקל מוגבר לשיקולי השיקום שלו ולהמלצת שירות המבחן 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התייחס 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למכלול נסיבות העניין לקולא ולחומרה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ונתן משקל ממשי להיות המערער קטין בעת ביצוע חלק מהעבירות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למאמציו לחזור למוטב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להתרשמות גורמי הטיפול מהתהליך הטיפולי שעבר ולנסיבותיו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ובהתייחס גם להמלצת שירות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לנכון להטיל על המערער עונש מתון מאוד 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ובהינתן מיצוי מידת החסד 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מקום להתערב בעונש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פי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גילו הצעיר של נאשם יכול שיהיה שיקול בקביעת מתחם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בגזירת העונש המתאים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כאשר מדובר בקטין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ככל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שהקטין קרוב יותר לבגירות בעת ביצוע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מוצדק יותר להתחשב בעיקרון ההלימה בין חומרת המעשה ומידת האשם לבין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רק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לקח בחשבון את שיקולי השיקום העומדים על הפרק בנוגע לעבירות מושא האישום 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עת היה המערער קטין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הקרוב לגיל הבגירות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ששיקולי השיקום היטו את הכף גם בגזר הדין שניתן בקשר לעבירות מושא האישום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 בגר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והביאו את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לקבוע עונש כולל המקל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אפוא שאין מקום לשעות לטענה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החמיר עם המערער שלא לצורך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בהתייחס לעבירות שביצע בהיותו 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ותוך ביצוע הפרדה מלאכותית בין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למותר לציין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קבע לא פעם כי היות העבריין קטין לא מהווה הצדקה שלא להעניש אותו באופן ההולם את העבירות שביצע ואת חומרתן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נדחו טענת המערער כי היה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להשית עליו 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 חלף העונש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בשל ההשלכות הצפויות לגיוסו לצה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כמו גם טענת המערער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שגה בכך שלא ניכה את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33041-02-17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11.4.2019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במסגרתו נידון המערער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ניכוי ימי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ירוצו בעבודות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על תנאי ותשלום פיצוי למתלונן בסך של </w:t>
      </w:r>
      <w:r>
        <w:rPr>
          <w:rFonts w:cs="Century" w:ascii="Century" w:hAnsi="Century"/>
        </w:rPr>
        <w:t>12,675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הערעור הוגש נגד רכיב המאסר בפועל בלבד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ואדם אחר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סיכמו ביניהם לסחוט באיומים את המתלונן</w:t>
      </w:r>
      <w:r>
        <w:rPr>
          <w:rtl w:val="true"/>
        </w:rPr>
        <w:t xml:space="preserve">, </w:t>
      </w:r>
      <w:r>
        <w:rPr>
          <w:rtl w:val="true"/>
        </w:rPr>
        <w:t>חייל המשרת בצבא הסדיר</w:t>
      </w:r>
      <w:r>
        <w:rPr>
          <w:rtl w:val="true"/>
        </w:rPr>
        <w:t xml:space="preserve">, </w:t>
      </w:r>
      <w:r>
        <w:rPr>
          <w:rtl w:val="true"/>
        </w:rPr>
        <w:t>תוך הטלת אימתם עליו</w:t>
      </w:r>
      <w:r>
        <w:rPr>
          <w:rtl w:val="true"/>
        </w:rPr>
        <w:t xml:space="preserve">, </w:t>
      </w:r>
      <w:r>
        <w:rPr>
          <w:rtl w:val="true"/>
        </w:rPr>
        <w:t>בין השאר תוך הצגת מצגי שווא על מנת שיעביר להם כסף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בכתב האישום מחולקים האירועים לשני אישומים שונים</w:t>
      </w:r>
      <w:r>
        <w:rPr>
          <w:rtl w:val="true"/>
        </w:rPr>
        <w:t xml:space="preserve">. </w:t>
      </w:r>
      <w:r>
        <w:rPr>
          <w:rtl w:val="true"/>
        </w:rPr>
        <w:t>בעת התרחשות האירועים המתוארים באישום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היה המערער קטין כבן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באותו אישום מפורטים מעשי סחיטה ואיומים שביצע המערער בחודש אוקטובר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 xml:space="preserve">לעתים לבדו ולעתים יחד עם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כלפי המתלונן ואחיו הקטן</w:t>
      </w:r>
      <w:r>
        <w:rPr>
          <w:rtl w:val="true"/>
        </w:rPr>
        <w:t xml:space="preserve">, </w:t>
      </w:r>
      <w:r>
        <w:rPr>
          <w:rtl w:val="true"/>
        </w:rPr>
        <w:t>תלמיד בכיתה י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tl w:val="true"/>
        </w:rPr>
        <w:t xml:space="preserve">). </w:t>
      </w:r>
      <w:r>
        <w:rPr>
          <w:rtl w:val="true"/>
        </w:rPr>
        <w:t xml:space="preserve">באופן זה הצליחו המערער וחברו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להוציא סך של כ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מהמתלונן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באישום השני מתואר כיצד המערער בחודש ינואר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 xml:space="preserve">לאחר שמלאו לו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איים על הקטין וניסה לסחוט ממנו כספים בשל צילום חברתו לכיתה</w:t>
      </w:r>
      <w:r>
        <w:rPr>
          <w:rtl w:val="true"/>
        </w:rPr>
        <w:t xml:space="preserve">, </w:t>
      </w:r>
      <w:r>
        <w:rPr>
          <w:rtl w:val="true"/>
        </w:rPr>
        <w:t>קרובת משפחתו של המערער והעלאת הצילום ל</w:t>
      </w:r>
      <w:r>
        <w:rPr>
          <w:rtl w:val="true"/>
        </w:rPr>
        <w:t>"</w:t>
      </w:r>
      <w:r>
        <w:rPr>
          <w:rtl w:val="true"/>
        </w:rPr>
        <w:t>אינסטגרם</w:t>
      </w:r>
      <w:r>
        <w:rPr>
          <w:rtl w:val="true"/>
        </w:rPr>
        <w:t xml:space="preserve">". </w:t>
      </w:r>
      <w:r>
        <w:rPr>
          <w:rtl w:val="true"/>
        </w:rPr>
        <w:t>המערער דרש מהקטין כספים שונים ואף איים עליו כי ידקור אותו</w:t>
      </w:r>
      <w:r>
        <w:rPr>
          <w:rtl w:val="true"/>
        </w:rPr>
        <w:t xml:space="preserve">, </w:t>
      </w:r>
      <w:r>
        <w:rPr>
          <w:rtl w:val="true"/>
        </w:rPr>
        <w:t>הורה לו לשבת על הרצפה והכה ובעט בו בראש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גם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ניסה להוציא בערמה מהמתלונן כספים</w:t>
      </w:r>
      <w:r>
        <w:rPr>
          <w:rtl w:val="true"/>
        </w:rPr>
        <w:t xml:space="preserve">, </w:t>
      </w:r>
      <w:r>
        <w:rPr>
          <w:rtl w:val="true"/>
        </w:rPr>
        <w:t>אך הדבר נמנע כאשר אמם של המתלוננים גילתה על אודות אירועי הסחיטה ודיווחה על כך למשטרה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הואשם באישום הראשון</w:t>
      </w:r>
      <w:r>
        <w:rPr>
          <w:rtl w:val="true"/>
        </w:rPr>
        <w:t xml:space="preserve">, </w:t>
      </w:r>
      <w:r>
        <w:rPr>
          <w:rtl w:val="true"/>
        </w:rPr>
        <w:t>בעבירה של סחיטה באיומים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בעבירה של סחיטה באיומים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 ובעבירה של סחיטה בכח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16.7.2017</w:t>
      </w:r>
      <w:r>
        <w:rPr>
          <w:rtl w:val="true"/>
        </w:rPr>
        <w:t xml:space="preserve"> </w:t>
      </w:r>
      <w:r>
        <w:rPr>
          <w:rtl w:val="true"/>
        </w:rPr>
        <w:t>ניתנה הכרעת דין בעניינם של הנאשמים</w:t>
      </w:r>
      <w:r>
        <w:rPr>
          <w:rtl w:val="true"/>
        </w:rPr>
        <w:t xml:space="preserve">, </w:t>
      </w:r>
      <w:r>
        <w:rPr>
          <w:rtl w:val="true"/>
        </w:rPr>
        <w:t>על יסוד הודאתו של המערער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כפרי הסדר טיעון</w:t>
      </w:r>
      <w:r>
        <w:rPr>
          <w:rtl w:val="true"/>
        </w:rPr>
        <w:t xml:space="preserve">, </w:t>
      </w:r>
      <w:r>
        <w:rPr>
          <w:rtl w:val="true"/>
        </w:rPr>
        <w:t>אשר לא כלל הסכמה לעניין העונש</w:t>
      </w:r>
      <w:r>
        <w:rPr>
          <w:rtl w:val="true"/>
        </w:rPr>
        <w:t xml:space="preserve">. </w:t>
      </w:r>
      <w:r>
        <w:rPr>
          <w:rtl w:val="true"/>
        </w:rPr>
        <w:t>נקבע לגבי האישום הראשון כי הוא ביצע את העבירה</w:t>
      </w:r>
      <w:r>
        <w:rPr>
          <w:rtl w:val="true"/>
        </w:rPr>
        <w:t xml:space="preserve">, </w:t>
      </w:r>
      <w:r>
        <w:rPr>
          <w:rtl w:val="true"/>
        </w:rPr>
        <w:t>והוא הורשע בעבירות המיוחסות לו באישום השני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 בעבירות שיוחסו לו במסגרת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21.2.2018</w:t>
      </w:r>
      <w:r>
        <w:rPr>
          <w:rtl w:val="true"/>
        </w:rPr>
        <w:t xml:space="preserve"> </w:t>
      </w:r>
      <w:r>
        <w:rPr>
          <w:rtl w:val="true"/>
        </w:rPr>
        <w:t xml:space="preserve">נגזרו עליו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ותשלום פיצוי למתלונן בסך של </w:t>
      </w:r>
      <w:r>
        <w:rPr/>
        <w:t>12,675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 xml:space="preserve">ערעור שהגיש על גזר דינו לבית משפט זה נדחה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2048/18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הופנה לקבלת תסקיר שירות מבחן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התסקיר הראשון שהוגש ביום </w:t>
      </w:r>
      <w:r>
        <w:rPr/>
        <w:t>16.10.2017</w:t>
      </w:r>
      <w:r>
        <w:rPr>
          <w:rtl w:val="true"/>
        </w:rPr>
        <w:t xml:space="preserve"> </w:t>
      </w:r>
      <w:r>
        <w:rPr>
          <w:rtl w:val="true"/>
        </w:rPr>
        <w:t>צוין כי המערער לוקח אחריות על מעשיו</w:t>
      </w:r>
      <w:r>
        <w:rPr>
          <w:rtl w:val="true"/>
        </w:rPr>
        <w:t xml:space="preserve">, </w:t>
      </w:r>
      <w:r>
        <w:rPr>
          <w:rtl w:val="true"/>
        </w:rPr>
        <w:t>מביע רצון לשנות את התנהגותו</w:t>
      </w:r>
      <w:r>
        <w:rPr>
          <w:rtl w:val="true"/>
        </w:rPr>
        <w:t xml:space="preserve">, </w:t>
      </w:r>
      <w:r>
        <w:rPr>
          <w:rtl w:val="true"/>
        </w:rPr>
        <w:t>ולדבריו מבין את הפסול שבמעשיו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העריך שירות המבחן</w:t>
      </w:r>
      <w:r>
        <w:rPr>
          <w:rtl w:val="true"/>
        </w:rPr>
        <w:t xml:space="preserve">, </w:t>
      </w:r>
      <w:r>
        <w:rPr>
          <w:rtl w:val="true"/>
        </w:rPr>
        <w:t>עליו להמשיך ולהעמיק את התובנות ביחס להתנהגותו הפוגענית</w:t>
      </w:r>
      <w:r>
        <w:rPr>
          <w:rtl w:val="true"/>
        </w:rPr>
        <w:t xml:space="preserve">. </w:t>
      </w:r>
      <w:r>
        <w:rPr>
          <w:rtl w:val="true"/>
        </w:rPr>
        <w:t>המערער שולב בהוסטל של חסות הנוער לאחר תקופת קליטה מורכבת</w:t>
      </w:r>
      <w:r>
        <w:rPr>
          <w:rtl w:val="true"/>
        </w:rPr>
        <w:t xml:space="preserve">, </w:t>
      </w:r>
      <w:r>
        <w:rPr>
          <w:rtl w:val="true"/>
        </w:rPr>
        <w:t xml:space="preserve">אך הושעה מההוסטל לאחר מספר אירועים חריגים </w:t>
      </w:r>
      <w:r>
        <w:rPr>
          <w:rtl w:val="true"/>
        </w:rPr>
        <w:t>(</w:t>
      </w:r>
      <w:r>
        <w:rPr>
          <w:rtl w:val="true"/>
        </w:rPr>
        <w:t xml:space="preserve">תסקירים מיום </w:t>
      </w:r>
      <w:r>
        <w:rPr/>
        <w:t>22.10.2017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7.12.2017</w:t>
      </w:r>
      <w:r>
        <w:rPr>
          <w:rtl w:val="true"/>
        </w:rPr>
        <w:t xml:space="preserve">). </w:t>
      </w:r>
      <w:r>
        <w:rPr>
          <w:rtl w:val="true"/>
        </w:rPr>
        <w:t xml:space="preserve">על פי התסקירים מיום </w:t>
      </w:r>
      <w:r>
        <w:rPr/>
        <w:t>16.1.2018</w:t>
      </w:r>
      <w:r>
        <w:rPr>
          <w:rtl w:val="true"/>
        </w:rPr>
        <w:t xml:space="preserve">, </w:t>
      </w:r>
      <w:r>
        <w:rPr/>
        <w:t>20.3.2018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3.6.2018</w:t>
      </w:r>
      <w:r>
        <w:rPr>
          <w:rtl w:val="true"/>
        </w:rPr>
        <w:t xml:space="preserve"> </w:t>
      </w:r>
      <w:r>
        <w:rPr>
          <w:rtl w:val="true"/>
        </w:rPr>
        <w:t>נבנתה למערער תכנית טיפול על ידי שירות המבחן הכוללת בין היתר השתלבות בקבוצה טיפולית</w:t>
      </w:r>
      <w:r>
        <w:rPr>
          <w:rtl w:val="true"/>
        </w:rPr>
        <w:t xml:space="preserve">, </w:t>
      </w:r>
      <w:r>
        <w:rPr>
          <w:rtl w:val="true"/>
        </w:rPr>
        <w:t xml:space="preserve">בפרוייקט </w:t>
      </w:r>
      <w:r>
        <w:rPr>
          <w:rtl w:val="true"/>
        </w:rPr>
        <w:t>"</w:t>
      </w:r>
      <w:r>
        <w:rPr>
          <w:rtl w:val="true"/>
        </w:rPr>
        <w:t>אחריי</w:t>
      </w:r>
      <w:r>
        <w:rPr>
          <w:rtl w:val="true"/>
        </w:rPr>
        <w:t>" (</w:t>
      </w:r>
      <w:r>
        <w:rPr>
          <w:rtl w:val="true"/>
        </w:rPr>
        <w:t>תכנית לפיתוח מנהיגות והכנה לצבא</w:t>
      </w:r>
      <w:r>
        <w:rPr>
          <w:rtl w:val="true"/>
        </w:rPr>
        <w:t xml:space="preserve">) </w:t>
      </w:r>
      <w:r>
        <w:rPr>
          <w:rtl w:val="true"/>
        </w:rPr>
        <w:t>ובמסגרת תעסוקתית</w:t>
      </w:r>
      <w:r>
        <w:rPr>
          <w:rtl w:val="true"/>
        </w:rPr>
        <w:t xml:space="preserve">. </w:t>
      </w:r>
      <w:r>
        <w:rPr>
          <w:rtl w:val="true"/>
        </w:rPr>
        <w:t xml:space="preserve">בתסקיר מיום </w:t>
      </w:r>
      <w:r>
        <w:rPr/>
        <w:t>6.9.2018</w:t>
      </w:r>
      <w:r>
        <w:rPr>
          <w:rtl w:val="true"/>
        </w:rPr>
        <w:t xml:space="preserve"> </w:t>
      </w:r>
      <w:r>
        <w:rPr>
          <w:rtl w:val="true"/>
        </w:rPr>
        <w:t>פורט בהרחבה על התקדמותו של המערער בתהליך הטיפולי שעבר</w:t>
      </w:r>
      <w:r>
        <w:rPr>
          <w:rtl w:val="true"/>
        </w:rPr>
        <w:t xml:space="preserve">, </w:t>
      </w:r>
      <w:r>
        <w:rPr>
          <w:rtl w:val="true"/>
        </w:rPr>
        <w:t>והשינוי המשמעותי והחיובי שערך בחייו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על אף התגייסותו להליך הטיפולי</w:t>
      </w:r>
      <w:r>
        <w:rPr>
          <w:rtl w:val="true"/>
        </w:rPr>
        <w:t xml:space="preserve">, </w:t>
      </w:r>
      <w:r>
        <w:rPr>
          <w:rtl w:val="true"/>
        </w:rPr>
        <w:t>הובהר כי קיים צורך בגבול הרתעתי ברור וחיצוני למערער</w:t>
      </w:r>
      <w:r>
        <w:rPr>
          <w:rtl w:val="true"/>
        </w:rPr>
        <w:t xml:space="preserve">, </w:t>
      </w:r>
      <w:r>
        <w:rPr>
          <w:rtl w:val="true"/>
        </w:rPr>
        <w:t>ולפיכך הומלץ על הרשעתו והשתת עונש של מאסר על תנאי אשר לא יקטע את התהליך המשמעותי שעבר</w:t>
      </w:r>
      <w:r>
        <w:rPr>
          <w:rtl w:val="true"/>
        </w:rPr>
        <w:t xml:space="preserve">. </w:t>
      </w:r>
      <w:r>
        <w:rPr>
          <w:rtl w:val="true"/>
        </w:rPr>
        <w:t>בנוסף הומלץ על צו מבחן למשך חצי שנה 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 xml:space="preserve">על המלצה זו חזר שירות המבחן גם במסגרת התסקיר שהוגש בינואר </w:t>
      </w:r>
      <w:r>
        <w:rPr/>
        <w:t>2019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11.4.2019</w:t>
      </w:r>
      <w:r>
        <w:rPr>
          <w:rtl w:val="true"/>
        </w:rPr>
        <w:t xml:space="preserve"> </w:t>
      </w:r>
      <w:r>
        <w:rPr>
          <w:rtl w:val="true"/>
        </w:rPr>
        <w:t>ניתן גזר הדין בעניינו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במסגרת גזר הדין הבחין בית המשפט בין העבירות המתוארות באישום הראשון בהן המערער היה כאמור קטין ולפיכך על ענישתו חלות הוראות 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הנוער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לבין העבירות באישום השני בהן המערער היה בגיר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לגבי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עמד על כך שמעשי הסחיטה החמורים שבוצעו בהזדמנויות שונות ובמשך תקופה של שלושה חודשים </w:t>
      </w:r>
      <w:r>
        <w:rPr>
          <w:rtl w:val="true"/>
        </w:rPr>
        <w:t>–</w:t>
      </w:r>
      <w:r>
        <w:rPr>
          <w:rtl w:val="true"/>
        </w:rPr>
        <w:t xml:space="preserve"> תוך גרימת פגיעה נפשית</w:t>
      </w:r>
      <w:r>
        <w:rPr>
          <w:rtl w:val="true"/>
        </w:rPr>
        <w:t xml:space="preserve">, </w:t>
      </w:r>
      <w:r>
        <w:rPr>
          <w:rtl w:val="true"/>
        </w:rPr>
        <w:t xml:space="preserve">רגשית וכלכלית למתלונן </w:t>
      </w:r>
      <w:r>
        <w:rPr>
          <w:rtl w:val="true"/>
        </w:rPr>
        <w:t>–</w:t>
      </w:r>
      <w:r>
        <w:rPr>
          <w:rtl w:val="true"/>
        </w:rPr>
        <w:t xml:space="preserve"> בוצעו בשיתוף פעולה מלא עם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כאשר אין הבדל ממשי בין נסיבות ביצוע העבירה של המערער לבין אלו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כמו גם בין חומרת מעשיהם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בעניין האישום השני</w:t>
      </w:r>
      <w:r>
        <w:rPr>
          <w:rtl w:val="true"/>
        </w:rPr>
        <w:t xml:space="preserve">, </w:t>
      </w:r>
      <w:r>
        <w:rPr>
          <w:rtl w:val="true"/>
        </w:rPr>
        <w:t>התייחס בית המשפט לפגיעה המשמעותית שגרמו מעשיו של המערער בערכים החברתיים הרלוונטיים</w:t>
      </w:r>
      <w:r>
        <w:rPr>
          <w:rtl w:val="true"/>
        </w:rPr>
        <w:t xml:space="preserve">, </w:t>
      </w:r>
      <w:r>
        <w:rPr>
          <w:rtl w:val="true"/>
        </w:rPr>
        <w:t>ביניהם השמירה על האוטונומיה של הפרט ורצונו החופשי ולמדיניות הענישה המחמירה בעבירות הסחיטה</w:t>
      </w:r>
      <w:r>
        <w:rPr>
          <w:rtl w:val="true"/>
        </w:rPr>
        <w:t xml:space="preserve">. </w:t>
      </w:r>
      <w:r>
        <w:rPr>
          <w:rtl w:val="true"/>
        </w:rPr>
        <w:t>בית המשפט פירט את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ובכלל זה העובדה שהמעשים היו מתוכננים והמערער ביצע אותם לבדו מבלי שאחר השפיע עליו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ניתן ביטוי להשלכות של האירוע על המתלונן</w:t>
      </w:r>
      <w:r>
        <w:rPr>
          <w:rtl w:val="true"/>
        </w:rPr>
        <w:t xml:space="preserve">. </w:t>
      </w:r>
      <w:r>
        <w:rPr>
          <w:rtl w:val="true"/>
        </w:rPr>
        <w:t>בהתחשב בכל אלה</w:t>
      </w:r>
      <w:r>
        <w:rPr>
          <w:rtl w:val="true"/>
        </w:rPr>
        <w:t xml:space="preserve">, </w:t>
      </w:r>
      <w:r>
        <w:rPr>
          <w:rtl w:val="true"/>
        </w:rPr>
        <w:t>נקבע לגבי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העונש ההולם עומד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עמד על הנסיבות המצדיקות להטיל על המערער מאסר בפועל לתקופה משמעותית</w:t>
      </w:r>
      <w:r>
        <w:rPr>
          <w:rtl w:val="true"/>
        </w:rPr>
        <w:t xml:space="preserve">, </w:t>
      </w:r>
      <w:r>
        <w:rPr>
          <w:rtl w:val="true"/>
        </w:rPr>
        <w:t>וביניהן אופי מעשיו</w:t>
      </w:r>
      <w:r>
        <w:rPr>
          <w:rtl w:val="true"/>
        </w:rPr>
        <w:t xml:space="preserve">, </w:t>
      </w:r>
      <w:r>
        <w:rPr>
          <w:rtl w:val="true"/>
        </w:rPr>
        <w:t>חומרתם ונסיבות ביצועם</w:t>
      </w:r>
      <w:r>
        <w:rPr>
          <w:rtl w:val="true"/>
        </w:rPr>
        <w:t xml:space="preserve">, </w:t>
      </w:r>
      <w:r>
        <w:rPr>
          <w:rtl w:val="true"/>
        </w:rPr>
        <w:t xml:space="preserve">שיקולי מדיניות ענישה ושמירה על יחס הולם לעונש שהוטל על נאשם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לאור שיקולי שיקום העולים עם האינטרס הציבורי הרחב והתרשמות גורמי הטיפול מהתהליך שעבר המערער</w:t>
      </w:r>
      <w:r>
        <w:rPr>
          <w:rtl w:val="true"/>
        </w:rPr>
        <w:t xml:space="preserve">, </w:t>
      </w:r>
      <w:r>
        <w:rPr>
          <w:rtl w:val="true"/>
        </w:rPr>
        <w:t>כפי שתואר בתסקירים</w:t>
      </w:r>
      <w:r>
        <w:rPr>
          <w:rtl w:val="true"/>
        </w:rPr>
        <w:t xml:space="preserve">, </w:t>
      </w:r>
      <w:r>
        <w:rPr>
          <w:rtl w:val="true"/>
        </w:rPr>
        <w:t>מצא בית המשפט כי קיימת הצדקה להגיע לתוצאה מתונה יותר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ולאחר שהרשיע את המערער בעבירה של סחיטה באיומים במסגרת האישום הראשון</w:t>
      </w:r>
      <w:r>
        <w:rPr>
          <w:rtl w:val="true"/>
        </w:rPr>
        <w:t xml:space="preserve">, </w:t>
      </w:r>
      <w:r>
        <w:rPr>
          <w:rtl w:val="true"/>
        </w:rPr>
        <w:t>ובהתייחס להרשעתו גם במסגרת האישום השני</w:t>
      </w:r>
      <w:r>
        <w:rPr>
          <w:rtl w:val="true"/>
        </w:rPr>
        <w:t xml:space="preserve">, </w:t>
      </w:r>
      <w:r>
        <w:rPr>
          <w:rtl w:val="true"/>
        </w:rPr>
        <w:t>גזר את העונשים שפורטו לעיל</w:t>
      </w:r>
      <w:r>
        <w:rPr>
          <w:rtl w:val="true"/>
        </w:rPr>
        <w:t xml:space="preserve">. </w:t>
      </w:r>
      <w:r>
        <w:rPr>
          <w:rtl w:val="true"/>
        </w:rPr>
        <w:t>מכאן הערעור שלפנינו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לשלמות התמונה יצוין כי במסגרת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הוגש ביום </w:t>
      </w:r>
      <w:r>
        <w:rPr/>
        <w:t>26.9.2019</w:t>
      </w:r>
      <w:r>
        <w:rPr>
          <w:rtl w:val="true"/>
        </w:rPr>
        <w:t xml:space="preserve"> </w:t>
      </w:r>
      <w:r>
        <w:rPr>
          <w:rtl w:val="true"/>
        </w:rPr>
        <w:t>תסקיר משלים</w:t>
      </w:r>
      <w:r>
        <w:rPr>
          <w:rtl w:val="true"/>
        </w:rPr>
        <w:t xml:space="preserve">, </w:t>
      </w:r>
      <w:r>
        <w:rPr>
          <w:rtl w:val="true"/>
        </w:rPr>
        <w:t xml:space="preserve">ובו צוין כי נוסף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תיקים פליליים שונים מעברו של המערער</w:t>
      </w:r>
      <w:r>
        <w:rPr>
          <w:rtl w:val="true"/>
        </w:rPr>
        <w:t xml:space="preserve">, </w:t>
      </w:r>
      <w:r>
        <w:rPr>
          <w:rtl w:val="true"/>
        </w:rPr>
        <w:t>בהם גם תיק שעניינו איומים ותיק שעניינו תקיפה</w:t>
      </w:r>
      <w:r>
        <w:rPr>
          <w:rtl w:val="true"/>
        </w:rPr>
        <w:t xml:space="preserve">, </w:t>
      </w:r>
      <w:r>
        <w:rPr>
          <w:rtl w:val="true"/>
        </w:rPr>
        <w:t>נפתח תיק פלילי נוסף נגד המערער שעניינו תקיפה הגורמת חבלה של ממש</w:t>
      </w:r>
      <w:r>
        <w:rPr>
          <w:rtl w:val="true"/>
        </w:rPr>
        <w:t xml:space="preserve">, </w:t>
      </w:r>
      <w:r>
        <w:rPr>
          <w:rtl w:val="true"/>
        </w:rPr>
        <w:t>אך טרם הוגש בו כתב אישום</w:t>
      </w:r>
      <w:r>
        <w:rPr>
          <w:rtl w:val="true"/>
        </w:rPr>
        <w:t xml:space="preserve">. </w:t>
      </w: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>שירות המבחן שב על המלצתו להימנע מהטלת מאסר בפועל על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טוען כי שגה בית המשפט משהפריד את שני האישומים המתייחסים לרצף אירועים אחד כאילו היו עבירות נפרדות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לגבי האישום הראשון הוא נידון כקטין</w:t>
      </w:r>
      <w:r>
        <w:rPr>
          <w:rtl w:val="true"/>
        </w:rPr>
        <w:t xml:space="preserve">, </w:t>
      </w:r>
      <w:r>
        <w:rPr>
          <w:rtl w:val="true"/>
        </w:rPr>
        <w:t>ולגבי האישום השני כבגיר</w:t>
      </w:r>
      <w:r>
        <w:rPr>
          <w:rtl w:val="true"/>
        </w:rPr>
        <w:t xml:space="preserve">, </w:t>
      </w:r>
      <w:r>
        <w:rPr>
          <w:rtl w:val="true"/>
        </w:rPr>
        <w:t>למרות שחלף פרק זמן של מספר שבועות בלבד בין שני האירועים במהלכו הפך לבגיר</w:t>
      </w:r>
      <w:r>
        <w:rPr>
          <w:rtl w:val="true"/>
        </w:rPr>
        <w:t xml:space="preserve">. </w:t>
      </w:r>
      <w:r>
        <w:rPr>
          <w:rtl w:val="true"/>
        </w:rPr>
        <w:t>נוכח העובדה כי היה צורך לראות במערער קטין</w:t>
      </w:r>
      <w:r>
        <w:rPr>
          <w:rtl w:val="true"/>
        </w:rPr>
        <w:t xml:space="preserve">, </w:t>
      </w:r>
      <w:r>
        <w:rPr>
          <w:rtl w:val="true"/>
        </w:rPr>
        <w:t>יש גם לתת משקל ראוי לשיקולי השיקום שלו וכן לשילובו בחברה</w:t>
      </w:r>
      <w:r>
        <w:rPr>
          <w:rtl w:val="true"/>
        </w:rPr>
        <w:t xml:space="preserve">. </w:t>
      </w:r>
      <w:r>
        <w:rPr>
          <w:rtl w:val="true"/>
        </w:rPr>
        <w:t>כן נטען כי יש לקחת בחשבון את נסיבות חייו ולתת ביטוי להליך השיקום שעבר וכן להמלצת שירות המבחן בעניינו</w:t>
      </w:r>
      <w:r>
        <w:rPr>
          <w:rtl w:val="true"/>
        </w:rPr>
        <w:t xml:space="preserve">. </w:t>
      </w:r>
      <w:r>
        <w:rPr>
          <w:rtl w:val="true"/>
        </w:rPr>
        <w:t>למערער משפחה חזקה ותומכת היכולה לסייע לו בשיקום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עונש של עבודות שירות יחבל במאמצי השיקום ותהליך השינוי העמוק שעבר</w:t>
      </w:r>
      <w:r>
        <w:rPr>
          <w:rtl w:val="true"/>
        </w:rPr>
        <w:t xml:space="preserve">. </w:t>
      </w:r>
      <w:r>
        <w:rPr>
          <w:rtl w:val="true"/>
        </w:rPr>
        <w:t>עוד נטען כי המערער שהה במעצר במשך חודשיים</w:t>
      </w:r>
      <w:r>
        <w:rPr>
          <w:rtl w:val="true"/>
        </w:rPr>
        <w:t xml:space="preserve">, </w:t>
      </w:r>
      <w:r>
        <w:rPr>
          <w:rtl w:val="true"/>
        </w:rPr>
        <w:t>אשר לא נוכו מעונש המאסר בפועל שהושת עליו ואין לכך הצדקה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בעל מוטיבציה גבוהה להתגייס לצה</w:t>
      </w:r>
      <w:r>
        <w:rPr>
          <w:rtl w:val="true"/>
        </w:rPr>
        <w:t>"</w:t>
      </w:r>
      <w:r>
        <w:rPr>
          <w:rtl w:val="true"/>
        </w:rPr>
        <w:t>ל ועונש של מאסר בפועל ימנע ממנו את גיוסו</w:t>
      </w:r>
      <w:r>
        <w:rPr>
          <w:rtl w:val="true"/>
        </w:rPr>
        <w:t xml:space="preserve">. </w:t>
      </w:r>
      <w:r>
        <w:rPr>
          <w:rtl w:val="true"/>
        </w:rPr>
        <w:t>הגיוס בפני עצמו יהווה עוד כלי לשיקום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המשיבה סמכה ידיה על פסק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לטענתה בית המשפט הלך כברת דרך משמעותית ביותר לטובת שיקום המערער</w:t>
      </w:r>
      <w:r>
        <w:rPr>
          <w:rtl w:val="true"/>
        </w:rPr>
        <w:t xml:space="preserve">. </w:t>
      </w:r>
      <w:r>
        <w:rPr>
          <w:rtl w:val="true"/>
        </w:rPr>
        <w:t>היא הדגישה את הרישום הפלילי של המערער ואת חומרת המעשים והשלכותיהם על המתלוננים</w:t>
      </w:r>
      <w:r>
        <w:rPr>
          <w:rtl w:val="true"/>
        </w:rPr>
        <w:t xml:space="preserve">. </w:t>
      </w:r>
      <w:r>
        <w:rPr>
          <w:rtl w:val="true"/>
        </w:rPr>
        <w:t>המשיבה סבורה כי עונש של של</w:t>
      </w:r>
      <w:r>
        <w:rPr>
          <w:rtl w:val="true"/>
        </w:rPr>
        <w:t>"</w:t>
      </w:r>
      <w:r>
        <w:rPr>
          <w:rtl w:val="true"/>
        </w:rPr>
        <w:t>צ לא הולם את חומרת המעשים והוא חורג במידה קיצונית מעקרון השוויון בענישה</w:t>
      </w:r>
      <w:r>
        <w:rPr>
          <w:rtl w:val="true"/>
        </w:rPr>
        <w:t xml:space="preserve">. </w:t>
      </w:r>
      <w:r>
        <w:rPr>
          <w:rtl w:val="true"/>
        </w:rPr>
        <w:t xml:space="preserve">בייחוד אל מול העונש אותו קיבל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שהואשם רק באישום הראשון</w:t>
      </w:r>
      <w:r>
        <w:rPr>
          <w:rtl w:val="true"/>
        </w:rPr>
        <w:t xml:space="preserve">, </w:t>
      </w:r>
      <w:r>
        <w:rPr>
          <w:rtl w:val="true"/>
        </w:rPr>
        <w:t>לעומת המערער שהואשם כאמור בשני האישומים</w:t>
      </w:r>
      <w:r>
        <w:rPr>
          <w:rtl w:val="true"/>
        </w:rPr>
        <w:t xml:space="preserve">. </w:t>
      </w:r>
      <w:r>
        <w:rPr>
          <w:rtl w:val="true"/>
        </w:rPr>
        <w:t>עוד הוסיפה המשיבה על אודות החשיבות האינטרס הציבורי ועל הצורך להבטיח כי מעשים מסוג זה לא יישנו</w:t>
      </w:r>
      <w:r>
        <w:rPr>
          <w:rtl w:val="true"/>
        </w:rPr>
        <w:t xml:space="preserve">. </w:t>
      </w:r>
      <w:r>
        <w:rPr>
          <w:rtl w:val="true"/>
        </w:rPr>
        <w:t>לבסוף ציינה כי רצונו של המערער להתגייס לא יכול להכריע את גורלו לאור חומרתן של העבירות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ששמענו ושקלנו את טיעוני הצדדים</w:t>
      </w:r>
      <w:r>
        <w:rPr>
          <w:rtl w:val="true"/>
        </w:rPr>
        <w:t xml:space="preserve">, </w:t>
      </w:r>
      <w:r>
        <w:rPr>
          <w:rtl w:val="true"/>
        </w:rPr>
        <w:t>הגענו למסקנה כי דין הערעור להידחות</w:t>
      </w:r>
      <w:r>
        <w:rPr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 xml:space="preserve">כלל ידוע הוא </w:t>
      </w:r>
      <w:r>
        <w:rPr>
          <w:rFonts w:ascii="FrankRuehl" w:hAnsi="FrankRuehl" w:cs="FrankRuehl"/>
          <w:sz w:val="28"/>
          <w:sz w:val="28"/>
          <w:rtl w:val="true"/>
        </w:rPr>
        <w:t xml:space="preserve">כי </w:t>
      </w:r>
      <w:r>
        <w:rPr>
          <w:rFonts w:ascii="FrankRuehl" w:hAnsi="FrankRuehl" w:cs="FrankRuehl"/>
          <w:sz w:val="28"/>
          <w:sz w:val="28"/>
          <w:rtl w:val="true"/>
        </w:rPr>
        <w:t xml:space="preserve">ערכאת הערעור אינה גוזרת מחדש את דינו של </w:t>
      </w:r>
      <w:r>
        <w:rPr>
          <w:rFonts w:ascii="FrankRuehl" w:hAnsi="FrankRuehl" w:cs="FrankRuehl"/>
          <w:sz w:val="28"/>
          <w:sz w:val="28"/>
          <w:rtl w:val="true"/>
        </w:rPr>
        <w:t xml:space="preserve">נאשם </w:t>
      </w:r>
      <w:r>
        <w:rPr>
          <w:rFonts w:ascii="FrankRuehl" w:hAnsi="FrankRuehl" w:cs="FrankRuehl"/>
          <w:sz w:val="28"/>
          <w:sz w:val="28"/>
          <w:rtl w:val="true"/>
        </w:rPr>
        <w:t>שהורשע</w:t>
      </w:r>
      <w:r>
        <w:rPr>
          <w:rFonts w:cs="FrankRuehl" w:ascii="FrankRuehl" w:hAnsi="FrankRuehl"/>
          <w:sz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tl w:val="true"/>
        </w:rPr>
        <w:t xml:space="preserve">אלא במקרים חריגים שבהם נפלה טעות מהותית בגזר הדין או שהעונש שנגזר חורג באופן קיצוני ממדיניות הענישה הראויה או המקובלת </w:t>
      </w:r>
      <w:r>
        <w:rPr>
          <w:rtl w:val="true"/>
        </w:rPr>
        <w:t>(</w:t>
      </w:r>
      <w:r>
        <w:rPr>
          <w:rtl w:val="true"/>
        </w:rPr>
        <w:t>ראו לדוגמה לאחרונה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אזברגה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9035/18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15.</w:t>
      </w:r>
      <w:r>
        <w:rPr/>
        <w:t>9</w:t>
      </w:r>
      <w:r>
        <w:rPr/>
        <w:t>.2019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rtl w:val="true"/>
        </w:rPr>
        <w:t>העבירות בהן הורשע המערער על פי הודאתו הן קשות וחמורות ומצדיקות הטלת ענישה מוחשית</w:t>
      </w:r>
      <w:r>
        <w:rPr>
          <w:rtl w:val="true"/>
        </w:rPr>
        <w:t xml:space="preserve">. </w:t>
      </w:r>
      <w:r>
        <w:rPr>
          <w:rtl w:val="true"/>
        </w:rPr>
        <w:t>בית משפט זה עמד פעמים רבות בעבר על חומרתן הרבה של עבירות הסחיטה המערערות את יסודות הסדר החברתי ופוגעות באופן ניכר בשלום הציבור</w:t>
      </w:r>
      <w:r>
        <w:rPr>
          <w:rtl w:val="true"/>
        </w:rPr>
        <w:t xml:space="preserve">, </w:t>
      </w:r>
      <w:r>
        <w:rPr>
          <w:rtl w:val="true"/>
        </w:rPr>
        <w:t>בשגרת חייו ובביטחונו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עבירות אלו </w:t>
      </w:r>
      <w:r>
        <w:rPr>
          <w:rFonts w:ascii="Century" w:hAnsi="Century" w:cs="Century"/>
          <w:rtl w:val="true"/>
        </w:rPr>
        <w:t>פוגע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ת במרקם חייהם של הנסחטים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במישור האישי והכלכלי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20.9.2015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106/17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30.01.2018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;</w:t>
      </w:r>
      <w:r>
        <w:rPr>
          <w:rFonts w:cs="Century" w:ascii="Century" w:hAnsi="Century"/>
          <w:sz w:val="22"/>
          <w:rtl w:val="true"/>
        </w:rPr>
        <w:t xml:space="preserve"> </w:t>
      </w:r>
      <w:hyperlink r:id="rId1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1551/15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6.9.2016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הורשע בביצוע מעשי סחיטה ואיומים כחלק ממסכת אירועים מתמשכת וכוחנית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 כלפי קטין תלמיד כיתה י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מעשים קשים אלו ראויים לגמול עונשי ממשי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טענת המערער כי שגה בית המשפט בכך שלא נתן משקל מוגבר לשיקולי השיקום שלו ולהמלצת שירות המבחן</w:t>
      </w:r>
      <w:r>
        <w:rPr>
          <w:rtl w:val="true"/>
        </w:rPr>
        <w:t xml:space="preserve">, </w:t>
      </w:r>
      <w:r>
        <w:rPr>
          <w:rtl w:val="true"/>
        </w:rPr>
        <w:t>לא ניתן לקבלה</w:t>
      </w:r>
      <w:r>
        <w:rPr>
          <w:rtl w:val="true"/>
        </w:rPr>
        <w:t xml:space="preserve">. </w:t>
      </w:r>
      <w:r>
        <w:rPr>
          <w:rtl w:val="true"/>
        </w:rPr>
        <w:t>גזר דינו המפורט והמנומק של בית המשפט המחוזי מלמד כי הוא התייחס למכלול נסיבות העניין לקולא ולחומרה</w:t>
      </w:r>
      <w:r>
        <w:rPr>
          <w:rtl w:val="true"/>
        </w:rPr>
        <w:t xml:space="preserve">, </w:t>
      </w:r>
      <w:r>
        <w:rPr>
          <w:rtl w:val="true"/>
        </w:rPr>
        <w:t>ונתן משקל ממשי להיותו של המערער קטין בעת ביצוע חלק מהעבירות</w:t>
      </w:r>
      <w:r>
        <w:rPr>
          <w:rtl w:val="true"/>
        </w:rPr>
        <w:t xml:space="preserve">, </w:t>
      </w:r>
      <w:r>
        <w:rPr>
          <w:rtl w:val="true"/>
        </w:rPr>
        <w:t>למאמציו לחזור למוטב</w:t>
      </w:r>
      <w:r>
        <w:rPr>
          <w:rtl w:val="true"/>
        </w:rPr>
        <w:t xml:space="preserve">, </w:t>
      </w:r>
      <w:r>
        <w:rPr>
          <w:rtl w:val="true"/>
        </w:rPr>
        <w:t>להתרשמות גורמי הטיפול מהתהליך הטיפולי שעבר ולנסיבותיו האישיות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ובהתייחס גם להמלצת שירות המבחן</w:t>
      </w:r>
      <w:r>
        <w:rPr>
          <w:rtl w:val="true"/>
        </w:rPr>
        <w:t xml:space="preserve">, </w:t>
      </w:r>
      <w:r>
        <w:rPr>
          <w:rtl w:val="true"/>
        </w:rPr>
        <w:t>מצא בית המשפט לנכון להטיל על המערער עונש מתון מאוד בנסיבות העניין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ובהינתן מיצוי מידת החסד בעניינו של המערער</w:t>
      </w:r>
      <w:r>
        <w:rPr>
          <w:rtl w:val="true"/>
        </w:rPr>
        <w:t xml:space="preserve">, </w:t>
      </w:r>
      <w:r>
        <w:rPr>
          <w:rtl w:val="true"/>
        </w:rPr>
        <w:t>אין כל מקום להתערב בעונש שהושת עליו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באותו אופן ונוכח העובדה שבית המשפט הלך לקראת המערער כברת דרך ממשית</w:t>
      </w:r>
      <w:r>
        <w:rPr>
          <w:rtl w:val="true"/>
        </w:rPr>
        <w:t xml:space="preserve">, </w:t>
      </w:r>
      <w:r>
        <w:rPr>
          <w:rtl w:val="true"/>
        </w:rPr>
        <w:t>גם אין מקום לשעות לטענות המערער כי היה על בית המשפט להשית עליו של</w:t>
      </w:r>
      <w:r>
        <w:rPr>
          <w:rtl w:val="true"/>
        </w:rPr>
        <w:t>"</w:t>
      </w:r>
      <w:r>
        <w:rPr>
          <w:rtl w:val="true"/>
        </w:rPr>
        <w:t>צ חלף העונש שהושת עליו</w:t>
      </w:r>
      <w:r>
        <w:rPr>
          <w:rtl w:val="true"/>
        </w:rPr>
        <w:t xml:space="preserve">, </w:t>
      </w:r>
      <w:r>
        <w:rPr>
          <w:rtl w:val="true"/>
        </w:rPr>
        <w:t>בין היתר בשל ההשלכות הצפויות לגיוסו לצה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כאשר כלל לא הובהר לפנינו אם קיימת השלכה מעשית בהקשר זה להטלת עונש של</w:t>
      </w:r>
      <w:r>
        <w:rPr>
          <w:rtl w:val="true"/>
        </w:rPr>
        <w:t>"</w:t>
      </w:r>
      <w:r>
        <w:rPr>
          <w:rtl w:val="true"/>
        </w:rPr>
        <w:t>צ או מאסר בפועל בריצוי בדרך של עבודות שירות</w:t>
      </w:r>
      <w:r>
        <w:rPr>
          <w:rtl w:val="true"/>
        </w:rPr>
        <w:t xml:space="preserve">). </w:t>
      </w:r>
      <w:r>
        <w:rPr>
          <w:rtl w:val="true"/>
        </w:rPr>
        <w:t>גם טענת המערער כי בית המשפט שגה בכך שלא ניכה את ימי מעצרו</w:t>
      </w:r>
      <w:r>
        <w:rPr>
          <w:rtl w:val="true"/>
        </w:rPr>
        <w:t xml:space="preserve">, </w:t>
      </w:r>
      <w:r>
        <w:rPr>
          <w:rtl w:val="true"/>
        </w:rPr>
        <w:t>אינה מצדיקה התערבות בעונש</w:t>
      </w:r>
      <w:r>
        <w:rPr>
          <w:rtl w:val="true"/>
        </w:rPr>
        <w:t xml:space="preserve">. </w:t>
      </w:r>
      <w:r>
        <w:rPr>
          <w:rtl w:val="true"/>
        </w:rPr>
        <w:t>מעבר לכך שנאשם אינו זכאי לניכוי ימי מעצרו</w:t>
      </w:r>
      <w:r>
        <w:rPr>
          <w:rtl w:val="true"/>
        </w:rPr>
        <w:t xml:space="preserve">, </w:t>
      </w:r>
      <w:r>
        <w:rPr>
          <w:rtl w:val="true"/>
        </w:rPr>
        <w:t>כאשר מושת על נאשם מאסר בפועל לריצוי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ניכוי ימי מעצר איננו עניין מובן מאליו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טויזר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8.7.2018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7584/14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2.12.2014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יש גם לדחות את טענת המערער כי שגה בית המשפט בכך שלא נתן משקל מוגבר לשיקולי השיקום גם בקשר לעבירות מושא האישום השני</w:t>
      </w:r>
      <w:r>
        <w:rPr>
          <w:rtl w:val="true"/>
        </w:rPr>
        <w:t xml:space="preserve">, </w:t>
      </w:r>
      <w:r>
        <w:rPr>
          <w:rtl w:val="true"/>
        </w:rPr>
        <w:t>אותן ביצע בהיותו בגיר</w:t>
      </w:r>
      <w:r>
        <w:rPr>
          <w:rtl w:val="true"/>
        </w:rPr>
        <w:t xml:space="preserve">, </w:t>
      </w:r>
      <w:r>
        <w:rPr>
          <w:rtl w:val="true"/>
        </w:rPr>
        <w:t>אך בסמיכות לגיל הקטינות</w:t>
      </w:r>
      <w:r>
        <w:rPr>
          <w:rtl w:val="true"/>
        </w:rPr>
        <w:t xml:space="preserve">. </w:t>
      </w:r>
      <w:r>
        <w:rPr>
          <w:rtl w:val="true"/>
        </w:rPr>
        <w:t>על פי החוק</w:t>
      </w:r>
      <w:r>
        <w:rPr>
          <w:rtl w:val="true"/>
        </w:rPr>
        <w:t xml:space="preserve">, </w:t>
      </w:r>
      <w:r>
        <w:rPr>
          <w:rtl w:val="true"/>
        </w:rPr>
        <w:t xml:space="preserve">גילו הצעיר של נאשם יכול שיהיה שיקול בקביעת מתחם העונש ההולם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כמו גם בגזירת העונש המתאים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6961/17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אלקיעאן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07.03.2018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03.04.2014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גם כאשר מדובר בקטין</w:t>
      </w:r>
      <w:r>
        <w:rPr>
          <w:rtl w:val="true"/>
        </w:rPr>
        <w:t xml:space="preserve">, </w:t>
      </w:r>
      <w:r>
        <w:rPr>
          <w:rtl w:val="true"/>
        </w:rPr>
        <w:t xml:space="preserve">ככל </w:t>
      </w:r>
      <w:r>
        <w:rPr>
          <w:rFonts w:ascii="Century" w:hAnsi="Century" w:cs="Century"/>
          <w:sz w:val="22"/>
          <w:sz w:val="22"/>
          <w:rtl w:val="true"/>
        </w:rPr>
        <w:t>שהקטין קרוב יותר לבגירות בעת ביצוע המעשים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מוצדק יותר להתחשב בעיקרון ההלימה בין חומרת המעשה ומידת האשם לבין חומרת העונש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2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7211/13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13.12.2015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רק שבית המשפט לקח בחשבון את שיקולי השיקום העומדים על הפרק בנוגע לעבירות מושא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עת היה המערער קטין </w:t>
      </w:r>
      <w:r>
        <w:rPr>
          <w:rtl w:val="true"/>
        </w:rPr>
        <w:t>(</w:t>
      </w:r>
      <w:r>
        <w:rPr>
          <w:rtl w:val="true"/>
        </w:rPr>
        <w:t>הקרוב לגיל הבגירות</w:t>
      </w:r>
      <w:r>
        <w:rPr>
          <w:rtl w:val="true"/>
        </w:rPr>
        <w:t xml:space="preserve">), </w:t>
      </w:r>
      <w:r>
        <w:rPr>
          <w:rtl w:val="true"/>
        </w:rPr>
        <w:t>אלא ששיקולי השיקום היטו את הכף גם בגזר הדין שניתן בקשר לעבירות מושא האישום השני</w:t>
      </w:r>
      <w:r>
        <w:rPr>
          <w:rtl w:val="true"/>
        </w:rPr>
        <w:t xml:space="preserve">, </w:t>
      </w:r>
      <w:r>
        <w:rPr>
          <w:rtl w:val="true"/>
        </w:rPr>
        <w:t>עת בגר</w:t>
      </w:r>
      <w:r>
        <w:rPr>
          <w:rtl w:val="true"/>
        </w:rPr>
        <w:t xml:space="preserve">, </w:t>
      </w:r>
      <w:r>
        <w:rPr>
          <w:rtl w:val="true"/>
        </w:rPr>
        <w:t>והביאו את בית המשפט לקבוע עונש כולל המקל עם המערער</w:t>
      </w:r>
      <w:r>
        <w:rPr>
          <w:rtl w:val="true"/>
        </w:rPr>
        <w:t xml:space="preserve">. </w:t>
      </w:r>
      <w:r>
        <w:rPr>
          <w:rtl w:val="true"/>
        </w:rPr>
        <w:t>מכאן אפוא שאין מקום לשעות לטענה כי בית המשפט החמיר עם המערער שלא לצורך</w:t>
      </w:r>
      <w:r>
        <w:rPr>
          <w:rtl w:val="true"/>
        </w:rPr>
        <w:t xml:space="preserve">, </w:t>
      </w:r>
      <w:r>
        <w:rPr>
          <w:rtl w:val="true"/>
        </w:rPr>
        <w:t>בהתייחס לעבירות שביצע בהיותו בגיר</w:t>
      </w:r>
      <w:r>
        <w:rPr>
          <w:rtl w:val="true"/>
        </w:rPr>
        <w:t xml:space="preserve">, </w:t>
      </w:r>
      <w:r>
        <w:rPr>
          <w:rtl w:val="true"/>
        </w:rPr>
        <w:t>ותוך ביצוע הפרדה מלאכותית בין המעשים</w:t>
      </w:r>
      <w:r>
        <w:rPr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לא למותר לציין כי בית משפט זה קבע לא פעם כי היות העבריין קטין לא מהווה הצדקה שלא להעניש אותו באופן ההולם את העבירות שביצע ואת חומרתן </w:t>
      </w:r>
      <w:r>
        <w:rPr>
          <w:rFonts w:cs="Century" w:ascii="Century" w:hAnsi="Century"/>
          <w:sz w:val="22"/>
          <w:rtl w:val="true"/>
        </w:rPr>
        <w:t>(</w:t>
      </w:r>
      <w:hyperlink r:id="rId2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593/18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18-17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17.04.2018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2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7416/15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22.05.2016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יתייצב כשברשותו תעודת זהות או דרכון</w:t>
      </w:r>
      <w:r>
        <w:rPr>
          <w:rtl w:val="true"/>
        </w:rPr>
        <w:t xml:space="preserve">, </w:t>
      </w:r>
      <w:r>
        <w:rPr>
          <w:rtl w:val="true"/>
        </w:rPr>
        <w:t>לצורך קליטה והצבה בעבודות השירות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1.12.2019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9:00</w:t>
      </w:r>
      <w:r>
        <w:rPr>
          <w:rtl w:val="true"/>
        </w:rPr>
        <w:t xml:space="preserve"> </w:t>
      </w:r>
      <w:r>
        <w:rPr>
          <w:rtl w:val="true"/>
        </w:rPr>
        <w:t>במשרדי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במתחם בתי הכלא 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או במועד אחר על פי החלטת הממונה על עבודות השירות</w:t>
      </w:r>
      <w:r>
        <w:rPr>
          <w:rtl w:val="true"/>
        </w:rPr>
        <w:t xml:space="preserve">. </w:t>
      </w:r>
      <w:r>
        <w:rPr>
          <w:rtl w:val="true"/>
        </w:rPr>
        <w:t xml:space="preserve">עותק </w:t>
      </w:r>
      <w:r>
        <w:rPr>
          <w:rtl w:val="true"/>
        </w:rPr>
        <w:t>מ</w:t>
      </w:r>
      <w:r>
        <w:rPr>
          <w:rtl w:val="true"/>
        </w:rPr>
        <w:t xml:space="preserve">פסק דין </w:t>
      </w:r>
      <w:r>
        <w:rPr>
          <w:rtl w:val="true"/>
        </w:rPr>
        <w:t xml:space="preserve">זה </w:t>
      </w:r>
      <w:r>
        <w:rPr>
          <w:rtl w:val="true"/>
        </w:rPr>
        <w:t>יועבר לממונה על עבודות השירות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מלצר</w:t>
      </w:r>
      <w:r>
        <w:rPr>
          <w:rtl w:val="true"/>
        </w:rPr>
        <w:t>: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tl w:val="true"/>
        </w:rPr>
        <w:t>-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 xml:space="preserve">,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;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7.11.2019</w:t>
      </w:r>
      <w:r>
        <w:rPr>
          <w:rtl w:val="true"/>
        </w:rPr>
        <w:t xml:space="preserve">). </w:t>
      </w:r>
      <w:bookmarkEnd w:id="16"/>
      <w:r>
        <w:rPr>
          <w:rtl w:val="true"/>
        </w:rPr>
        <w:t xml:space="preserve">  </w:t>
      </w:r>
    </w:p>
    <w:p>
      <w:pPr>
        <w:pStyle w:val="Ruller4"/>
        <w:ind w:end="0"/>
        <w:jc w:val="center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המשנה</w:t>
      </w:r>
      <w:r>
        <w:rPr>
          <w:rtl w:val="true"/>
        </w:rPr>
        <w:t>-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                  </w:t>
      </w:r>
      <w:r>
        <w:rPr>
          <w:rtl w:val="true"/>
        </w:rPr>
        <w:tab/>
        <w:tab/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</w:t>
      </w:r>
      <w:r>
        <w:rPr>
          <w:rtl w:val="true"/>
        </w:rPr>
        <w:tab/>
        <w:tab/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19035410</w:t>
      </w:r>
      <w:r>
        <w:rPr>
          <w:sz w:val="16"/>
          <w:rtl w:val="true"/>
        </w:rPr>
        <w:t>_</w:t>
      </w:r>
      <w:r>
        <w:rPr>
          <w:sz w:val="16"/>
        </w:rPr>
        <w:t>N02.docx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</w:t>
      </w:r>
      <w:r>
        <w:rPr>
          <w:sz w:val="16"/>
          <w:sz w:val="16"/>
          <w:rtl w:val="true"/>
        </w:rPr>
        <w:t>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54678313-3541/19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3541/19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Style13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6" TargetMode="External"/><Relationship Id="rId4" Type="http://schemas.openxmlformats.org/officeDocument/2006/relationships/hyperlink" Target="http://www.nevo.co.il/law/70301/40ja.1" TargetMode="External"/><Relationship Id="rId5" Type="http://schemas.openxmlformats.org/officeDocument/2006/relationships/hyperlink" Target="http://www.nevo.co.il/law/70301/427" TargetMode="External"/><Relationship Id="rId6" Type="http://schemas.openxmlformats.org/officeDocument/2006/relationships/hyperlink" Target="http://www.nevo.co.il/law/70301/428" TargetMode="External"/><Relationship Id="rId7" Type="http://schemas.openxmlformats.org/officeDocument/2006/relationships/hyperlink" Target="http://www.nevo.co.il/law/70348" TargetMode="External"/><Relationship Id="rId8" Type="http://schemas.openxmlformats.org/officeDocument/2006/relationships/hyperlink" Target="http://www.nevo.co.il/law/70301/428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28" TargetMode="External"/><Relationship Id="rId11" Type="http://schemas.openxmlformats.org/officeDocument/2006/relationships/hyperlink" Target="http://www.nevo.co.il/law/70301/427" TargetMode="External"/><Relationship Id="rId12" Type="http://schemas.openxmlformats.org/officeDocument/2006/relationships/hyperlink" Target="http://www.nevo.co.il/case/23775111" TargetMode="External"/><Relationship Id="rId13" Type="http://schemas.openxmlformats.org/officeDocument/2006/relationships/hyperlink" Target="http://www.nevo.co.il/law/70348" TargetMode="External"/><Relationship Id="rId14" Type="http://schemas.openxmlformats.org/officeDocument/2006/relationships/hyperlink" Target="http://www.nevo.co.il/case/25612982" TargetMode="External"/><Relationship Id="rId15" Type="http://schemas.openxmlformats.org/officeDocument/2006/relationships/hyperlink" Target="http://www.nevo.co.il/case/25254027" TargetMode="External"/><Relationship Id="rId16" Type="http://schemas.openxmlformats.org/officeDocument/2006/relationships/hyperlink" Target="http://www.nevo.co.il/case/17948153" TargetMode="External"/><Relationship Id="rId17" Type="http://schemas.openxmlformats.org/officeDocument/2006/relationships/hyperlink" Target="http://www.nevo.co.il/case/22006494" TargetMode="External"/><Relationship Id="rId18" Type="http://schemas.openxmlformats.org/officeDocument/2006/relationships/hyperlink" Target="http://www.nevo.co.il/case/20060570" TargetMode="External"/><Relationship Id="rId19" Type="http://schemas.openxmlformats.org/officeDocument/2006/relationships/hyperlink" Target="http://www.nevo.co.il/case/23535843" TargetMode="External"/><Relationship Id="rId20" Type="http://schemas.openxmlformats.org/officeDocument/2006/relationships/hyperlink" Target="http://www.nevo.co.il/case/18653810" TargetMode="External"/><Relationship Id="rId21" Type="http://schemas.openxmlformats.org/officeDocument/2006/relationships/hyperlink" Target="http://www.nevo.co.il/law/70301/40i.6" TargetMode="External"/><Relationship Id="rId22" Type="http://schemas.openxmlformats.org/officeDocument/2006/relationships/hyperlink" Target="http://www.nevo.co.il/law/70301/40ja.1" TargetMode="External"/><Relationship Id="rId23" Type="http://schemas.openxmlformats.org/officeDocument/2006/relationships/hyperlink" Target="http://www.nevo.co.il/case/22961891" TargetMode="External"/><Relationship Id="rId24" Type="http://schemas.openxmlformats.org/officeDocument/2006/relationships/hyperlink" Target="http://www.nevo.co.il/case/11206432" TargetMode="External"/><Relationship Id="rId25" Type="http://schemas.openxmlformats.org/officeDocument/2006/relationships/hyperlink" Target="http://www.nevo.co.il/case/10442984" TargetMode="External"/><Relationship Id="rId26" Type="http://schemas.openxmlformats.org/officeDocument/2006/relationships/hyperlink" Target="http://www.nevo.co.il/case/23582746" TargetMode="External"/><Relationship Id="rId27" Type="http://schemas.openxmlformats.org/officeDocument/2006/relationships/hyperlink" Target="http://www.nevo.co.il/case/20832659" TargetMode="External"/><Relationship Id="rId28" Type="http://schemas.openxmlformats.org/officeDocument/2006/relationships/hyperlink" Target="http://supreme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2019-11-10T10:14:00Z</dcterms:created>
  <dc:creator>h4</dc:creator>
  <dc:description/>
  <cp:keywords/>
  <dc:language>en-IL</dc:language>
  <cp:lastModifiedBy>orly</cp:lastModifiedBy>
  <cp:lastPrinted>2019-11-07T10:34:00Z</cp:lastPrinted>
  <dcterms:modified xsi:type="dcterms:W3CDTF">2019-11-10T10:14:00Z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23775111;25612982;25254027;17948153;22006494;20060570;23535843;18653810;22961891;11206432;10442984;23582746;20832659</vt:lpwstr>
  </property>
  <property fmtid="{D5CDD505-2E9C-101B-9397-08002B2CF9AE}" pid="9" name="CITY">
    <vt:lpwstr/>
  </property>
  <property fmtid="{D5CDD505-2E9C-101B-9397-08002B2CF9AE}" pid="10" name="DATE">
    <vt:lpwstr>20191107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מינץ;ח' מלצר</vt:lpwstr>
  </property>
  <property fmtid="{D5CDD505-2E9C-101B-9397-08002B2CF9AE}" pid="14" name="LAWLISTTMP1">
    <vt:lpwstr>70301/428:2;427;040i.6;40ja.1</vt:lpwstr>
  </property>
  <property fmtid="{D5CDD505-2E9C-101B-9397-08002B2CF9AE}" pid="15" name="LAWLISTTMP2">
    <vt:lpwstr>70348</vt:lpwstr>
  </property>
  <property fmtid="{D5CDD505-2E9C-101B-9397-08002B2CF9AE}" pid="16" name="LAWYER">
    <vt:lpwstr>נגה בן סידי;נועה מישור;טלי סמואל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>עונשין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>ענישה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1446;1446;1446;1446;1446;1446;1446</vt:lpwstr>
  </property>
  <property fmtid="{D5CDD505-2E9C-101B-9397-08002B2CF9AE}" pid="49" name="NOSE31">
    <vt:lpwstr>מדיניות ענישה: סחיטה באיומים</vt:lpwstr>
  </property>
  <property fmtid="{D5CDD505-2E9C-101B-9397-08002B2CF9AE}" pid="50" name="NOSE310">
    <vt:lpwstr/>
  </property>
  <property fmtid="{D5CDD505-2E9C-101B-9397-08002B2CF9AE}" pid="51" name="NOSE32">
    <vt:lpwstr>התערבות ערכאת הערעור</vt:lpwstr>
  </property>
  <property fmtid="{D5CDD505-2E9C-101B-9397-08002B2CF9AE}" pid="52" name="NOSE33">
    <vt:lpwstr>מדיניות ענישה: שיקולי גיל</vt:lpwstr>
  </property>
  <property fmtid="{D5CDD505-2E9C-101B-9397-08002B2CF9AE}" pid="53" name="NOSE34">
    <vt:lpwstr>מדיניות ענישה: בגירים צעירים</vt:lpwstr>
  </property>
  <property fmtid="{D5CDD505-2E9C-101B-9397-08002B2CF9AE}" pid="54" name="NOSE35">
    <vt:lpwstr>מדיניות ענישה: קטינים</vt:lpwstr>
  </property>
  <property fmtid="{D5CDD505-2E9C-101B-9397-08002B2CF9AE}" pid="55" name="NOSE36">
    <vt:lpwstr>מדיניות ענישה: שיקום</vt:lpwstr>
  </property>
  <property fmtid="{D5CDD505-2E9C-101B-9397-08002B2CF9AE}" pid="56" name="NOSE37">
    <vt:lpwstr>מדיניות ענישה: שיקולים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16809;8978;15327;15137;15724;14346;8994</vt:lpwstr>
  </property>
  <property fmtid="{D5CDD505-2E9C-101B-9397-08002B2CF9AE}" pid="60" name="PADIDATE">
    <vt:lpwstr>20191110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3541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410120191107</vt:lpwstr>
  </property>
  <property fmtid="{D5CDD505-2E9C-101B-9397-08002B2CF9AE}" pid="70" name="TYPE_N_DATE">
    <vt:lpwstr>41020191107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