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3546/19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רפעת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עודה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43709-11-14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30.5.2018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20.5.2019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בהתאמה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שפירא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אליקים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נאות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פרי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5.12.2022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>
          <w:sz w:val="16"/>
          <w:szCs w:val="20"/>
        </w:rPr>
      </w:pPr>
      <w:r>
        <w:rPr>
          <w:sz w:val="16"/>
          <w:szCs w:val="20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עופר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אשכנזי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>
          <w:sz w:val="14"/>
          <w:szCs w:val="18"/>
        </w:rPr>
      </w:pPr>
      <w:r>
        <w:rPr>
          <w:sz w:val="14"/>
          <w:szCs w:val="18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8"/>
        <w:gridCol w:w="5145"/>
      </w:tblGrid>
      <w:tr>
        <w:trPr/>
        <w:tc>
          <w:tcPr>
            <w:tcW w:w="3218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אושרה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פטל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רוזנברג</w:t>
            </w:r>
          </w:p>
        </w:tc>
      </w:tr>
      <w:tr>
        <w:trPr/>
        <w:tc>
          <w:tcPr>
            <w:tcW w:w="321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מתורגמנית</w:t>
            </w:r>
            <w:r>
              <w:rPr>
                <w:rtl w:val="true"/>
              </w:rPr>
              <w:t>:</w:t>
            </w:r>
          </w:p>
        </w:tc>
        <w:tc>
          <w:tcPr>
            <w:tcW w:w="514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אימאן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סאלם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8"/>
          <w:szCs w:val="12"/>
        </w:rPr>
      </w:pPr>
      <w:r>
        <w:rPr>
          <w:sz w:val="8"/>
          <w:szCs w:val="12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מרדכי קרמניצר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חאלד גנאים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הרפורמה בעבירות ההמתה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</w:rPr>
          <w:t>2019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)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לאור עקרונות היסוד של המשפט ומחקר היסטורי והשוואתי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2020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9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305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8"/>
          <w:szCs w:val="12"/>
        </w:rPr>
      </w:pPr>
      <w:r>
        <w:rPr>
          <w:rFonts w:cs="FrankRuehl" w:ascii="FrankRuehl" w:hAnsi="FrankRuehl"/>
          <w:color w:val="0000FF"/>
          <w:sz w:val="8"/>
          <w:szCs w:val="12"/>
          <w:rtl w:val="true"/>
        </w:rPr>
      </w:r>
      <w:bookmarkStart w:id="10" w:name="LawTable_End"/>
      <w:bookmarkStart w:id="11" w:name="LawTable_End"/>
      <w:bookmarkEnd w:id="11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2" w:name="ABSTRACT_START"/>
      <w:bookmarkEnd w:id="12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הרשעת המערער בעבירת הרצח בכוונה תחילה 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העונשין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בנוסחו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טרם הרפורמה בעבירות ההמתה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בדין יסודה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כך גם הרשעתו בעבירת הניסיון לרצח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שלא התקיימה כל נסיבה מחמירה ברצח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אזי עונש מאסר העולם בגינו הוא עונש מרבי ולא עונש חובה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במקרה זה </w:t>
      </w:r>
      <w:r>
        <w:rPr>
          <w:rFonts w:ascii="Times New Roman" w:hAnsi="Times New Roman" w:cs="Times New Roman"/>
          <w:spacing w:val="0"/>
          <w:szCs w:val="26"/>
          <w:rtl w:val="true"/>
        </w:rPr>
        <w:t>הרפורמה בעבירות ההמתה מהווה דין מקל ע</w:t>
      </w:r>
      <w:r>
        <w:rPr>
          <w:rFonts w:ascii="Times New Roman" w:hAnsi="Times New Roman" w:cs="Times New Roman"/>
          <w:spacing w:val="0"/>
          <w:szCs w:val="26"/>
          <w:rtl w:val="true"/>
        </w:rPr>
        <w:t>ם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שהוא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יורשע בעבירה 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עבירת הרצח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הבסיסית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ודינו ייגזר מחדש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– עבירת הרצח – תיקון </w:t>
      </w:r>
      <w:r>
        <w:rPr>
          <w:rFonts w:cs="Times New Roman" w:ascii="Times New Roman" w:hAnsi="Times New Roman"/>
          <w:spacing w:val="0"/>
          <w:szCs w:val="26"/>
        </w:rPr>
        <w:t>137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– ענישה – תיקון </w:t>
      </w:r>
      <w:r>
        <w:rPr>
          <w:rFonts w:cs="Times New Roman" w:ascii="Times New Roman" w:hAnsi="Times New Roman"/>
          <w:spacing w:val="0"/>
          <w:szCs w:val="26"/>
        </w:rPr>
        <w:t>137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רצח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עבירת רצח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ענישה מופחתת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הורשע בעבירת רצח בכוונה תחילה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לפי סעיפים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העונשין בנוסחו טרם הרפורמה בעבירות ההמתה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>),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של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המנוח </w:t>
      </w:r>
      <w:r>
        <w:rPr>
          <w:rFonts w:ascii="Times New Roman" w:hAnsi="Times New Roman" w:cs="Times New Roman"/>
          <w:spacing w:val="0"/>
          <w:szCs w:val="26"/>
          <w:rtl w:val="true"/>
        </w:rPr>
        <w:t>חליל מחרום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ניסיון לרצח של ראזי מחרום ובעבירות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>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הרשעתו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נגזר עליו עונש מאסר עולם ושבע שנות מאסר בפועל במצטבר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מופנה כלפי הכרעת דינו וגזר דינו של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השופטים שטיין וכנפי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שטייניץ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בחלקו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עבירת הרצח בכוונה תחילה נכללה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בנוסחו קודם הרפורמה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וקבעה 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הגורם בכוונה תחילה למותו של 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יואשם ברצח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ודינו יהא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מאסר עולם ועונש זה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לצורך התגבשות העבירה נדרש יסוד עובדתי שלפיו הנאשם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גרם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בהתנהגותו למותו של 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ויסוד נפשי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כוונה תחילה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הכולל שלושה רכיבים מצטברים 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החלטה להמית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הכנה והיעדר קנטור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בנוסחו הקודם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ברכיב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החלטה להמית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 להוכיח כי הנאשם צפה את התוצאה הקטלנית ורצה בהתגשמותה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ברכיב 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הכנה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נבחנות ההכנות המעשיות שערך הנאשם כדי לממש את החלטתו להמית את הקורבן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וברכיב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היעדר קנטור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להראות כי הרצח בוצע בדם קר ומבלי שקדמה לו התגרות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לצורך כך ייבחן האם הנאשם הושפע בפועל מן הקנטור וכן כיצד היה מגיב אדם סביר להתגרות כלפיו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התקיימו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היסוד העובדתי </w:t>
      </w:r>
      <w:r>
        <w:rPr>
          <w:rFonts w:ascii="Times New Roman" w:hAnsi="Times New Roman" w:cs="Times New Roman"/>
          <w:spacing w:val="0"/>
          <w:szCs w:val="26"/>
          <w:rtl w:val="true"/>
        </w:rPr>
        <w:t>וכל רכיבי ה</w:t>
      </w:r>
      <w:r>
        <w:rPr>
          <w:rFonts w:ascii="Times New Roman" w:hAnsi="Times New Roman" w:cs="Times New Roman"/>
          <w:spacing w:val="0"/>
          <w:szCs w:val="26"/>
          <w:rtl w:val="true"/>
        </w:rPr>
        <w:t>יסוד הנפשי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לניסיון ברצח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פעולות המערער יצאו בבירור מגדרי פעולות הכנה גרידא והן חלק משלב הניסיון לרצח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כל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הרשע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בעבירות הרצח בכוונה תחילה ובניסיון לרצח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בדין יסודן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היה ומעשי המערער ייכנסו בגדרי עבירת הרצח בנסיבות מחמירות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אזי הרפורמה לא תהא דין מקל עבורו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בהיעדר 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 לחלופין בהתקיים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פתח המילוט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 אם ייקבע כי עניינו של המערער נכנס לגדרי עבירת ההמתה בנסיבות של אחריות מופחתת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המשמעות היא כי הרפורמה מהווה דין מקל עם המערער ויש להחיל עליו את כלליה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אשר ל</w:t>
      </w:r>
      <w:r>
        <w:rPr>
          <w:rFonts w:ascii="Times New Roman" w:hAnsi="Times New Roman" w:cs="Times New Roman"/>
          <w:spacing w:val="0"/>
          <w:szCs w:val="26"/>
          <w:rtl w:val="true"/>
        </w:rPr>
        <w:t>המתה בנסיבות של אחריות מופחתת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הרפורמה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סוגיית הקנטור אינה מהווה עוד יסוד בעבירת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כלולה כנסיבה במסגרת עבירת המתה בנסיבות של אחריות מופחתת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 החדש ממזג בין בחינה סובייקטיבית לבחינה נורמטיבית ומורה כי מדובר במקרים שבהם ההתגרות פגעה באופן קשה ביכולתו של הנאשם לשלוט במעשיו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יש בכך כדי לגרוע מאשמתו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מבחינה מוסרית וחברתית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 לא התגרות הייתה ולא רצח ספונטני מתוך סערת רגשות חסרת מעצורים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נפגעה יכולת השליטה העצמית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גם אילו התעורר רגש עז במערער שהניעו להמית את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בכך כדי למתן את אשמתו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שלא מתקיים יחס הולם בין ההתגרות הנטענת לבין תגובתו של המערער ברצח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רצח המנוח אינו בא בגדרי עבירת ההמתה בנסיבות של אחריות מופחתת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אשר ל</w:t>
      </w:r>
      <w:r>
        <w:rPr>
          <w:rFonts w:ascii="Times New Roman" w:hAnsi="Times New Roman" w:cs="Times New Roman"/>
          <w:spacing w:val="0"/>
          <w:szCs w:val="26"/>
          <w:rtl w:val="true"/>
        </w:rPr>
        <w:t>רצח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לעניין הנסיבה המחמירה שלפיה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המעשה נעשה לאחר תכנון או לאחר הליך ממשי של שקילה וגיבוש החלטה להמית</w:t>
      </w:r>
      <w:r>
        <w:rPr>
          <w:rFonts w:cs="Times New Roman" w:ascii="Times New Roman" w:hAnsi="Times New Roman"/>
          <w:spacing w:val="0"/>
          <w:szCs w:val="26"/>
          <w:rtl w:val="true"/>
        </w:rPr>
        <w:t>" (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במקרים שבהם מעשה הרצח בוצע לאחר שהעושה שקל והחליט להמית את הקורבן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כאשר הרצח נעשה באופן ספונטני וללא הכנה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די בכך שהנאשם ירה בראשו של המנוח מטווח קצר כדי לבסס את התקיימות הנסיבה המחמירה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יתר נסיבות ביצוע הרצח אינן מהוות תכנון או הליך ממשי של שקילה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 המערער נשא עמו את אקדחו בהליכתו לזירת ההתגוששות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לא הובאה כל ראיה שהדבר נעשה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ידו למטרת תקיפה שתוכננה מלכתחילה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לפיכך נסיבה מחמירה זו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מתקיימת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אשר 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תחולת הנסיבה המחמירה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המעשה בוצע תוך יצירת סכנה ממשית לחייו של אדם אחר נוסף על הקורבן</w:t>
      </w:r>
      <w:r>
        <w:rPr>
          <w:rFonts w:cs="Times New Roman" w:ascii="Times New Roman" w:hAnsi="Times New Roman"/>
          <w:spacing w:val="0"/>
          <w:szCs w:val="26"/>
          <w:rtl w:val="true"/>
        </w:rPr>
        <w:t>".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אימתי וכיצד רצח של אדם אחד יהווה סכנה ממשית לחייו של אדם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המצדיק החמרה בעונשו של הרוצח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? </w:t>
      </w:r>
      <w:r>
        <w:rPr>
          <w:rFonts w:ascii="Times New Roman" w:hAnsi="Times New Roman" w:cs="Times New Roman"/>
          <w:spacing w:val="0"/>
          <w:szCs w:val="26"/>
          <w:rtl w:val="true"/>
        </w:rPr>
        <w:t>בשלב זה ניתן למנות רשימה בלתי ממצה של נסיבות עזר לצורך בחינת התגבשות הנסיבה המחמירה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סוג האמצעי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אופן השימוש באמצעי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אופי זירת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מספר האנשים ומידת הצפיפות מסביב לנרצח והנזק שנגרם בפועל לאחרים בזירה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במקרה זה הרצח לא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נכנס בשערי נסיבה מחמירה </w:t>
      </w:r>
      <w:r>
        <w:rPr>
          <w:rFonts w:ascii="Times New Roman" w:hAnsi="Times New Roman" w:cs="Times New Roman"/>
          <w:spacing w:val="0"/>
          <w:szCs w:val="26"/>
          <w:rtl w:val="true"/>
        </w:rPr>
        <w:t>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השתמש באקדח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הירי בוצע מטווח קצר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באופן ממוקד ותכליתי והמערער חדל לירות לעבר המנוח </w:t>
      </w:r>
      <w:r>
        <w:rPr>
          <w:rFonts w:ascii="Times New Roman" w:hAnsi="Times New Roman" w:cs="Times New Roman"/>
          <w:spacing w:val="0"/>
          <w:szCs w:val="26"/>
          <w:rtl w:val="true"/>
        </w:rPr>
        <w:t>כ</w:t>
      </w:r>
      <w:r>
        <w:rPr>
          <w:rFonts w:ascii="Times New Roman" w:hAnsi="Times New Roman" w:cs="Times New Roman"/>
          <w:spacing w:val="0"/>
          <w:szCs w:val="26"/>
          <w:rtl w:val="true"/>
        </w:rPr>
        <w:t>שנפל ארצה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אמנם חלק מהנוכחים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פחדו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מירי המערער לעבר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אולם פחד אינו בגדר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סכנה ממשית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לחייהם ובסופו של דבר לא נגרם נזק בפועל לאיש מהנוכחים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הירי אמנם בוצע ברחובה של עיר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סוג האמצעי ואופן השימוש 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הוכח כי נגרמה סכנה ממשית לחיי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מלבד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בהעדר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כל נסיבה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צורך בבחינה האם מעשי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נכנסים בשערי סעיף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פתח המילוט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אם לאו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הרשעת המערער בעבירת הרצח בכוונה תחילה לפי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הדין עובר לרפורמה בעבירות ההמתה </w:t>
      </w:r>
      <w:r>
        <w:rPr>
          <w:rFonts w:ascii="Times New Roman" w:hAnsi="Times New Roman" w:cs="Times New Roman"/>
          <w:spacing w:val="0"/>
          <w:szCs w:val="26"/>
          <w:rtl w:val="true"/>
        </w:rPr>
        <w:t>בדין יסודה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כך גם הרשעתו בעבירת הניסיון לרצח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מאחר שלא התקיימה כל נסיבה מחמירה ברצח המנוח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מאסר העולם בגינו הוא עונש מרבי ולא עונש חובה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הרפורמה בעבירות ההמתה מהווה דין מקל ע</w:t>
      </w:r>
      <w:r>
        <w:rPr>
          <w:rFonts w:ascii="Times New Roman" w:hAnsi="Times New Roman" w:cs="Times New Roman"/>
          <w:spacing w:val="0"/>
          <w:szCs w:val="26"/>
          <w:rtl w:val="true"/>
        </w:rPr>
        <w:t>ם המערער ולכן 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יורשע בעבירה 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עבירת הרצח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הבסיסית</w:t>
      </w:r>
      <w:r>
        <w:rPr>
          <w:rFonts w:cs="Times New Roman" w:ascii="Times New Roman" w:hAnsi="Times New Roman"/>
          <w:spacing w:val="0"/>
          <w:szCs w:val="26"/>
          <w:rtl w:val="true"/>
        </w:rPr>
        <w:t>",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המחוזי </w:t>
      </w:r>
      <w:r>
        <w:rPr>
          <w:rFonts w:ascii="Times New Roman" w:hAnsi="Times New Roman" w:cs="Times New Roman"/>
          <w:spacing w:val="0"/>
          <w:szCs w:val="26"/>
          <w:rtl w:val="true"/>
        </w:rPr>
        <w:t>יגזור את דינו מחדש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Times New Roman" w:hAnsi="Times New Roman" w:cs="Times New Roman"/>
          <w:spacing w:val="0"/>
          <w:sz w:val="8"/>
          <w:szCs w:val="12"/>
        </w:rPr>
      </w:pPr>
      <w:r>
        <w:rPr>
          <w:rFonts w:cs="Times New Roman"/>
          <w:spacing w:val="0"/>
          <w:sz w:val="8"/>
          <w:szCs w:val="12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  <w:bookmarkStart w:id="18" w:name="Start_Write"/>
      <w:bookmarkStart w:id="19" w:name="Writer_Name"/>
      <w:bookmarkStart w:id="20" w:name="Start_Write"/>
      <w:bookmarkStart w:id="21" w:name="Writer_Name"/>
      <w:bookmarkEnd w:id="20"/>
      <w:bookmarkEnd w:id="21"/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אלרון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רפעת עודה</w:t>
      </w:r>
      <w:r>
        <w:rPr>
          <w:rtl w:val="true"/>
        </w:rPr>
        <w:t xml:space="preserve">, </w:t>
      </w:r>
      <w:r>
        <w:rPr>
          <w:rtl w:val="true"/>
        </w:rPr>
        <w:t>הורשע בעבירת רצח בכוונה תחילה של חליל מחרום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tl w:val="true"/>
        </w:rPr>
        <w:t xml:space="preserve">), </w:t>
      </w:r>
      <w:r>
        <w:rPr>
          <w:rtl w:val="true"/>
        </w:rPr>
        <w:t xml:space="preserve">ניסיון לרצח של ראזי מחרום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ראזי</w:t>
      </w:r>
      <w:r>
        <w:rPr>
          <w:rtl w:val="true"/>
        </w:rPr>
        <w:t xml:space="preserve">) </w:t>
      </w:r>
      <w:r>
        <w:rPr>
          <w:rtl w:val="true"/>
        </w:rPr>
        <w:t>ובעבירות נשק נוספות</w:t>
      </w:r>
      <w:r>
        <w:rPr>
          <w:rtl w:val="true"/>
        </w:rPr>
        <w:t xml:space="preserve">. </w:t>
      </w:r>
      <w:r>
        <w:rPr>
          <w:rtl w:val="true"/>
        </w:rPr>
        <w:t>בגין הרשעתו</w:t>
      </w:r>
      <w:r>
        <w:rPr>
          <w:rtl w:val="true"/>
        </w:rPr>
        <w:t xml:space="preserve">, </w:t>
      </w:r>
      <w:r>
        <w:rPr>
          <w:rtl w:val="true"/>
        </w:rPr>
        <w:t xml:space="preserve">נגזר עליו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ושבע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לצד ענישה נלווית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 שלפנינו מופנה כלפי הכרעת דינו וגזר דינו של בית המשפט המחוזי בחיפה ב</w:t>
      </w:r>
      <w:r>
        <w:rPr>
          <w:rtl w:val="true"/>
        </w:rPr>
        <w:t>-</w:t>
      </w:r>
      <w:hyperlink r:id="rId21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43709-11-14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 xml:space="preserve">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שפירא</w:t>
      </w:r>
      <w:r>
        <w:rPr>
          <w:rtl w:val="true"/>
        </w:rPr>
        <w:t xml:space="preserve">, </w:t>
      </w:r>
      <w:r>
        <w:rPr>
          <w:rtl w:val="true"/>
        </w:rPr>
        <w:t xml:space="preserve">סגן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אליקים</w:t>
      </w:r>
      <w:r>
        <w:rPr>
          <w:rtl w:val="true"/>
        </w:rPr>
        <w:t xml:space="preserve"> והשופטת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</w:t>
      </w:r>
      <w:r>
        <w:rPr>
          <w:rtl w:val="true"/>
        </w:rPr>
        <w:t xml:space="preserve">) </w:t>
      </w:r>
      <w:r>
        <w:rPr>
          <w:rtl w:val="true"/>
        </w:rPr>
        <w:t xml:space="preserve">מיום </w:t>
      </w:r>
      <w:r>
        <w:rPr/>
        <w:t>30.5.2018</w:t>
      </w:r>
      <w:r>
        <w:rPr>
          <w:rtl w:val="true"/>
        </w:rPr>
        <w:t xml:space="preserve"> </w:t>
      </w:r>
      <w:r>
        <w:rPr>
          <w:rtl w:val="true"/>
        </w:rPr>
        <w:t xml:space="preserve">ומיום </w:t>
      </w:r>
      <w:r>
        <w:rPr/>
        <w:t>20.5.2019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21.10.2014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19:30</w:t>
      </w:r>
      <w:r>
        <w:rPr>
          <w:rtl w:val="true"/>
        </w:rPr>
        <w:t xml:space="preserve">, </w:t>
      </w:r>
      <w:r>
        <w:rPr>
          <w:rtl w:val="true"/>
        </w:rPr>
        <w:t xml:space="preserve">ראזי ופאדי כארם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פאדי</w:t>
      </w:r>
      <w:r>
        <w:rPr>
          <w:rtl w:val="true"/>
        </w:rPr>
        <w:t xml:space="preserve">) </w:t>
      </w:r>
      <w:r>
        <w:rPr>
          <w:rtl w:val="true"/>
        </w:rPr>
        <w:t xml:space="preserve">עבדו במכולת בחיפה הנמצאת ברחוב המגינים </w:t>
      </w:r>
      <w:r>
        <w:rPr/>
        <w:t>29</w:t>
      </w:r>
      <w:r>
        <w:rPr>
          <w:rtl w:val="true"/>
        </w:rPr>
        <w:t xml:space="preserve">. </w:t>
      </w:r>
      <w:r>
        <w:rPr>
          <w:rtl w:val="true"/>
        </w:rPr>
        <w:t>למכולת הגיעו באותה העת ר</w:t>
      </w:r>
      <w:r>
        <w:rPr>
          <w:rtl w:val="true"/>
        </w:rPr>
        <w:t>.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נכדו של המערער</w:t>
      </w:r>
      <w:r>
        <w:rPr>
          <w:rtl w:val="true"/>
        </w:rPr>
        <w:t xml:space="preserve">, </w:t>
      </w:r>
      <w:r>
        <w:rPr>
          <w:rtl w:val="true"/>
        </w:rPr>
        <w:t>ושני חבריו אשר הקניטו את ראזי ופאדי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אלו האחרונים הפילו את ר</w:t>
      </w:r>
      <w:r>
        <w:rPr>
          <w:rtl w:val="true"/>
        </w:rPr>
        <w:t>.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ואת שני חבריו על רצפת המכולת ובעטו בהם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רקע האירוע המתואר לעיל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20:10</w:t>
      </w:r>
      <w:r>
        <w:rPr>
          <w:rtl w:val="true"/>
        </w:rPr>
        <w:t xml:space="preserve">, </w:t>
      </w:r>
      <w:r>
        <w:rPr>
          <w:rtl w:val="true"/>
        </w:rPr>
        <w:t xml:space="preserve">הגיע למכולת יוסף עודה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יוסף</w:t>
      </w:r>
      <w:r>
        <w:rPr>
          <w:rtl w:val="true"/>
        </w:rPr>
        <w:t xml:space="preserve">) </w:t>
      </w:r>
      <w:r>
        <w:rPr>
          <w:rtl w:val="true"/>
        </w:rPr>
        <w:t xml:space="preserve">ותקף את ראזי באמצעות </w:t>
      </w:r>
      <w:r>
        <w:rPr>
          <w:rtl w:val="true"/>
        </w:rPr>
        <w:t>אֵת</w:t>
      </w:r>
      <w:r>
        <w:rPr>
          <w:rtl w:val="true"/>
        </w:rPr>
        <w:t xml:space="preserve"> חפירה</w:t>
      </w:r>
      <w:r>
        <w:rPr>
          <w:rtl w:val="true"/>
        </w:rPr>
        <w:t xml:space="preserve">. </w:t>
      </w:r>
      <w:r>
        <w:rPr>
          <w:rtl w:val="true"/>
        </w:rPr>
        <w:t>נוכחים שהיו במכולת הפרידו בין ראזי ליוסף</w:t>
      </w:r>
      <w:r>
        <w:rPr>
          <w:rtl w:val="true"/>
        </w:rPr>
        <w:t xml:space="preserve">, </w:t>
      </w:r>
      <w:r>
        <w:rPr>
          <w:rtl w:val="true"/>
        </w:rPr>
        <w:t>וזה האחרון עזב את המכולת</w:t>
      </w:r>
      <w:r>
        <w:rPr>
          <w:rtl w:val="true"/>
        </w:rPr>
        <w:t xml:space="preserve">. </w:t>
      </w:r>
      <w:r>
        <w:rPr>
          <w:rtl w:val="true"/>
        </w:rPr>
        <w:t>ראזי סיפר לאביו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את אשר אירע</w:t>
      </w:r>
      <w:r>
        <w:rPr>
          <w:rtl w:val="true"/>
        </w:rPr>
        <w:t xml:space="preserve">, </w:t>
      </w:r>
      <w:r>
        <w:rPr>
          <w:rtl w:val="true"/>
        </w:rPr>
        <w:t>ובעקבות זאת המנוח הגיע למכולת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בשעה </w:t>
      </w:r>
      <w:r>
        <w:rPr/>
        <w:t>21:10</w:t>
      </w:r>
      <w:r>
        <w:rPr>
          <w:rtl w:val="true"/>
        </w:rPr>
        <w:t xml:space="preserve">,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יוסף שב למכולת כשהוא נושא על גופו אקדח דמה מוסתר</w:t>
      </w:r>
      <w:r>
        <w:rPr>
          <w:rtl w:val="true"/>
        </w:rPr>
        <w:t xml:space="preserve">. </w:t>
      </w:r>
      <w:r>
        <w:rPr>
          <w:rtl w:val="true"/>
        </w:rPr>
        <w:t>במקום התפתח ויכוח שהסלים לתגרה בה לקחו חלק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ראזי ויוסף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סמוך לשעה </w:t>
      </w:r>
      <w:r>
        <w:rPr/>
        <w:t>21:24</w:t>
      </w:r>
      <w:r>
        <w:rPr>
          <w:rtl w:val="true"/>
        </w:rPr>
        <w:t xml:space="preserve">, </w:t>
      </w:r>
      <w:r>
        <w:rPr>
          <w:rtl w:val="true"/>
        </w:rPr>
        <w:t xml:space="preserve">הגיע המערער </w:t>
      </w:r>
      <w:r>
        <w:rPr>
          <w:rtl w:val="true"/>
        </w:rPr>
        <w:t>(</w:t>
      </w:r>
      <w:r>
        <w:rPr>
          <w:rtl w:val="true"/>
        </w:rPr>
        <w:t>אביו של יוסף</w:t>
      </w:r>
      <w:r>
        <w:rPr>
          <w:rtl w:val="true"/>
        </w:rPr>
        <w:t xml:space="preserve">) </w:t>
      </w:r>
      <w:r>
        <w:rPr>
          <w:rtl w:val="true"/>
        </w:rPr>
        <w:t xml:space="preserve">למכולת כשהוא מצויד באקדח בקוטר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והחל להתעמת עם המנוח</w:t>
      </w:r>
      <w:r>
        <w:rPr>
          <w:rtl w:val="true"/>
        </w:rPr>
        <w:t xml:space="preserve">. </w:t>
      </w:r>
      <w:r>
        <w:rPr>
          <w:rtl w:val="true"/>
        </w:rPr>
        <w:t>בחלוף מספר שניות</w:t>
      </w:r>
      <w:r>
        <w:rPr>
          <w:rtl w:val="true"/>
        </w:rPr>
        <w:t xml:space="preserve">, </w:t>
      </w:r>
      <w:r>
        <w:rPr>
          <w:rtl w:val="true"/>
        </w:rPr>
        <w:t>נותק המגע בין המערער למנוח</w:t>
      </w:r>
      <w:r>
        <w:rPr>
          <w:rtl w:val="true"/>
        </w:rPr>
        <w:t xml:space="preserve">, </w:t>
      </w:r>
      <w:r>
        <w:rPr>
          <w:rtl w:val="true"/>
        </w:rPr>
        <w:t>משהאחרון סובב את גבו למערער והחל להתרחק ממנו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המערער שלף את האקדח</w:t>
      </w:r>
      <w:r>
        <w:rPr>
          <w:rtl w:val="true"/>
        </w:rPr>
        <w:t xml:space="preserve">, </w:t>
      </w:r>
      <w:r>
        <w:rPr>
          <w:rtl w:val="true"/>
        </w:rPr>
        <w:t>התקרב למנוח וירה לעבר ראשו</w:t>
      </w:r>
      <w:r>
        <w:rPr>
          <w:rtl w:val="true"/>
        </w:rPr>
        <w:t xml:space="preserve">, </w:t>
      </w:r>
      <w:r>
        <w:rPr>
          <w:rtl w:val="true"/>
        </w:rPr>
        <w:t>מטווח קצר</w:t>
      </w:r>
      <w:r>
        <w:rPr>
          <w:rtl w:val="true"/>
        </w:rPr>
        <w:t xml:space="preserve">, </w:t>
      </w:r>
      <w:r>
        <w:rPr>
          <w:rtl w:val="true"/>
        </w:rPr>
        <w:t>לפחות כדור אחד</w:t>
      </w:r>
      <w:r>
        <w:rPr>
          <w:rtl w:val="true"/>
        </w:rPr>
        <w:t xml:space="preserve">. </w:t>
      </w:r>
      <w:r>
        <w:rPr>
          <w:rtl w:val="true"/>
        </w:rPr>
        <w:t>הקליע פגע בראשו של המנוח וגרם לנזק חמור למערכת העצבים המרכזית שלו</w:t>
      </w:r>
      <w:r>
        <w:rPr>
          <w:rtl w:val="true"/>
        </w:rPr>
        <w:t xml:space="preserve">, </w:t>
      </w:r>
      <w:r>
        <w:rPr>
          <w:rtl w:val="true"/>
        </w:rPr>
        <w:t>אשר הוביל למותו</w:t>
      </w:r>
      <w:r>
        <w:rPr>
          <w:rtl w:val="true"/>
        </w:rPr>
        <w:t xml:space="preserve">. </w:t>
      </w:r>
      <w:r>
        <w:rPr>
          <w:rtl w:val="true"/>
        </w:rPr>
        <w:t>המנוח נפגע מקליע נוסף בכף ידו השמאלית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מיד לאחר הפגיעה במנוח</w:t>
      </w:r>
      <w:r>
        <w:rPr>
          <w:rtl w:val="true"/>
        </w:rPr>
        <w:t xml:space="preserve">, </w:t>
      </w:r>
      <w:r>
        <w:rPr>
          <w:rtl w:val="true"/>
        </w:rPr>
        <w:t>ראזי נמלט מהמקום והמערער החל לרדוף אחריו</w:t>
      </w:r>
      <w:r>
        <w:rPr>
          <w:rtl w:val="true"/>
        </w:rPr>
        <w:t xml:space="preserve">, </w:t>
      </w:r>
      <w:r>
        <w:rPr>
          <w:rtl w:val="true"/>
        </w:rPr>
        <w:t>בלשון כתב האישום</w:t>
      </w:r>
      <w:r>
        <w:rPr>
          <w:rtl w:val="true"/>
        </w:rPr>
        <w:t>, "</w:t>
      </w:r>
      <w:r>
        <w:rPr>
          <w:rtl w:val="true"/>
        </w:rPr>
        <w:t>באקדח שלוף תוך שהוא יורה לכוונו בכוונה לגרום למותו שלא כדין</w:t>
      </w:r>
      <w:r>
        <w:rPr>
          <w:rtl w:val="true"/>
        </w:rPr>
        <w:t>" (</w:t>
      </w:r>
      <w:r>
        <w:rPr>
          <w:rtl w:val="true"/>
        </w:rPr>
        <w:t xml:space="preserve">סעיף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לכתב האישום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בגין מעשים אלו</w:t>
      </w:r>
      <w:r>
        <w:rPr>
          <w:rtl w:val="true"/>
        </w:rPr>
        <w:t xml:space="preserve">, </w:t>
      </w:r>
      <w:r>
        <w:rPr>
          <w:rtl w:val="true"/>
        </w:rPr>
        <w:t xml:space="preserve">למערער יוחסה עבירת רצח בכוונה תחילה לפי </w:t>
      </w:r>
      <w:hyperlink r:id="rId22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בנוסחו טרם הרפורמה בעבירות המתה</w:t>
      </w:r>
      <w:r>
        <w:rPr>
          <w:rtl w:val="true"/>
        </w:rPr>
        <w:t xml:space="preserve">; </w:t>
      </w:r>
      <w:r>
        <w:rPr>
          <w:rtl w:val="true"/>
        </w:rPr>
        <w:t xml:space="preserve">ניסיון לרצח לפי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ועבירות בנשק לפי </w:t>
      </w:r>
      <w:hyperlink r:id="rId26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)-(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לפני בית המשפט המחוזי נפרסה תשתית ראייתית מקיפה</w:t>
      </w:r>
      <w:r>
        <w:rPr>
          <w:rtl w:val="true"/>
        </w:rPr>
        <w:t xml:space="preserve">. </w:t>
      </w:r>
      <w:r>
        <w:rPr>
          <w:rtl w:val="true"/>
        </w:rPr>
        <w:t>בכלל זאת</w:t>
      </w:r>
      <w:r>
        <w:rPr>
          <w:rtl w:val="true"/>
        </w:rPr>
        <w:t xml:space="preserve">, </w:t>
      </w:r>
      <w:r>
        <w:rPr>
          <w:rtl w:val="true"/>
        </w:rPr>
        <w:t>הוצג תיעוד מצלמות מתוך המכולת ומחוצה לה ונשמעו עדויות קרובי משפחת המנוח</w:t>
      </w:r>
      <w:r>
        <w:rPr>
          <w:rtl w:val="true"/>
        </w:rPr>
        <w:t xml:space="preserve">, </w:t>
      </w:r>
      <w:r>
        <w:rPr>
          <w:rtl w:val="true"/>
        </w:rPr>
        <w:t>קרובי משפחת המערער ועובדים או בעלי עסקים בקרבת מקום אשר היו בזירה ובסמוך לה</w:t>
      </w:r>
      <w:r>
        <w:rPr>
          <w:rtl w:val="true"/>
        </w:rPr>
        <w:t xml:space="preserve">. </w:t>
      </w:r>
      <w:r>
        <w:rPr>
          <w:rtl w:val="true"/>
        </w:rPr>
        <w:t xml:space="preserve">עוד הוצגו חוות דעת מומחי המאשימה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115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115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 xml:space="preserve">וההגנה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19</w:t>
      </w:r>
      <w:r>
        <w:rPr>
          <w:rtl w:val="true"/>
        </w:rPr>
        <w:t xml:space="preserve">) </w:t>
      </w:r>
      <w:r>
        <w:rPr>
          <w:rtl w:val="true"/>
        </w:rPr>
        <w:t>בהתייחס למצבו הנפשי של המערער</w:t>
      </w:r>
      <w:r>
        <w:rPr>
          <w:rtl w:val="true"/>
        </w:rPr>
        <w:t xml:space="preserve">; </w:t>
      </w:r>
      <w:r>
        <w:rPr>
          <w:rtl w:val="true"/>
        </w:rPr>
        <w:t xml:space="preserve">חוות דעת מומחית באשר לטווח הירי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63</w:t>
      </w:r>
      <w:r>
        <w:rPr>
          <w:rtl w:val="true"/>
        </w:rPr>
        <w:t xml:space="preserve">); </w:t>
      </w:r>
      <w:r>
        <w:rPr>
          <w:rtl w:val="true"/>
        </w:rPr>
        <w:t>ומסמכים המתעדים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את האירועים שקדמו לאירוע הירי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הרמזורים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ומהמכולת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22</w:t>
      </w:r>
      <w:r>
        <w:rPr>
          <w:rtl w:val="true"/>
        </w:rPr>
        <w:t>ג</w:t>
      </w:r>
      <w:r>
        <w:rPr>
          <w:rtl w:val="true"/>
        </w:rPr>
        <w:t xml:space="preserve">). </w:t>
      </w:r>
      <w:r>
        <w:rPr>
          <w:rtl w:val="true"/>
        </w:rPr>
        <w:t>במצלמת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בקרת הרמזורים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התגודדות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למכולת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tl w:val="true"/>
        </w:rPr>
        <w:t xml:space="preserve">, </w:t>
      </w:r>
      <w:r>
        <w:rPr>
          <w:rtl w:val="true"/>
        </w:rPr>
        <w:t>מצלמת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ראזי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במצלמת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הרמזורים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התמוטט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ראזי</w:t>
      </w:r>
      <w:r>
        <w:rPr>
          <w:rtl w:val="true"/>
        </w:rPr>
        <w:t xml:space="preserve">. </w:t>
      </w:r>
      <w:r>
        <w:rPr>
          <w:rtl w:val="true"/>
        </w:rPr>
        <w:t>מצלמת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כשבעקבותיו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אל מול תיעוד זה</w:t>
      </w:r>
      <w:r>
        <w:rPr>
          <w:rtl w:val="true"/>
        </w:rPr>
        <w:t xml:space="preserve">, </w:t>
      </w:r>
      <w:r>
        <w:rPr>
          <w:rtl w:val="true"/>
        </w:rPr>
        <w:t>המערער מסר גרסה אחת בחקירותיו במשטרה</w:t>
      </w:r>
      <w:r>
        <w:rPr>
          <w:rtl w:val="true"/>
        </w:rPr>
        <w:t xml:space="preserve">, </w:t>
      </w:r>
      <w:r>
        <w:rPr>
          <w:rtl w:val="true"/>
        </w:rPr>
        <w:t>אחז בגרסה אחרת בבית המשפט המחוזי וחתם בגרסה שונה בסיכומיו</w:t>
      </w:r>
      <w:r>
        <w:rPr>
          <w:rtl w:val="true"/>
        </w:rPr>
        <w:t xml:space="preserve">. </w:t>
      </w:r>
      <w:r>
        <w:rPr>
          <w:rtl w:val="true"/>
        </w:rPr>
        <w:t>בתמצית יצוין</w:t>
      </w:r>
      <w:r>
        <w:rPr>
          <w:rtl w:val="true"/>
        </w:rPr>
        <w:t xml:space="preserve">, </w:t>
      </w:r>
      <w:r>
        <w:rPr>
          <w:rtl w:val="true"/>
        </w:rPr>
        <w:t>כי בחקירותיו הראשונות במשטרה המערער סיפר כי ירד לאכול פול במסעדת פרג</w:t>
      </w:r>
      <w:r>
        <w:rPr>
          <w:rtl w:val="true"/>
        </w:rPr>
        <w:t xml:space="preserve">' </w:t>
      </w:r>
      <w:r>
        <w:rPr>
          <w:rtl w:val="true"/>
        </w:rPr>
        <w:t>ושם הבחין ב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תופסים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יוסף</w:t>
      </w:r>
      <w:r>
        <w:rPr>
          <w:rtl w:val="true"/>
        </w:rPr>
        <w:t xml:space="preserve">" </w:t>
      </w:r>
      <w:r>
        <w:rPr>
          <w:rtl w:val="true"/>
        </w:rPr>
        <w:t xml:space="preserve">כאשר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וכולו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מעוות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63</w:t>
      </w:r>
      <w:r>
        <w:rPr>
          <w:rtl w:val="true"/>
        </w:rPr>
        <w:t xml:space="preserve">). </w:t>
      </w:r>
      <w:r>
        <w:rPr>
          <w:rtl w:val="true"/>
        </w:rPr>
        <w:t>לגרסתו באותה העת</w:t>
      </w:r>
      <w:r>
        <w:rPr>
          <w:rtl w:val="true"/>
        </w:rPr>
        <w:t xml:space="preserve">, </w:t>
      </w:r>
      <w:r>
        <w:rPr>
          <w:rtl w:val="true"/>
        </w:rPr>
        <w:t xml:space="preserve">מרגע זה ואילך </w:t>
      </w:r>
      <w:r>
        <w:rPr>
          <w:rtl w:val="true"/>
        </w:rPr>
        <w:t>–</w:t>
      </w:r>
      <w:r>
        <w:rPr>
          <w:rtl w:val="true"/>
        </w:rPr>
        <w:t xml:space="preserve"> פרח זכרונו</w:t>
      </w:r>
      <w:r>
        <w:rPr>
          <w:rtl w:val="true"/>
        </w:rPr>
        <w:t xml:space="preserve">. </w:t>
      </w:r>
      <w:r>
        <w:rPr>
          <w:rtl w:val="true"/>
        </w:rPr>
        <w:t>בד בבד</w:t>
      </w:r>
      <w:r>
        <w:rPr>
          <w:rtl w:val="true"/>
        </w:rPr>
        <w:t xml:space="preserve">, </w:t>
      </w:r>
      <w:r>
        <w:rPr>
          <w:rtl w:val="true"/>
        </w:rPr>
        <w:t xml:space="preserve">הוסיף ותיאר כי רץ דרך הסמטאות כשהאקדח בידו ואז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הרגשתי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מאחורה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חשמל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64</w:t>
      </w:r>
      <w:r>
        <w:rPr>
          <w:rtl w:val="true"/>
        </w:rPr>
        <w:t xml:space="preserve">) </w:t>
      </w:r>
      <w:r>
        <w:rPr>
          <w:rtl w:val="true"/>
        </w:rPr>
        <w:t>אשר בעקבותיה איבד את ההכרה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כשהתעורר בסמטה האקדח נעלם</w:t>
      </w:r>
      <w:r>
        <w:rPr>
          <w:rtl w:val="true"/>
        </w:rPr>
        <w:t xml:space="preserve">. </w:t>
      </w:r>
      <w:r>
        <w:rPr>
          <w:rtl w:val="true"/>
        </w:rPr>
        <w:t xml:space="preserve">בהתייחס למרדפו אחרי ראזי סיפר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להפחדה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ברחתי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94-91</w:t>
      </w:r>
      <w:r>
        <w:rPr>
          <w:rtl w:val="true"/>
        </w:rPr>
        <w:t xml:space="preserve">). </w:t>
      </w:r>
      <w:r>
        <w:rPr>
          <w:rtl w:val="true"/>
        </w:rPr>
        <w:t>עוד המערער מסר כי לאחר זאת רץ לביתו</w:t>
      </w:r>
      <w:r>
        <w:rPr>
          <w:rtl w:val="true"/>
        </w:rPr>
        <w:t xml:space="preserve">, </w:t>
      </w:r>
      <w:r>
        <w:rPr>
          <w:rtl w:val="true"/>
        </w:rPr>
        <w:t>לקח את מפתחות רכבו</w:t>
      </w:r>
      <w:r>
        <w:rPr>
          <w:rtl w:val="true"/>
        </w:rPr>
        <w:t xml:space="preserve">, </w:t>
      </w:r>
      <w:r>
        <w:rPr>
          <w:rtl w:val="true"/>
        </w:rPr>
        <w:t xml:space="preserve">ונסע לכפר </w:t>
      </w:r>
      <w:r>
        <w:rPr>
          <w:rtl w:val="true"/>
        </w:rPr>
        <w:t>"</w:t>
      </w:r>
      <w:r>
        <w:rPr>
          <w:rtl w:val="true"/>
        </w:rPr>
        <w:t>תלת</w:t>
      </w:r>
      <w:r>
        <w:rPr>
          <w:rtl w:val="true"/>
        </w:rPr>
        <w:t xml:space="preserve">" </w:t>
      </w:r>
      <w:r>
        <w:rPr>
          <w:rtl w:val="true"/>
        </w:rPr>
        <w:t>שבשומרון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בבית המשפט המחוזי</w:t>
      </w:r>
      <w:r>
        <w:rPr>
          <w:rtl w:val="true"/>
        </w:rPr>
        <w:t xml:space="preserve">, </w:t>
      </w:r>
      <w:r>
        <w:rPr>
          <w:rtl w:val="true"/>
        </w:rPr>
        <w:t>המערער כפר תחילה במיוחס לו ב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בהמשך ההליך הודה באופן כללי כי נכח בזירת האירוע</w:t>
      </w:r>
      <w:r>
        <w:rPr>
          <w:rtl w:val="true"/>
        </w:rPr>
        <w:t xml:space="preserve">, </w:t>
      </w:r>
      <w:r>
        <w:rPr>
          <w:rtl w:val="true"/>
        </w:rPr>
        <w:t>ובשלב מאוחר יותר</w:t>
      </w:r>
      <w:r>
        <w:rPr>
          <w:rtl w:val="true"/>
        </w:rPr>
        <w:t xml:space="preserve">, </w:t>
      </w:r>
      <w:r>
        <w:rPr>
          <w:rtl w:val="true"/>
        </w:rPr>
        <w:t>לאחר שנשמעו מרבית עדי המשיבה</w:t>
      </w:r>
      <w:r>
        <w:rPr>
          <w:rtl w:val="true"/>
        </w:rPr>
        <w:t xml:space="preserve">, </w:t>
      </w:r>
      <w:r>
        <w:rPr>
          <w:rtl w:val="true"/>
        </w:rPr>
        <w:t xml:space="preserve">הבהיר סנגורו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הזכרון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שאירע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מכוסה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והלאה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הייחודי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בזכרונו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שהסתיים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התעורר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בסמטה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כלשהי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מושג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לשם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מיום </w:t>
      </w:r>
      <w:r>
        <w:rPr/>
        <w:t>12.12.2016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259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הסיכומים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כשאקדחו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שלוף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בסיכומים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ומשנחשף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דיסוציאטיבי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בסיס כלל הראיות שהונחו לפני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נקבע שבמהלך הערב </w:t>
      </w:r>
      <w:r>
        <w:rPr>
          <w:rtl w:val="true"/>
        </w:rPr>
        <w:t>יוסף</w:t>
      </w:r>
      <w:r>
        <w:rPr>
          <w:rtl w:val="true"/>
        </w:rPr>
        <w:t xml:space="preserve"> </w:t>
      </w:r>
      <w:r>
        <w:rPr>
          <w:rtl w:val="true"/>
        </w:rPr>
        <w:t xml:space="preserve">הגיע </w:t>
      </w:r>
      <w:r>
        <w:rPr>
          <w:rtl w:val="true"/>
        </w:rPr>
        <w:t>למכולת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 </w:t>
      </w:r>
      <w:r>
        <w:rPr>
          <w:rtl w:val="true"/>
        </w:rPr>
        <w:t>דמה</w:t>
      </w:r>
      <w:r>
        <w:rPr>
          <w:rtl w:val="true"/>
        </w:rPr>
        <w:t xml:space="preserve"> </w:t>
      </w:r>
      <w:r>
        <w:rPr>
          <w:rtl w:val="true"/>
        </w:rPr>
        <w:t>מוסתר</w:t>
      </w:r>
      <w:r>
        <w:rPr>
          <w:rtl w:val="true"/>
        </w:rPr>
        <w:t xml:space="preserve"> </w:t>
      </w:r>
      <w:r>
        <w:rPr>
          <w:rtl w:val="true"/>
        </w:rPr>
        <w:t>מתחת</w:t>
      </w:r>
      <w:r>
        <w:rPr>
          <w:rtl w:val="true"/>
        </w:rPr>
        <w:t xml:space="preserve"> </w:t>
      </w:r>
      <w:r>
        <w:rPr>
          <w:rtl w:val="true"/>
        </w:rPr>
        <w:t>לחולצתו</w:t>
      </w:r>
      <w:r>
        <w:rPr>
          <w:rtl w:val="true"/>
        </w:rPr>
        <w:t xml:space="preserve">. </w:t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 xml:space="preserve">המנוח וראזי היכו את יוסף </w:t>
      </w:r>
      <w:r>
        <w:rPr>
          <w:rtl w:val="true"/>
        </w:rPr>
        <w:t>בסמוך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מכולת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מש</w:t>
      </w:r>
      <w:r>
        <w:rPr>
          <w:rtl w:val="true"/>
        </w:rPr>
        <w:t xml:space="preserve">סברו כי הוא </w:t>
      </w:r>
      <w:r>
        <w:rPr>
          <w:rtl w:val="true"/>
        </w:rPr>
        <w:t>נושא</w:t>
      </w:r>
      <w:r>
        <w:rPr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 </w:t>
      </w:r>
      <w:r>
        <w:rPr>
          <w:rtl w:val="true"/>
        </w:rPr>
        <w:t>אמיתי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tl w:val="true"/>
        </w:rPr>
        <w:t xml:space="preserve"> </w:t>
      </w:r>
      <w:r>
        <w:rPr>
          <w:rtl w:val="true"/>
        </w:rPr>
        <w:t>מתקיפה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יוסף</w:t>
      </w:r>
      <w:r>
        <w:rPr>
          <w:rtl w:val="true"/>
        </w:rPr>
        <w:t xml:space="preserve"> </w:t>
      </w:r>
      <w:r>
        <w:rPr>
          <w:rtl w:val="true"/>
        </w:rPr>
        <w:t>דימם</w:t>
      </w:r>
      <w:r>
        <w:rPr>
          <w:rtl w:val="true"/>
        </w:rPr>
        <w:t xml:space="preserve"> </w:t>
      </w:r>
      <w:r>
        <w:rPr>
          <w:rtl w:val="true"/>
        </w:rPr>
        <w:t>מפיו</w:t>
      </w:r>
      <w:r>
        <w:rPr>
          <w:rtl w:val="true"/>
        </w:rPr>
        <w:t xml:space="preserve">. </w:t>
      </w:r>
      <w:r>
        <w:rPr>
          <w:rtl w:val="true"/>
        </w:rPr>
        <w:t>דקות ספורות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21:23:45</w:t>
      </w:r>
      <w:r>
        <w:rPr>
          <w:rtl w:val="true"/>
        </w:rPr>
        <w:t xml:space="preserve"> </w:t>
      </w:r>
      <w:r>
        <w:rPr>
          <w:rtl w:val="true"/>
        </w:rPr>
        <w:t>הגיעו אל המכולת המערער בעודו נושא אקדח טעון בכדורים</w:t>
      </w:r>
      <w:r>
        <w:rPr>
          <w:rtl w:val="true"/>
        </w:rPr>
        <w:t xml:space="preserve">; </w:t>
      </w:r>
      <w:r>
        <w:rPr>
          <w:rtl w:val="true"/>
        </w:rPr>
        <w:t>ובנו מוחמד</w:t>
      </w:r>
      <w:r>
        <w:rPr>
          <w:rtl w:val="true"/>
        </w:rPr>
        <w:t xml:space="preserve">, </w:t>
      </w:r>
      <w:r>
        <w:rPr>
          <w:rtl w:val="true"/>
        </w:rPr>
        <w:t>אחיו של יוסף</w:t>
      </w:r>
      <w:r>
        <w:rPr>
          <w:rtl w:val="true"/>
        </w:rPr>
        <w:t xml:space="preserve">, </w:t>
      </w:r>
      <w:r>
        <w:rPr>
          <w:rtl w:val="true"/>
        </w:rPr>
        <w:t>רכוב על אופנוע ובידו קסדה לבנה</w:t>
      </w:r>
      <w:r>
        <w:rPr>
          <w:rtl w:val="true"/>
        </w:rPr>
        <w:t xml:space="preserve">. </w:t>
      </w:r>
      <w:r>
        <w:rPr>
          <w:rtl w:val="true"/>
        </w:rPr>
        <w:t>המערער הפריד בין יוסף לבין המנוח ואף ניסה למנוע מיוסף לתקוף שוב את המנוח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בחלוף כ</w:t>
      </w:r>
      <w:r>
        <w:rPr>
          <w:rtl w:val="true"/>
        </w:rPr>
        <w:t>-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שניות מהגעת המערער למקום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21:24:28</w:t>
      </w:r>
      <w:r>
        <w:rPr>
          <w:rtl w:val="true"/>
        </w:rPr>
        <w:t xml:space="preserve">, </w:t>
      </w:r>
      <w:r>
        <w:rPr>
          <w:rtl w:val="true"/>
        </w:rPr>
        <w:t>המערער ירה שתי יריות לעבר המנוח ממרחק של פחות ממטר</w:t>
      </w:r>
      <w:r>
        <w:rPr>
          <w:rtl w:val="true"/>
        </w:rPr>
        <w:t xml:space="preserve">. </w:t>
      </w:r>
      <w:r>
        <w:rPr>
          <w:rtl w:val="true"/>
        </w:rPr>
        <w:t>קליע אחד פגע בכף ידו השמאלית של המנוח</w:t>
      </w:r>
      <w:r>
        <w:rPr>
          <w:rtl w:val="true"/>
        </w:rPr>
        <w:t xml:space="preserve">, </w:t>
      </w:r>
      <w:r>
        <w:rPr>
          <w:rtl w:val="true"/>
        </w:rPr>
        <w:t>וקליע שני פגע בעינו השמאלית</w:t>
      </w:r>
      <w:r>
        <w:rPr>
          <w:rtl w:val="true"/>
        </w:rPr>
        <w:t xml:space="preserve">, </w:t>
      </w:r>
      <w:r>
        <w:rPr>
          <w:rtl w:val="true"/>
        </w:rPr>
        <w:t>עבר דרך גזע המוח ונעצר בקרקפת</w:t>
      </w:r>
      <w:r>
        <w:rPr>
          <w:rtl w:val="true"/>
        </w:rPr>
        <w:t xml:space="preserve">, </w:t>
      </w:r>
      <w:r>
        <w:rPr>
          <w:rtl w:val="true"/>
        </w:rPr>
        <w:t>דבר אשר גרם למותו של המנוח בשל נזק חמור למערכת העצבים המרכזית</w:t>
      </w:r>
      <w:r>
        <w:rPr>
          <w:rtl w:val="true"/>
        </w:rPr>
        <w:t xml:space="preserve">. </w:t>
      </w:r>
      <w:r>
        <w:rPr>
          <w:rtl w:val="true"/>
        </w:rPr>
        <w:t>מיד לאחר מכן</w:t>
      </w:r>
      <w:r>
        <w:rPr>
          <w:rtl w:val="true"/>
        </w:rPr>
        <w:t xml:space="preserve">, </w:t>
      </w:r>
      <w:r>
        <w:rPr>
          <w:rtl w:val="true"/>
        </w:rPr>
        <w:t>ראזי נמלט מהמקום בעוד שהמערער רדף אחריו כשאקדחו שלוף בכיוון תנועתו של ראזי</w:t>
      </w:r>
      <w:r>
        <w:rPr>
          <w:rtl w:val="true"/>
        </w:rPr>
        <w:t xml:space="preserve">, </w:t>
      </w:r>
      <w:r>
        <w:rPr>
          <w:rtl w:val="true"/>
        </w:rPr>
        <w:t>אם כי לא הוכח שהמערער ירה במרדפו זה לכיוונו של ראזי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בסיס קביעות עובדתיות אלו</w:t>
      </w:r>
      <w:r>
        <w:rPr>
          <w:rtl w:val="true"/>
        </w:rPr>
        <w:t xml:space="preserve">, </w:t>
      </w:r>
      <w:r>
        <w:rPr>
          <w:rtl w:val="true"/>
        </w:rPr>
        <w:t xml:space="preserve">נקבע כי מתקיים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העובדתי</w:t>
      </w:r>
      <w:r>
        <w:rPr>
          <w:rtl w:val="true"/>
        </w:rPr>
        <w:t xml:space="preserve"> של עבירת הרצח בכוונה תחילה כפי שיוחסה למערער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אשר 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 xml:space="preserve">גרסת המערער כי אינו זוכר דבר למן הרגע שראה את בנו יוסף שותת דם במהלך הקטטה </w:t>
      </w:r>
      <w:r>
        <w:rPr>
          <w:rtl w:val="true"/>
        </w:rPr>
        <w:t>–</w:t>
      </w:r>
      <w:r>
        <w:rPr>
          <w:rtl w:val="true"/>
        </w:rPr>
        <w:t xml:space="preserve"> נדחתה מכל וכל</w:t>
      </w:r>
      <w:r>
        <w:rPr>
          <w:rtl w:val="true"/>
        </w:rPr>
        <w:t xml:space="preserve">, </w:t>
      </w:r>
      <w:r>
        <w:rPr>
          <w:rtl w:val="true"/>
        </w:rPr>
        <w:t>ונקבע כי המערער היה מודע היטב לכל אשר התרחש במהלך גרימת מותו של המנוח וניסיון גרימת מותו של ראזי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 זה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מפי סגן הנשיא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אליקים</w:t>
      </w:r>
      <w:r>
        <w:rPr>
          <w:rtl w:val="true"/>
        </w:rPr>
        <w:t xml:space="preserve">, </w:t>
      </w:r>
      <w:r>
        <w:rPr>
          <w:rtl w:val="true"/>
        </w:rPr>
        <w:t>אשר כתב את חוות הדעת העיקרית בתיק זה</w:t>
      </w:r>
      <w:r>
        <w:rPr>
          <w:rtl w:val="true"/>
        </w:rPr>
        <w:t xml:space="preserve">, </w:t>
      </w:r>
      <w:r>
        <w:rPr>
          <w:rtl w:val="true"/>
        </w:rPr>
        <w:t>עמד בהרחבה על חוסר ההיגיון והסתירות שבעדות המערער וגרסאותיו</w:t>
      </w:r>
      <w:r>
        <w:rPr>
          <w:rtl w:val="true"/>
        </w:rPr>
        <w:t xml:space="preserve">. </w:t>
      </w:r>
      <w:r>
        <w:rPr>
          <w:rtl w:val="true"/>
        </w:rPr>
        <w:t xml:space="preserve">צוין כי המערער שינה את גרסתו בכך שבמשטרה הסביר כי קיבל מכה מאחור ולכן איבד הכרה ואילו בבית המשפט העיד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וקיבלתי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התקף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מיום </w:t>
      </w:r>
      <w:r>
        <w:rPr/>
        <w:t>10.5.2017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351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 xml:space="preserve">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בהתייחס לבריחת המערער לאחר האירוע לכפר תלת שבשומרון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תהה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נהג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ברכב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להגיע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להפרד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מאשתו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לשומרון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כיצד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מכשיר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הטלפון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הנייד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שמאפשר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לאתרו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?</w:t>
      </w:r>
      <w:r>
        <w:rPr>
          <w:rtl w:val="true"/>
        </w:rPr>
        <w:t xml:space="preserve">" </w:t>
      </w:r>
      <w:r>
        <w:rPr>
          <w:rtl w:val="true"/>
        </w:rPr>
        <w:t xml:space="preserve">וכן כיצד זכר את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נסיעתו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לשומרון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?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 תוארו גרסאותיו השונות של המערער באשר לסיבת הגעתו למקום האירוע</w:t>
      </w:r>
      <w:r>
        <w:rPr>
          <w:rtl w:val="true"/>
        </w:rPr>
        <w:t xml:space="preserve">. </w:t>
      </w:r>
      <w:r>
        <w:rPr>
          <w:rtl w:val="true"/>
        </w:rPr>
        <w:t>בתחילה המערער טען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 היה בדרכו לאכול פול במסעדה ושם הבחין בשלושה אנשים מכים את יוסף בנו</w:t>
      </w:r>
      <w:r>
        <w:rPr>
          <w:rtl w:val="true"/>
        </w:rPr>
        <w:t xml:space="preserve">, </w:t>
      </w:r>
      <w:r>
        <w:rPr>
          <w:rtl w:val="true"/>
        </w:rPr>
        <w:t>ואילו לפרופ</w:t>
      </w:r>
      <w:r>
        <w:rPr>
          <w:rtl w:val="true"/>
        </w:rPr>
        <w:t xml:space="preserve">' </w:t>
      </w:r>
      <w:r>
        <w:rPr>
          <w:rtl w:val="true"/>
        </w:rPr>
        <w:t>טיאנו</w:t>
      </w:r>
      <w:r>
        <w:rPr>
          <w:rtl w:val="true"/>
        </w:rPr>
        <w:t xml:space="preserve">, </w:t>
      </w:r>
      <w:r>
        <w:rPr>
          <w:rtl w:val="true"/>
        </w:rPr>
        <w:t>המומחה מטעם ההגנה כאמור</w:t>
      </w:r>
      <w:r>
        <w:rPr>
          <w:rtl w:val="true"/>
        </w:rPr>
        <w:t xml:space="preserve">, </w:t>
      </w:r>
      <w:r>
        <w:rPr>
          <w:rtl w:val="true"/>
        </w:rPr>
        <w:t xml:space="preserve">מסר כי הגיע למכולת לאחר ששמע כי היכו את נכדו והוא לקח עמו את הנשק כאמצעי הרתעה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18</w:t>
      </w:r>
      <w:r>
        <w:rPr>
          <w:rtl w:val="true"/>
        </w:rPr>
        <w:t xml:space="preserve">).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בסיכומיו המערער הפנה לעדותו של מורסי חתנו</w:t>
      </w:r>
      <w:r>
        <w:rPr>
          <w:rtl w:val="true"/>
        </w:rPr>
        <w:t xml:space="preserve">, </w:t>
      </w:r>
      <w:r>
        <w:rPr>
          <w:rtl w:val="true"/>
        </w:rPr>
        <w:t xml:space="preserve">שלפיה המערער ביקש ממנו להגיע עמו למקום כדי להפריד בין הניצים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). </w:t>
      </w:r>
      <w:r>
        <w:rPr>
          <w:rtl w:val="true"/>
        </w:rPr>
        <w:t>לנוכח כל אלו</w:t>
      </w:r>
      <w:r>
        <w:rPr>
          <w:rtl w:val="true"/>
        </w:rPr>
        <w:t xml:space="preserve">, </w:t>
      </w:r>
      <w:r>
        <w:rPr>
          <w:rtl w:val="true"/>
        </w:rPr>
        <w:t>בית המשפט המחוזי תהה בהתייחס לטענת איבוד הזיכרון כביכול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זוכר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הימלטותו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דיסוציאטיבי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כדורי</w:t>
      </w:r>
      <w:r>
        <w:rPr>
          <w:rtl w:val="true"/>
        </w:rPr>
        <w:t>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שהתעורר</w:t>
      </w:r>
      <w:r>
        <w:rPr>
          <w:rtl w:val="true"/>
        </w:rPr>
        <w:t xml:space="preserve">"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נורו</w:t>
      </w:r>
      <w:r>
        <w:rPr>
          <w:rtl w:val="true"/>
        </w:rPr>
        <w:t xml:space="preserve">.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רצה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פרט לחוסר מהימנות גרסת המערער</w:t>
      </w:r>
      <w:r>
        <w:rPr>
          <w:rtl w:val="true"/>
        </w:rPr>
        <w:t xml:space="preserve">, </w:t>
      </w:r>
      <w:r>
        <w:rPr>
          <w:rtl w:val="true"/>
        </w:rPr>
        <w:t>בית המשפט המחוזי הוסיף והדגיש כי גם התנהגותו והתנהלותו בעת ביצוע המעשים מלמדת על מודעותו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tl w:val="true"/>
        </w:rPr>
        <w:t xml:space="preserve"> </w:t>
      </w:r>
      <w:r>
        <w:rPr>
          <w:rtl w:val="true"/>
        </w:rPr>
        <w:t>שירה</w:t>
      </w:r>
      <w:r>
        <w:rPr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תפעול</w:t>
      </w:r>
      <w:r>
        <w:rPr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 </w:t>
      </w:r>
      <w:r>
        <w:rPr>
          <w:rtl w:val="true"/>
        </w:rPr>
        <w:t>בצורה</w:t>
      </w:r>
      <w:r>
        <w:rPr>
          <w:rtl w:val="true"/>
        </w:rPr>
        <w:t xml:space="preserve"> </w:t>
      </w:r>
      <w:r>
        <w:rPr>
          <w:rtl w:val="true"/>
        </w:rPr>
        <w:t>מדויקת</w:t>
      </w:r>
      <w:r>
        <w:rPr>
          <w:rtl w:val="true"/>
        </w:rPr>
        <w:t xml:space="preserve">; </w:t>
      </w:r>
      <w:r>
        <w:rPr>
          <w:rtl w:val="true"/>
        </w:rPr>
        <w:t>כי הירי פגע במנוח אך לא באף אדם אחר מבין האנשים הרבים שנכחו במקום</w:t>
      </w:r>
      <w:r>
        <w:rPr>
          <w:rtl w:val="true"/>
        </w:rPr>
        <w:t xml:space="preserve">; </w:t>
      </w:r>
      <w:r>
        <w:rPr>
          <w:rtl w:val="true"/>
        </w:rPr>
        <w:t xml:space="preserve">וכי המערער רדף אחרי ראזי ועקב אחרי כיוון רדיפתו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שנוהג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המציאות</w:t>
      </w:r>
      <w:r>
        <w:rPr>
          <w:rtl w:val="true"/>
        </w:rPr>
        <w:t xml:space="preserve">".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 האמור</w:t>
      </w:r>
      <w:r>
        <w:rPr>
          <w:rtl w:val="true"/>
        </w:rPr>
        <w:t xml:space="preserve">, </w:t>
      </w:r>
      <w:r>
        <w:rPr>
          <w:rtl w:val="true"/>
        </w:rPr>
        <w:t>נקבע כי מרגע שליפת האקדח ועד הימלטות המערער מהזירה עם האקדח</w:t>
      </w:r>
      <w:r>
        <w:rPr>
          <w:rtl w:val="true"/>
        </w:rPr>
        <w:t xml:space="preserve">, </w:t>
      </w:r>
      <w:r>
        <w:rPr>
          <w:rtl w:val="true"/>
        </w:rPr>
        <w:t xml:space="preserve">הוא היה מודע היטב לאשר התרחש ואילו גרסת אובדן הזיכרון או התודעה </w:t>
      </w:r>
      <w:r>
        <w:rPr>
          <w:rtl w:val="true"/>
        </w:rPr>
        <w:t>–</w:t>
      </w:r>
      <w:r>
        <w:rPr>
          <w:rtl w:val="true"/>
        </w:rPr>
        <w:t xml:space="preserve"> אין בה ממש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לצד קביעה זו</w:t>
      </w:r>
      <w:r>
        <w:rPr>
          <w:rtl w:val="true"/>
        </w:rPr>
        <w:t xml:space="preserve">, </w:t>
      </w:r>
      <w:r>
        <w:rPr>
          <w:rtl w:val="true"/>
        </w:rPr>
        <w:t>בית המשפט המחוזי אימץ את חוות דעתה של ד</w:t>
      </w:r>
      <w:r>
        <w:rPr>
          <w:rtl w:val="true"/>
        </w:rPr>
        <w:t>"</w:t>
      </w:r>
      <w:r>
        <w:rPr>
          <w:rtl w:val="true"/>
        </w:rPr>
        <w:t xml:space="preserve">ר נעון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115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115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מטעם המשיבה אשר בחנה את מצבו הנפשי של המערער מיד לאחר מעצרו</w:t>
      </w:r>
      <w:r>
        <w:rPr>
          <w:rtl w:val="true"/>
        </w:rPr>
        <w:t xml:space="preserve">. </w:t>
      </w:r>
      <w:r>
        <w:rPr>
          <w:rtl w:val="true"/>
        </w:rPr>
        <w:t>מסקנתה של ד</w:t>
      </w:r>
      <w:r>
        <w:rPr>
          <w:rtl w:val="true"/>
        </w:rPr>
        <w:t>"</w:t>
      </w:r>
      <w:r>
        <w:rPr>
          <w:rtl w:val="true"/>
        </w:rPr>
        <w:t>ר נעון</w:t>
      </w:r>
      <w:r>
        <w:rPr>
          <w:rtl w:val="true"/>
        </w:rPr>
        <w:t xml:space="preserve">, </w:t>
      </w:r>
      <w:r>
        <w:rPr>
          <w:rtl w:val="true"/>
        </w:rPr>
        <w:t>על סמך הרקע של המערער והעובדה כי לטענתו לראשונה בחייו איבד את הזיכרון</w:t>
      </w:r>
      <w:r>
        <w:rPr>
          <w:rtl w:val="true"/>
        </w:rPr>
        <w:t xml:space="preserve">, </w:t>
      </w:r>
      <w:r>
        <w:rPr>
          <w:rtl w:val="true"/>
        </w:rPr>
        <w:t>הייתה כי המערער לא נכנס למצב של דיסוציאציה בעת ביצוע המעשים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נדחו חוות הדעת של הפסיכולוגית דנון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17</w:t>
      </w:r>
      <w:r>
        <w:rPr>
          <w:rtl w:val="true"/>
        </w:rPr>
        <w:t xml:space="preserve">) </w:t>
      </w:r>
      <w:r>
        <w:rPr>
          <w:rtl w:val="true"/>
        </w:rPr>
        <w:t>ושל פרופ</w:t>
      </w:r>
      <w:r>
        <w:rPr>
          <w:rtl w:val="true"/>
        </w:rPr>
        <w:t xml:space="preserve">' </w:t>
      </w:r>
      <w:r>
        <w:rPr>
          <w:rtl w:val="true"/>
        </w:rPr>
        <w:t xml:space="preserve">טיאנו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19</w:t>
      </w:r>
      <w:r>
        <w:rPr>
          <w:rtl w:val="true"/>
        </w:rPr>
        <w:t xml:space="preserve">) </w:t>
      </w:r>
      <w:r>
        <w:rPr>
          <w:rtl w:val="true"/>
        </w:rPr>
        <w:t>מטעם ההגנה</w:t>
      </w:r>
      <w:r>
        <w:rPr>
          <w:rtl w:val="true"/>
        </w:rPr>
        <w:t xml:space="preserve">, </w:t>
      </w:r>
      <w:r>
        <w:rPr>
          <w:rtl w:val="true"/>
        </w:rPr>
        <w:t xml:space="preserve">משנקבע כי הן מבוססות על תשתית עובדתית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ומגמתית</w:t>
      </w:r>
      <w:r>
        <w:rPr>
          <w:rtl w:val="true"/>
        </w:rPr>
        <w:t xml:space="preserve">" </w:t>
      </w:r>
      <w:r>
        <w:rPr>
          <w:rtl w:val="true"/>
        </w:rPr>
        <w:t>כלשון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וכי הן נערכו פרק זמן ניכר לאחר האירוע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 xml:space="preserve">כי המערער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קונטר</w:t>
      </w:r>
      <w:r>
        <w:rPr>
          <w:rtl w:val="true"/>
        </w:rPr>
        <w:t xml:space="preserve"> על ידי המנוח או על ידי ראזי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שבעוד שהמערער נחשף לפגיעה שנגרמה לבנו</w:t>
      </w:r>
      <w:r>
        <w:rPr>
          <w:rtl w:val="true"/>
        </w:rPr>
        <w:t xml:space="preserve">, </w:t>
      </w:r>
      <w:r>
        <w:rPr>
          <w:rtl w:val="true"/>
        </w:rPr>
        <w:t>אין די בכך כדי לבסס התגרות מצד המנוח או מצד בנו של המנוח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נקבע כי המערער פעל באופן שקול ומחושב וכי לא הייתה כל מניעה שהוא ירסן את עצמו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בהינתן האמור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קבע כי התקיימו כלל יסודות עבירת הרצח בכוונה תחילה לפי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בנוסחו הקודם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לעבירת ניסיון הרצח שיוחסה למערער כלפי ראזי</w:t>
      </w:r>
      <w:r>
        <w:rPr>
          <w:rtl w:val="true"/>
        </w:rPr>
        <w:t xml:space="preserve">, </w:t>
      </w:r>
      <w:r>
        <w:rPr>
          <w:rtl w:val="true"/>
        </w:rPr>
        <w:t>בית המשפט המחוזי הרשיע את המערער בעבירה זו</w:t>
      </w:r>
      <w:r>
        <w:rPr>
          <w:rtl w:val="true"/>
        </w:rPr>
        <w:t xml:space="preserve">, </w:t>
      </w:r>
      <w:r>
        <w:rPr>
          <w:rtl w:val="true"/>
        </w:rPr>
        <w:t>ברוב דעות</w:t>
      </w:r>
      <w:r>
        <w:rPr>
          <w:rtl w:val="true"/>
        </w:rPr>
        <w:t xml:space="preserve">. </w:t>
      </w:r>
      <w:r>
        <w:rPr>
          <w:rtl w:val="true"/>
        </w:rPr>
        <w:t>נקבע כי מתיעוד המצלמות וכן מעדויות העדים אשר נכחו במקום</w:t>
      </w:r>
      <w:r>
        <w:rPr>
          <w:rtl w:val="true"/>
        </w:rPr>
        <w:t xml:space="preserve">, </w:t>
      </w:r>
      <w:r>
        <w:rPr>
          <w:rtl w:val="true"/>
        </w:rPr>
        <w:t>התגבש היסוד העובדתי הדרוש לעבירת הניסיון לרצח ראזי</w:t>
      </w:r>
      <w:r>
        <w:rPr>
          <w:rtl w:val="true"/>
        </w:rPr>
        <w:t xml:space="preserve">. </w:t>
      </w:r>
      <w:r>
        <w:rPr>
          <w:rtl w:val="true"/>
        </w:rPr>
        <w:t xml:space="preserve">הודגש כי מאחר שהמערער רדף אחרי ראזי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אקדח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בידו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מעשיו יצאו מגדר מעשי הכנה ונכנסו לתחומי עבירת הניסיון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בהתייחס ליסוד הנפשי של המערער נקבע כי </w:t>
      </w:r>
      <w:r>
        <w:rPr>
          <w:rtl w:val="true"/>
        </w:rPr>
        <w:t>"</w:t>
      </w:r>
      <w:r>
        <w:rPr>
          <w:rtl w:val="true"/>
        </w:rPr>
        <w:t>סמיכות הזמנים</w:t>
      </w:r>
      <w:r>
        <w:rPr>
          <w:rtl w:val="true"/>
        </w:rPr>
        <w:t xml:space="preserve">" </w:t>
      </w:r>
      <w:r>
        <w:rPr>
          <w:rtl w:val="true"/>
        </w:rPr>
        <w:t>שבין השימוש באקדח לצורך המתת המנוח לבין המרדף בעקבות ראזי מלמדת על כוונתו של המערער לרצוח את ראזי</w:t>
      </w:r>
      <w:r>
        <w:rPr>
          <w:rtl w:val="true"/>
        </w:rPr>
        <w:t xml:space="preserve">. </w:t>
      </w:r>
      <w:r>
        <w:rPr>
          <w:rtl w:val="true"/>
        </w:rPr>
        <w:t>בדעת מיעוט</w:t>
      </w:r>
      <w:r>
        <w:rPr>
          <w:rtl w:val="true"/>
        </w:rPr>
        <w:t xml:space="preserve">,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</w:t>
      </w:r>
      <w:r>
        <w:rPr>
          <w:rtl w:val="true"/>
        </w:rPr>
        <w:t xml:space="preserve"> סברה כי יש לזכות את המערער מחמת הספק מעבירת ניסיון לרצח</w:t>
      </w:r>
      <w:r>
        <w:rPr>
          <w:rtl w:val="true"/>
        </w:rPr>
        <w:t xml:space="preserve">. </w:t>
      </w:r>
      <w:r>
        <w:rPr>
          <w:rtl w:val="true"/>
        </w:rPr>
        <w:t>זאת מאחר שייתכן כי ראזי ניצל משחמק מהמערער</w:t>
      </w:r>
      <w:r>
        <w:rPr>
          <w:rtl w:val="true"/>
        </w:rPr>
        <w:t xml:space="preserve">, </w:t>
      </w:r>
      <w:r>
        <w:rPr>
          <w:rtl w:val="true"/>
        </w:rPr>
        <w:t>אולם אפשרי כי הסיבה לכך היא שהמערער התחרט או עצר את מעשיו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משהמערער הודה כי החזיק באקדח ללא היתר</w:t>
      </w:r>
      <w:r>
        <w:rPr>
          <w:rtl w:val="true"/>
        </w:rPr>
        <w:t xml:space="preserve">, </w:t>
      </w:r>
      <w:r>
        <w:rPr>
          <w:rtl w:val="true"/>
        </w:rPr>
        <w:t>ובשל העובדה כי הוא נראה מחזיק באקדח בתיעוד האירוע ועושה בו שימוש לצורך ירי במנוח</w:t>
      </w:r>
      <w:r>
        <w:rPr>
          <w:rtl w:val="true"/>
        </w:rPr>
        <w:t xml:space="preserve">, </w:t>
      </w:r>
      <w:r>
        <w:rPr>
          <w:rtl w:val="true"/>
        </w:rPr>
        <w:t xml:space="preserve">הוא הורשע גם בביצוע עבירות בנשק לפי </w:t>
      </w:r>
      <w:hyperlink r:id="rId29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)-(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0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רקע קביעות אלו</w:t>
      </w:r>
      <w:r>
        <w:rPr>
          <w:rtl w:val="true"/>
        </w:rPr>
        <w:t xml:space="preserve">, </w:t>
      </w:r>
      <w:r>
        <w:rPr>
          <w:rtl w:val="true"/>
        </w:rPr>
        <w:t>בית המשפט המחוזי בגזר דינו פנה לבחון את תחולת והשפעת תיקון 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התשע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ט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-</w:t>
      </w:r>
      <w:r>
        <w:rPr>
          <w:rFonts w:cs="FrankRuehl" w:ascii="FrankRuehl" w:hAnsi="FrankRuehl"/>
          <w:color w:val="000000"/>
          <w:sz w:val="28"/>
          <w:shd w:fill="FFFFFF" w:val="clear"/>
        </w:rPr>
        <w:t>2019</w:t>
      </w:r>
      <w:r>
        <w:rPr>
          <w:rtl w:val="true"/>
        </w:rPr>
        <w:t xml:space="preserve"> (</w:t>
      </w:r>
      <w:r>
        <w:rPr>
          <w:rtl w:val="true"/>
        </w:rPr>
        <w:t>לעיל ולהלן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tl w:val="true"/>
        </w:rPr>
        <w:t xml:space="preserve">) </w:t>
      </w:r>
      <w:r>
        <w:rPr>
          <w:rtl w:val="true"/>
        </w:rPr>
        <w:t>על הרשעת המערער בעבירת הרצח</w:t>
      </w:r>
      <w:r>
        <w:rPr>
          <w:rtl w:val="true"/>
        </w:rPr>
        <w:t xml:space="preserve">. </w:t>
      </w:r>
      <w:r>
        <w:rPr>
          <w:rtl w:val="true"/>
        </w:rPr>
        <w:t xml:space="preserve">על סמך פרשנות תכליתית של הרפורמה בשילוב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צוין כי הרפורמה חלה מיום </w:t>
      </w:r>
      <w:r>
        <w:rPr/>
        <w:t>10.1.2019</w:t>
      </w:r>
      <w:r>
        <w:rPr>
          <w:rtl w:val="true"/>
        </w:rPr>
        <w:t xml:space="preserve"> </w:t>
      </w:r>
      <w:r>
        <w:rPr>
          <w:rtl w:val="true"/>
        </w:rPr>
        <w:t>ומשכך יש להחילה בעניינו של המערער היה והיא מהווה דין מקל עמו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 xml:space="preserve">נקבע כי מעשי המערער אינם חוסים תחת עבירת המתה בנסיבות של אחריות מופחתת לפי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שכפי שפורט בהרחבה בהכרעת הדין</w:t>
      </w:r>
      <w:r>
        <w:rPr>
          <w:rtl w:val="true"/>
        </w:rPr>
        <w:t xml:space="preserve">, </w:t>
      </w:r>
      <w:r>
        <w:rPr>
          <w:rtl w:val="true"/>
        </w:rPr>
        <w:t>המערער לא פעל בתגובה להתגרות מצד המנוח או מצד בנו והוא לא התקשה לשלוט בעצמו אלא פעל באופן שקול ומחושב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אף נמצא שאין בנסיבות העניין כדי למתן את אשמתו של המערער עד כדי הפחתת האחריות למעשיו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בצד האמור</w:t>
      </w:r>
      <w:r>
        <w:rPr>
          <w:rtl w:val="true"/>
        </w:rPr>
        <w:t xml:space="preserve">, </w:t>
      </w:r>
      <w:r>
        <w:rPr>
          <w:rtl w:val="true"/>
        </w:rPr>
        <w:t>בית המשפט המחוזי קבע כי מעשי המערער בוצעו בנסיבות מחמירות</w:t>
      </w:r>
      <w:r>
        <w:rPr>
          <w:rtl w:val="true"/>
        </w:rPr>
        <w:t xml:space="preserve">. </w:t>
      </w:r>
      <w:r>
        <w:rPr>
          <w:rtl w:val="true"/>
        </w:rPr>
        <w:t xml:space="preserve">נקבע כי המערער יצר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ממשית</w:t>
      </w:r>
      <w:r>
        <w:rPr>
          <w:rtl w:val="true"/>
        </w:rPr>
        <w:t xml:space="preserve"> לחייהם של אחרים מלבד המנוח בשל העובדה שירה שתי יריות מטווח קצר לעבר המנוח בעודו מוקף במספר רב של אנשים </w:t>
      </w:r>
      <w:r>
        <w:rPr>
          <w:rtl w:val="true"/>
        </w:rPr>
        <w:t>(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נקבע כי מכך שהמערער ירה בראשו של המנוח ממרחק של פחות ממטר אחד</w:t>
      </w:r>
      <w:r>
        <w:rPr>
          <w:rtl w:val="true"/>
        </w:rPr>
        <w:t xml:space="preserve">, </w:t>
      </w:r>
      <w:r>
        <w:rPr>
          <w:rtl w:val="true"/>
        </w:rPr>
        <w:t xml:space="preserve">ניתן ללמוד על הליך ממשי של גיבוש והחלטה להמית </w:t>
      </w:r>
      <w:r>
        <w:rPr>
          <w:rtl w:val="true"/>
        </w:rPr>
        <w:t>(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בגינן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הבסיסית</w:t>
      </w:r>
      <w:r>
        <w:rPr>
          <w:rtl w:val="true"/>
        </w:rPr>
        <w:t xml:space="preserve">"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למתחם העונש ההולם בשל הרשעותיו</w:t>
      </w:r>
      <w:r>
        <w:rPr>
          <w:rtl w:val="true"/>
        </w:rPr>
        <w:t xml:space="preserve">, </w:t>
      </w:r>
      <w:r>
        <w:rPr>
          <w:rtl w:val="true"/>
        </w:rPr>
        <w:t>נקבע כי נוכח פגיעת המערער בערך קדושת החיים</w:t>
      </w:r>
      <w:r>
        <w:rPr>
          <w:rtl w:val="true"/>
        </w:rPr>
        <w:t xml:space="preserve">, </w:t>
      </w:r>
      <w:r>
        <w:rPr>
          <w:rtl w:val="true"/>
        </w:rPr>
        <w:t>חומרת מעשיו ובשים לב למדיניות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 xml:space="preserve">מתחם העונש ההולם הוא בין עונש של מאסר עולם בצירוף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לבין מאסר עולם בצירוף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בגזירת עונשו של המערער בגדרי המתחם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זקף לחובתו את עברו הפלילי הכולל הרשעות קודמות בגין הריגת שני אחים וניסיון לרצח אימם </w:t>
      </w:r>
      <w:r>
        <w:rPr>
          <w:rtl w:val="true"/>
        </w:rPr>
        <w:t>–</w:t>
      </w:r>
      <w:r>
        <w:rPr>
          <w:rtl w:val="true"/>
        </w:rPr>
        <w:t xml:space="preserve"> אירוע בגינו נדון בשנת </w:t>
      </w:r>
      <w:r>
        <w:rPr/>
        <w:t>1989</w:t>
      </w:r>
      <w:r>
        <w:rPr>
          <w:rtl w:val="true"/>
        </w:rPr>
        <w:t xml:space="preserve"> </w:t>
      </w:r>
      <w:r>
        <w:rPr>
          <w:rtl w:val="true"/>
        </w:rPr>
        <w:t xml:space="preserve">לעונש של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בית המשפט שקל לזכות המערער את גילו ומצבו הבריאותי</w:t>
      </w:r>
      <w:r>
        <w:rPr>
          <w:rtl w:val="true"/>
        </w:rPr>
        <w:t xml:space="preserve">, </w:t>
      </w:r>
      <w:r>
        <w:rPr>
          <w:rtl w:val="true"/>
        </w:rPr>
        <w:t>את משך מעצרו הארוך ואת נסיבות חייו ה</w:t>
      </w:r>
      <w:r>
        <w:rPr>
          <w:rtl w:val="true"/>
        </w:rPr>
        <w:t>"</w:t>
      </w:r>
      <w:r>
        <w:rPr>
          <w:rtl w:val="true"/>
        </w:rPr>
        <w:t>טראגיות</w:t>
      </w:r>
      <w:r>
        <w:rPr>
          <w:rtl w:val="true"/>
        </w:rPr>
        <w:t xml:space="preserve">". </w:t>
      </w:r>
      <w:r>
        <w:rPr>
          <w:rtl w:val="true"/>
        </w:rPr>
        <w:t>עוד צוין הנזק הכבד שנגרם למשפחת המנוח וכי השכול מלווה את אלמנתו ואת ארבעת ילדיהם מדי יום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tl w:val="true"/>
        </w:rPr>
        <w:t xml:space="preserve">;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לעיזבון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;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14,000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לראזי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הסנגור משיג על הכרעת הדין במספר מישורים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בית המשפט המחוזי שגה כאשר הרשיע את המערער בעבירת רצח המנוח בכוונה תחילה</w:t>
      </w:r>
      <w:r>
        <w:rPr>
          <w:rtl w:val="true"/>
        </w:rPr>
        <w:t xml:space="preserve">; </w:t>
      </w:r>
      <w:r>
        <w:rPr>
          <w:rtl w:val="true"/>
        </w:rPr>
        <w:t>כך גם באשר להרשעתו בעבירת הניסיון לרצח</w:t>
      </w:r>
      <w:r>
        <w:rPr>
          <w:rtl w:val="true"/>
        </w:rPr>
        <w:t xml:space="preserve">; </w:t>
      </w:r>
      <w:r>
        <w:rPr>
          <w:rtl w:val="true"/>
        </w:rPr>
        <w:t>ובקביעתו כי הרפורמה בעבירות ההמתה אינה מהווה דין מקל עמו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הערעור מופנה אף לחומרת העונש שנגזר על המערער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להרשעה בעבירת רצח בכוונה תחילה</w:t>
      </w:r>
      <w:r>
        <w:rPr>
          <w:rtl w:val="true"/>
        </w:rPr>
        <w:t xml:space="preserve">, </w:t>
      </w:r>
      <w:r>
        <w:rPr>
          <w:rtl w:val="true"/>
        </w:rPr>
        <w:t>הסנגור מיקד את טענותיו בשאלת התקיימות היסוד הנפשי הנדרש</w:t>
      </w:r>
      <w:r>
        <w:rPr>
          <w:rtl w:val="true"/>
        </w:rPr>
        <w:t xml:space="preserve">. </w:t>
      </w:r>
      <w:r>
        <w:rPr>
          <w:rtl w:val="true"/>
        </w:rPr>
        <w:t>בגדר זאת נטען</w:t>
      </w:r>
      <w:r>
        <w:rPr>
          <w:rtl w:val="true"/>
        </w:rPr>
        <w:t xml:space="preserve">, </w:t>
      </w:r>
      <w:r>
        <w:rPr>
          <w:rtl w:val="true"/>
        </w:rPr>
        <w:t xml:space="preserve">כי ההתגרות במערער בסמוך למעשה הירי מבססת טענת </w:t>
      </w:r>
      <w:r>
        <w:rPr>
          <w:rtl w:val="true"/>
        </w:rPr>
        <w:t>"</w:t>
      </w:r>
      <w:r>
        <w:rPr>
          <w:rtl w:val="true"/>
        </w:rPr>
        <w:t>קנטור</w:t>
      </w:r>
      <w:r>
        <w:rPr>
          <w:rtl w:val="true"/>
        </w:rPr>
        <w:t xml:space="preserve">", </w:t>
      </w:r>
      <w:r>
        <w:rPr>
          <w:rtl w:val="true"/>
        </w:rPr>
        <w:t>ולחלופין</w:t>
      </w:r>
      <w:r>
        <w:rPr>
          <w:rtl w:val="true"/>
        </w:rPr>
        <w:t xml:space="preserve">, </w:t>
      </w:r>
      <w:r>
        <w:rPr>
          <w:rtl w:val="true"/>
        </w:rPr>
        <w:t>כי המערער פעל בלא כוונה להמית את המנוח בשל מצב דיסוציאטיבי שחווה במהלך האירוע</w:t>
      </w:r>
      <w:r>
        <w:rPr>
          <w:rtl w:val="true"/>
        </w:rPr>
        <w:t xml:space="preserve">. </w:t>
      </w:r>
      <w:r>
        <w:rPr>
          <w:rtl w:val="true"/>
        </w:rPr>
        <w:t>בהתייחס לעבירת הניסיון לרצח כלפי ראזי</w:t>
      </w:r>
      <w:r>
        <w:rPr>
          <w:rtl w:val="true"/>
        </w:rPr>
        <w:t xml:space="preserve">, </w:t>
      </w:r>
      <w:r>
        <w:rPr>
          <w:rtl w:val="true"/>
        </w:rPr>
        <w:t>לעמדת הסנגור</w:t>
      </w:r>
      <w:r>
        <w:rPr>
          <w:rtl w:val="true"/>
        </w:rPr>
        <w:t xml:space="preserve">, </w:t>
      </w:r>
      <w:r>
        <w:rPr>
          <w:rtl w:val="true"/>
        </w:rPr>
        <w:t>מאחר שבהכרעת הדין נקבע כי יש להניח שלא ירה לעבר ראזי לא התקיים היסוד העובדתי הדרוש לעבירת הניסיון לרצח</w:t>
      </w:r>
      <w:r>
        <w:rPr>
          <w:rtl w:val="true"/>
        </w:rPr>
        <w:t xml:space="preserve">; </w:t>
      </w:r>
      <w:r>
        <w:rPr>
          <w:rtl w:val="true"/>
        </w:rPr>
        <w:t>ואף לא התקיים היסוד הנפשי</w:t>
      </w:r>
      <w:r>
        <w:rPr>
          <w:rtl w:val="true"/>
        </w:rPr>
        <w:t xml:space="preserve">, </w:t>
      </w:r>
      <w:r>
        <w:rPr>
          <w:rtl w:val="true"/>
        </w:rPr>
        <w:t>שכן לא הוכחה כוונת המערער לגרום למותו של ראזי</w:t>
      </w:r>
      <w:r>
        <w:rPr>
          <w:rtl w:val="true"/>
        </w:rPr>
        <w:t xml:space="preserve">, </w:t>
      </w:r>
      <w:r>
        <w:rPr>
          <w:rtl w:val="true"/>
        </w:rPr>
        <w:t>וגם זאת נוכח המצב הדיסוציאטיבי שחווה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במהלך האירוע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>נטען כי הרפורמה מהווה דין מקל עם המערער ממספר טעמים</w:t>
      </w:r>
      <w:r>
        <w:rPr>
          <w:rtl w:val="true"/>
        </w:rPr>
        <w:t xml:space="preserve">. </w:t>
      </w:r>
      <w:r>
        <w:rPr>
          <w:rtl w:val="true"/>
        </w:rPr>
        <w:t xml:space="preserve">כך מאחר שמעשיו חוסים תחת עבירת ההמתה בנסיבות של אחריות מופחתת לפי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נוכח מצבו הנפשי בעת ביצוע המעשים ומשהתקשה </w:t>
      </w:r>
      <w:r>
        <w:rPr>
          <w:rtl w:val="true"/>
        </w:rPr>
        <w:t>"</w:t>
      </w:r>
      <w:r>
        <w:rPr>
          <w:rtl w:val="true"/>
        </w:rPr>
        <w:t>לשלוט בעצמו</w:t>
      </w:r>
      <w:r>
        <w:rPr>
          <w:rtl w:val="true"/>
        </w:rPr>
        <w:t xml:space="preserve">" </w:t>
      </w:r>
      <w:r>
        <w:rPr>
          <w:rtl w:val="true"/>
        </w:rPr>
        <w:t>בעקבות מראה בנו החבול</w:t>
      </w:r>
      <w:r>
        <w:rPr>
          <w:rtl w:val="true"/>
        </w:rPr>
        <w:t xml:space="preserve">. </w:t>
      </w:r>
      <w:r>
        <w:rPr>
          <w:rtl w:val="true"/>
        </w:rPr>
        <w:t xml:space="preserve">אף נטען כי בית המשפט המחוזי שגה בקובעו כי ממילא ניתן היה להרשיעו בעבירת רצח בנסיבות מחמירות לפי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היות שלעמדת המערער הוא לא יצר במעשיו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ממשית</w:t>
      </w:r>
      <w:r>
        <w:rPr>
          <w:rtl w:val="true"/>
        </w:rPr>
        <w:t xml:space="preserve"> לאחרים מלבד המנוח</w:t>
      </w:r>
      <w:r>
        <w:rPr>
          <w:rtl w:val="true"/>
        </w:rPr>
        <w:t xml:space="preserve">, </w:t>
      </w:r>
      <w:r>
        <w:rPr>
          <w:rtl w:val="true"/>
        </w:rPr>
        <w:t>כנדרש להתגבשות הנסיבה המחמירה</w:t>
      </w:r>
      <w:r>
        <w:rPr>
          <w:rtl w:val="true"/>
        </w:rPr>
        <w:t xml:space="preserve">. </w:t>
      </w:r>
      <w:r>
        <w:rPr>
          <w:rtl w:val="true"/>
        </w:rPr>
        <w:t xml:space="preserve">עוד הוסיף המערער כי מכל מקום מעשיו באים בשערי </w:t>
      </w:r>
      <w:r>
        <w:rPr>
          <w:rtl w:val="true"/>
        </w:rPr>
        <w:t>"</w:t>
      </w:r>
      <w:r>
        <w:rPr>
          <w:rtl w:val="true"/>
        </w:rPr>
        <w:t>פתח המילוט</w:t>
      </w:r>
      <w:r>
        <w:rPr>
          <w:rtl w:val="true"/>
        </w:rPr>
        <w:t xml:space="preserve">" </w:t>
      </w:r>
      <w:r>
        <w:rPr>
          <w:rtl w:val="true"/>
        </w:rPr>
        <w:t xml:space="preserve">הקבוע </w:t>
      </w:r>
      <w:hyperlink r:id="rId4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הואיל והם משקפים דרגת אשמה </w:t>
      </w:r>
      <w:r>
        <w:rPr>
          <w:rtl w:val="true"/>
        </w:rPr>
        <w:t>"</w:t>
      </w:r>
      <w:r>
        <w:rPr>
          <w:rtl w:val="true"/>
        </w:rPr>
        <w:t>פחותה מהקבוע בחוק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המערער משיג על חומרת העונש שבית המשפט המחוזי גזר עליו</w:t>
      </w:r>
      <w:r>
        <w:rPr>
          <w:rtl w:val="true"/>
        </w:rPr>
        <w:t xml:space="preserve">. </w:t>
      </w:r>
      <w:r>
        <w:rPr>
          <w:rtl w:val="true"/>
        </w:rPr>
        <w:t>נטען כי בהינתן השגותיו על הכרעת הדין</w:t>
      </w:r>
      <w:r>
        <w:rPr>
          <w:rtl w:val="true"/>
        </w:rPr>
        <w:t xml:space="preserve">, </w:t>
      </w:r>
      <w:r>
        <w:rPr>
          <w:rtl w:val="true"/>
        </w:rPr>
        <w:t>נדרש לקבוע מתחם עונש הולם אחד בגין שלוש העבירות בהן הורשע</w:t>
      </w:r>
      <w:r>
        <w:rPr>
          <w:rtl w:val="true"/>
        </w:rPr>
        <w:t xml:space="preserve">, </w:t>
      </w:r>
      <w:r>
        <w:rPr>
          <w:rtl w:val="true"/>
        </w:rPr>
        <w:t>אשר אינו כולל עונש מאסר עולם</w:t>
      </w:r>
      <w:r>
        <w:rPr>
          <w:rtl w:val="true"/>
        </w:rPr>
        <w:t xml:space="preserve">. </w:t>
      </w:r>
      <w:r>
        <w:rPr>
          <w:rtl w:val="true"/>
        </w:rPr>
        <w:t>לעמדת הסנגור</w:t>
      </w:r>
      <w:r>
        <w:rPr>
          <w:rtl w:val="true"/>
        </w:rPr>
        <w:t xml:space="preserve">, </w:t>
      </w:r>
      <w:r>
        <w:rPr>
          <w:rtl w:val="true"/>
        </w:rPr>
        <w:t>המעשים בהם הורשע המערער ומידת אשמתו בגינם מצויים ברף הנמוך של עבירות ההמתה</w:t>
      </w:r>
      <w:r>
        <w:rPr>
          <w:rtl w:val="true"/>
        </w:rPr>
        <w:t xml:space="preserve">. </w:t>
      </w:r>
      <w:r>
        <w:rPr>
          <w:rtl w:val="true"/>
        </w:rPr>
        <w:t>בצד זאת</w:t>
      </w:r>
      <w:r>
        <w:rPr>
          <w:rtl w:val="true"/>
        </w:rPr>
        <w:t xml:space="preserve">, </w:t>
      </w:r>
      <w:r>
        <w:rPr>
          <w:rtl w:val="true"/>
        </w:rPr>
        <w:t xml:space="preserve">הודגשה תרומת המערער לביטחון המדינה במשך </w:t>
      </w:r>
      <w:r>
        <w:rPr>
          <w:rtl w:val="true"/>
        </w:rPr>
        <w:t>שנים רבות</w:t>
      </w:r>
      <w:r>
        <w:rPr>
          <w:rtl w:val="true"/>
        </w:rPr>
        <w:t xml:space="preserve">; </w:t>
      </w:r>
      <w:r>
        <w:rPr>
          <w:rtl w:val="true"/>
        </w:rPr>
        <w:t>נסיבות חייו האישיות הקשות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העובדה כי </w:t>
      </w:r>
      <w:r>
        <w:rPr>
          <w:rtl w:val="true"/>
        </w:rPr>
        <w:t>שָׁכַל</w:t>
      </w:r>
      <w:r>
        <w:rPr>
          <w:rtl w:val="true"/>
        </w:rPr>
        <w:t xml:space="preserve"> חלק מילדיו</w:t>
      </w:r>
      <w:r>
        <w:rPr>
          <w:rtl w:val="true"/>
        </w:rPr>
        <w:t xml:space="preserve">; </w:t>
      </w:r>
      <w:r>
        <w:rPr>
          <w:rtl w:val="true"/>
        </w:rPr>
        <w:t xml:space="preserve">היותו נכה בשיעור של </w:t>
      </w:r>
      <w:r>
        <w:rPr/>
        <w:t>30%</w:t>
      </w:r>
      <w:r>
        <w:rPr>
          <w:rtl w:val="true"/>
        </w:rPr>
        <w:t xml:space="preserve"> </w:t>
      </w:r>
      <w:r>
        <w:rPr>
          <w:rtl w:val="true"/>
        </w:rPr>
        <w:t>בשל תסמונת בתר חבלתית</w:t>
      </w:r>
      <w:r>
        <w:rPr>
          <w:rtl w:val="true"/>
        </w:rPr>
        <w:t xml:space="preserve">; </w:t>
      </w:r>
      <w:r>
        <w:rPr>
          <w:rtl w:val="true"/>
        </w:rPr>
        <w:t>ותנאי מעצרו הקשים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אין לייחס משקל רב לעברו הפלילי משזו הרשעתו היחידה</w:t>
      </w:r>
      <w:r>
        <w:rPr>
          <w:rtl w:val="true"/>
        </w:rPr>
        <w:t xml:space="preserve">, </w:t>
      </w:r>
      <w:r>
        <w:rPr>
          <w:rtl w:val="true"/>
        </w:rPr>
        <w:t>אשר בוצעה בנסיבות חריגות ביותר</w:t>
      </w:r>
      <w:r>
        <w:rPr>
          <w:rtl w:val="true"/>
        </w:rPr>
        <w:t xml:space="preserve">, </w:t>
      </w:r>
      <w:r>
        <w:rPr>
          <w:rtl w:val="true"/>
        </w:rPr>
        <w:t>ואשר בגינה ריצה עונש מאסר 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לעמדת המשיבה הרשעת המערער באשר יוחס לו בכתב האישום בדין יסודה</w:t>
      </w:r>
      <w:r>
        <w:rPr>
          <w:rtl w:val="true"/>
        </w:rPr>
        <w:t xml:space="preserve">. </w:t>
      </w:r>
      <w:r>
        <w:rPr>
          <w:rtl w:val="true"/>
        </w:rPr>
        <w:t>לעניין רצח המנוח נטען כי אין מחלוקת כאמור לגבי התקיימות היסוד העובדתי</w:t>
      </w:r>
      <w:r>
        <w:rPr>
          <w:rtl w:val="true"/>
        </w:rPr>
        <w:t xml:space="preserve">, </w:t>
      </w:r>
      <w:r>
        <w:rPr>
          <w:rtl w:val="true"/>
        </w:rPr>
        <w:t>וכי אף היסוד הנפשי הדרוש לעבירת הרצח בכוונה תחילה התגבש כדבעי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 xml:space="preserve">כי ניכר שהמערער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החליט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tl w:val="true"/>
        </w:rPr>
        <w:t xml:space="preserve"> את המנוח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והכין</w:t>
      </w:r>
      <w:r>
        <w:rPr>
          <w:rtl w:val="true"/>
        </w:rPr>
        <w:t xml:space="preserve"> את מעשיו לצורך כך</w:t>
      </w:r>
      <w:r>
        <w:rPr>
          <w:rtl w:val="true"/>
        </w:rPr>
        <w:t xml:space="preserve">, </w:t>
      </w:r>
      <w:r>
        <w:rPr>
          <w:rtl w:val="true"/>
        </w:rPr>
        <w:t>לנוכח העובדה שהגיע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וירה</w:t>
      </w:r>
      <w:r>
        <w:rPr>
          <w:rtl w:val="true"/>
        </w:rPr>
        <w:t xml:space="preserve"> </w:t>
      </w:r>
      <w:r>
        <w:rPr>
          <w:rtl w:val="true"/>
        </w:rPr>
        <w:t>לעבר ראשו של המנוח מטווח קצר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המשיבה סומכת ידיה על קביעת בית המשפט המחוזי כי </w:t>
      </w:r>
      <w:r>
        <w:rPr>
          <w:rtl w:val="true"/>
        </w:rPr>
        <w:t>ההתרחשויות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הקטטה</w:t>
      </w:r>
      <w:r>
        <w:rPr>
          <w:rtl w:val="true"/>
        </w:rPr>
        <w:t xml:space="preserve"> </w:t>
      </w:r>
      <w:r>
        <w:rPr>
          <w:rtl w:val="true"/>
        </w:rPr>
        <w:t>אינן</w:t>
      </w:r>
      <w:r>
        <w:rPr>
          <w:rtl w:val="true"/>
        </w:rPr>
        <w:t xml:space="preserve"> </w:t>
      </w:r>
      <w:r>
        <w:rPr>
          <w:rtl w:val="true"/>
        </w:rPr>
        <w:t>התגרות</w:t>
      </w:r>
      <w:r>
        <w:rPr>
          <w:rtl w:val="true"/>
        </w:rPr>
        <w:t xml:space="preserve"> </w:t>
      </w:r>
      <w:r>
        <w:rPr>
          <w:rtl w:val="true"/>
        </w:rPr>
        <w:t>העולה כדי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קנטור</w:t>
      </w:r>
      <w:r>
        <w:rPr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. </w:t>
      </w:r>
      <w:r>
        <w:rPr>
          <w:rtl w:val="true"/>
        </w:rPr>
        <w:t>בהתייחס לטענת ה</w:t>
      </w:r>
      <w:r>
        <w:rPr>
          <w:rtl w:val="true"/>
        </w:rPr>
        <w:t>"</w:t>
      </w:r>
      <w:r>
        <w:rPr>
          <w:rtl w:val="true"/>
        </w:rPr>
        <w:t>ניתוק</w:t>
      </w:r>
      <w:r>
        <w:rPr>
          <w:rtl w:val="true"/>
        </w:rPr>
        <w:t xml:space="preserve">" </w:t>
      </w:r>
      <w:r>
        <w:rPr>
          <w:rtl w:val="true"/>
        </w:rPr>
        <w:t>שבפי המערער</w:t>
      </w:r>
      <w:r>
        <w:rPr>
          <w:rtl w:val="true"/>
        </w:rPr>
        <w:t xml:space="preserve">, </w:t>
      </w:r>
      <w:r>
        <w:rPr>
          <w:rtl w:val="true"/>
        </w:rPr>
        <w:t>נטען כי התנהגותו כפי שתועדה באמצעות המצלמות הסובבות את זירת האירוע אינה כשל אדם המנותק מהמציאות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אין להתערב בקביעת בית המשפט המחוזי שאימצה את חוות דעתה של ד</w:t>
      </w:r>
      <w:r>
        <w:rPr>
          <w:rtl w:val="true"/>
        </w:rPr>
        <w:t>"</w:t>
      </w:r>
      <w:r>
        <w:rPr>
          <w:rtl w:val="true"/>
        </w:rPr>
        <w:t>ר נעון שלפיה המערער לא חווה מצב של דיסוציאציה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לעבירת הניסיון לרצח</w:t>
      </w:r>
      <w:r>
        <w:rPr>
          <w:rtl w:val="true"/>
        </w:rPr>
        <w:t xml:space="preserve">, </w:t>
      </w:r>
      <w:r>
        <w:rPr>
          <w:rtl w:val="true"/>
        </w:rPr>
        <w:t>נטען כי גם אם לא הוכח שהמערער ירה לעבר ראזי</w:t>
      </w:r>
      <w:r>
        <w:rPr>
          <w:rtl w:val="true"/>
        </w:rPr>
        <w:t xml:space="preserve">, </w:t>
      </w:r>
      <w:r>
        <w:rPr>
          <w:rtl w:val="true"/>
        </w:rPr>
        <w:t>מעשיו יצאו מגדר מעשי הכנה ונכנסו לתחומי עבירת ניסיון לרצח בהתאם למבחנים המקובלים בפסיקה</w:t>
      </w:r>
      <w:r>
        <w:rPr>
          <w:rtl w:val="true"/>
        </w:rPr>
        <w:t xml:space="preserve">. </w:t>
      </w:r>
      <w:r>
        <w:rPr>
          <w:rtl w:val="true"/>
        </w:rPr>
        <w:t>זאת הואיל ובמרדפו של המערער אחר ראזי כשאקדחו שלוף בידו</w:t>
      </w:r>
      <w:r>
        <w:rPr>
          <w:rtl w:val="true"/>
        </w:rPr>
        <w:t xml:space="preserve">, </w:t>
      </w:r>
      <w:r>
        <w:rPr>
          <w:rtl w:val="true"/>
        </w:rPr>
        <w:t>המערער עשה כל שביכולתו לבצע את עבירת הרצח המושלמת</w:t>
      </w:r>
      <w:r>
        <w:rPr>
          <w:rtl w:val="true"/>
        </w:rPr>
        <w:t xml:space="preserve">, </w:t>
      </w:r>
      <w:r>
        <w:rPr>
          <w:rtl w:val="true"/>
        </w:rPr>
        <w:t>ואולם הדבר נמנע ממנו רק בשל העובדה שראזי בריצתו המהירה יותר חמק מפניו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המשיבה הוסיפה כי אף היסוד הנפשי הדרוש לעבירת הניסיון לרצח התקיים לנוכח הסמיכות בין מרדף המערער אחר ראזי לירי בראשו של המנוח</w:t>
      </w:r>
      <w:r>
        <w:rPr>
          <w:rtl w:val="true"/>
        </w:rPr>
        <w:t xml:space="preserve">, </w:t>
      </w:r>
      <w:r>
        <w:rPr>
          <w:rtl w:val="true"/>
        </w:rPr>
        <w:t>המלמדת על כוונתו להמית את ראזי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 לתחולת הרפורמה בעבירות ההמתה בענייננו</w:t>
      </w:r>
      <w:r>
        <w:rPr>
          <w:rtl w:val="true"/>
        </w:rPr>
        <w:t xml:space="preserve">, </w:t>
      </w:r>
      <w:r>
        <w:rPr>
          <w:rtl w:val="true"/>
        </w:rPr>
        <w:t>לעמדת המשיבה המתת המנוח בידי המערער אינה מעשה של המתה בנסיבות של אחריות מופחתת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משלא הוכח כי הייתה התגרות כלפי המערער אשר מעשה ההמתה נעשה בתגובה לה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נטען כי רצח המנוח נעשה תחת נסיבה מחמירה של יצירת סכנה ממשית לחייו של אדם אחר בהתאם </w:t>
      </w:r>
      <w:hyperlink r:id="rId41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כפי שקבע בית המשפט המחוזי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המערער ירה באקדח במרכזה של עיר בעוד הכביש הומה וכאשר בזירת האירוע התגודדה קבוצת אנשים</w:t>
      </w:r>
      <w:r>
        <w:rPr>
          <w:rtl w:val="true"/>
        </w:rPr>
        <w:t xml:space="preserve">. </w:t>
      </w:r>
      <w:r>
        <w:rPr>
          <w:rtl w:val="true"/>
        </w:rPr>
        <w:t>כן נטען</w:t>
      </w:r>
      <w:r>
        <w:rPr>
          <w:rtl w:val="true"/>
        </w:rPr>
        <w:t xml:space="preserve">, </w:t>
      </w:r>
      <w:r>
        <w:rPr>
          <w:rtl w:val="true"/>
        </w:rPr>
        <w:t>כי הירייה השנייה לעבר המנוח אמנם כוונה לראשו מטווח קצר</w:t>
      </w:r>
      <w:r>
        <w:rPr>
          <w:rtl w:val="true"/>
        </w:rPr>
        <w:t xml:space="preserve">, </w:t>
      </w:r>
      <w:r>
        <w:rPr>
          <w:rtl w:val="true"/>
        </w:rPr>
        <w:t>אולם בכל זאת סיכנה לכל הפחות שלושה אנשים נוספים שעמדו לצד המנוח באותה העת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" </w:t>
      </w:r>
      <w:r>
        <w:rPr>
          <w:rtl w:val="true"/>
        </w:rPr>
        <w:t>המפחיתות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המילוט</w:t>
      </w:r>
      <w:r>
        <w:rPr>
          <w:rtl w:val="true"/>
        </w:rPr>
        <w:t xml:space="preserve">".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hyperlink r:id="rId42">
        <w:r>
          <w:rPr>
            <w:rStyle w:val="Hyperlink"/>
            <w:rFonts w:ascii="Century" w:hAnsi="Century" w:cs="Century"/>
            <w:rtl w:val="true"/>
          </w:rPr>
          <w:t>לסעיף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301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 באת</w:t>
      </w:r>
      <w:r>
        <w:rPr>
          <w:rtl w:val="true"/>
        </w:rPr>
        <w:t>-</w:t>
      </w:r>
      <w:r>
        <w:rPr>
          <w:rtl w:val="true"/>
        </w:rPr>
        <w:t>כוח המשיבה</w:t>
      </w:r>
      <w:r>
        <w:rPr>
          <w:rtl w:val="true"/>
        </w:rPr>
        <w:t xml:space="preserve">, </w:t>
      </w:r>
      <w:r>
        <w:rPr>
          <w:rtl w:val="true"/>
        </w:rPr>
        <w:t>אף אין מקום להתערב בגזר הדין</w:t>
      </w:r>
      <w:r>
        <w:rPr>
          <w:rtl w:val="true"/>
        </w:rPr>
        <w:t xml:space="preserve">, </w:t>
      </w:r>
      <w:r>
        <w:rPr>
          <w:rtl w:val="true"/>
        </w:rPr>
        <w:t>מאחר שהעונש אשר נגזר על המערער הולם את חומרת מעשיו ומתחשב כראוי במכלול הנסיבות והשיקולים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צוין כי בשים לב לעונש הכולל שנגזר על המערער</w:t>
      </w:r>
      <w:r>
        <w:rPr>
          <w:rtl w:val="true"/>
        </w:rPr>
        <w:t xml:space="preserve">, </w:t>
      </w:r>
      <w:r>
        <w:rPr>
          <w:rtl w:val="true"/>
        </w:rPr>
        <w:t>בית המשפט המחוזי לא גזר עליו עונש נוסף ונפרד בגין עבירות הנשק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אקדים ואומר</w:t>
      </w:r>
      <w:r>
        <w:rPr>
          <w:rtl w:val="true"/>
        </w:rPr>
        <w:t xml:space="preserve">, </w:t>
      </w:r>
      <w:r>
        <w:rPr>
          <w:rtl w:val="true"/>
        </w:rPr>
        <w:t xml:space="preserve">כי אמנם אני סבור שבדין המערער הורשע ברצח המנוח בכוונה תחילה </w:t>
      </w:r>
      <w:r>
        <w:rPr>
          <w:rtl w:val="true"/>
        </w:rPr>
        <w:t>(</w:t>
      </w:r>
      <w:r>
        <w:rPr>
          <w:rtl w:val="true"/>
        </w:rPr>
        <w:t>על פי הדין עובר לרפורמה בעבירות ההמתה</w:t>
      </w:r>
      <w:r>
        <w:rPr>
          <w:rtl w:val="true"/>
        </w:rPr>
        <w:t xml:space="preserve">) </w:t>
      </w:r>
      <w:r>
        <w:rPr>
          <w:rtl w:val="true"/>
        </w:rPr>
        <w:t>ובניסיון לרצוח את ראזי</w:t>
      </w:r>
      <w:r>
        <w:rPr>
          <w:rtl w:val="true"/>
        </w:rPr>
        <w:t xml:space="preserve">, </w:t>
      </w:r>
      <w:r>
        <w:rPr>
          <w:rtl w:val="true"/>
        </w:rPr>
        <w:t>אולם לנוכח הדין החל כיום בעקבות הרפורמה</w:t>
      </w:r>
      <w:r>
        <w:rPr>
          <w:rtl w:val="true"/>
        </w:rPr>
        <w:t xml:space="preserve">, </w:t>
      </w:r>
      <w:r>
        <w:rPr>
          <w:rtl w:val="true"/>
        </w:rPr>
        <w:t>יש לקבל את הערעור בחלקו ולקבוע כי הרפורמה בעבירות ההמתה מהווה דין מקל עם המערער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מאחר שמעשה הרצח לא בא בגדרי הנסיבות המחמירות המנויות </w:t>
      </w:r>
      <w:hyperlink r:id="rId43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301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ועל כן עונש מאסר העולם בגינו הוא עונש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מרבי</w:t>
      </w:r>
      <w:r>
        <w:rPr>
          <w:rtl w:val="true"/>
        </w:rPr>
        <w:t xml:space="preserve"> ולא עונש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tl w:val="true"/>
        </w:rPr>
        <w:t xml:space="preserve">. </w:t>
      </w:r>
      <w:r>
        <w:rPr>
          <w:rtl w:val="true"/>
        </w:rPr>
        <w:t>אפרט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עבירת הרצח בכוונה תחילה נכללה </w:t>
      </w:r>
      <w:hyperlink r:id="rId4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בנוסחו קודם הרפורמה</w:t>
      </w:r>
      <w:r>
        <w:rPr>
          <w:rtl w:val="true"/>
        </w:rPr>
        <w:t xml:space="preserve">, </w:t>
      </w:r>
      <w:r>
        <w:rPr>
          <w:rtl w:val="true"/>
        </w:rPr>
        <w:t xml:space="preserve">וקבעה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הגורם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בכוונה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tl w:val="true"/>
        </w:rPr>
        <w:t xml:space="preserve">" </w:t>
      </w:r>
      <w:r>
        <w:rPr>
          <w:rtl w:val="true"/>
        </w:rPr>
        <w:t>יואשם</w:t>
      </w:r>
      <w:r>
        <w:rPr>
          <w:rtl w:val="true"/>
        </w:rPr>
        <w:t xml:space="preserve"> </w:t>
      </w:r>
      <w:r>
        <w:rPr>
          <w:rtl w:val="true"/>
        </w:rPr>
        <w:t>ברצח</w:t>
      </w:r>
      <w:r>
        <w:rPr>
          <w:rtl w:val="true"/>
        </w:rPr>
        <w:t xml:space="preserve">, </w:t>
      </w:r>
      <w:r>
        <w:rPr>
          <w:rtl w:val="true"/>
        </w:rPr>
        <w:t>ודינו</w:t>
      </w:r>
      <w:r>
        <w:rPr>
          <w:rtl w:val="true"/>
        </w:rPr>
        <w:t xml:space="preserve"> </w:t>
      </w:r>
      <w:r>
        <w:rPr>
          <w:rtl w:val="true"/>
        </w:rPr>
        <w:t xml:space="preserve">יהא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בלבד</w:t>
      </w:r>
      <w:r>
        <w:rPr>
          <w:rtl w:val="true"/>
        </w:rPr>
        <w:t xml:space="preserve">". </w:t>
      </w:r>
      <w:r>
        <w:rPr>
          <w:rtl w:val="true"/>
        </w:rPr>
        <w:t xml:space="preserve">לצורך התגבשות העבירה נדרש יסוד עובדתי שלפיו הנאשם </w:t>
      </w:r>
      <w:r>
        <w:rPr>
          <w:rtl w:val="true"/>
        </w:rPr>
        <w:t>"</w:t>
      </w:r>
      <w:r>
        <w:rPr>
          <w:rtl w:val="true"/>
        </w:rPr>
        <w:t>גרם</w:t>
      </w:r>
      <w:r>
        <w:rPr>
          <w:rtl w:val="true"/>
        </w:rPr>
        <w:t xml:space="preserve">" </w:t>
      </w:r>
      <w:r>
        <w:rPr>
          <w:rtl w:val="true"/>
        </w:rPr>
        <w:t>בהתנהגותו למותו של אדם</w:t>
      </w:r>
      <w:r>
        <w:rPr>
          <w:rtl w:val="true"/>
        </w:rPr>
        <w:t xml:space="preserve">; </w:t>
      </w:r>
      <w:r>
        <w:rPr>
          <w:rtl w:val="true"/>
        </w:rPr>
        <w:t xml:space="preserve">ויסוד נפשי של </w:t>
      </w:r>
      <w:r>
        <w:rPr>
          <w:rtl w:val="true"/>
        </w:rPr>
        <w:t>"</w:t>
      </w:r>
      <w:r>
        <w:rPr>
          <w:rtl w:val="true"/>
        </w:rPr>
        <w:t>כוונה תחילה</w:t>
      </w:r>
      <w:r>
        <w:rPr>
          <w:rtl w:val="true"/>
        </w:rPr>
        <w:t xml:space="preserve">", </w:t>
      </w:r>
      <w:r>
        <w:rPr>
          <w:rtl w:val="true"/>
        </w:rPr>
        <w:t xml:space="preserve">הכולל שלושה רכיבים מצטברים </w:t>
      </w:r>
      <w:r>
        <w:rPr>
          <w:rtl w:val="true"/>
        </w:rPr>
        <w:t>–</w:t>
      </w:r>
      <w:r>
        <w:rPr>
          <w:rtl w:val="true"/>
        </w:rPr>
        <w:t xml:space="preserve"> החלטה להמית</w:t>
      </w:r>
      <w:r>
        <w:rPr>
          <w:rtl w:val="true"/>
        </w:rPr>
        <w:t xml:space="preserve">, </w:t>
      </w:r>
      <w:r>
        <w:rPr>
          <w:rtl w:val="true"/>
        </w:rPr>
        <w:t>הכנה והיעדר קנטור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בהתאם </w:t>
      </w:r>
      <w:hyperlink r:id="rId45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בנוסחו הקודם</w:t>
      </w:r>
      <w:r>
        <w:rPr>
          <w:rtl w:val="true"/>
        </w:rPr>
        <w:t xml:space="preserve">, </w:t>
      </w:r>
      <w:r>
        <w:rPr>
          <w:rtl w:val="true"/>
        </w:rPr>
        <w:t xml:space="preserve">ברכיב </w:t>
      </w:r>
      <w:r>
        <w:rPr>
          <w:rtl w:val="true"/>
        </w:rPr>
        <w:t>"</w:t>
      </w:r>
      <w:r>
        <w:rPr>
          <w:rtl w:val="true"/>
        </w:rPr>
        <w:t>החלטה להמית</w:t>
      </w:r>
      <w:r>
        <w:rPr>
          <w:rtl w:val="true"/>
        </w:rPr>
        <w:t xml:space="preserve">" </w:t>
      </w:r>
      <w:r>
        <w:rPr>
          <w:rtl w:val="true"/>
        </w:rPr>
        <w:t xml:space="preserve">נדרש להוכיח כי הנאשם צפה את התוצאה הקטלנית ורצה בהתגשמותה </w:t>
      </w:r>
      <w:r>
        <w:rPr>
          <w:rtl w:val="true"/>
        </w:rPr>
        <w:t>(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3239/14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חמאיסה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49-46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8.11.2016</w:t>
      </w:r>
      <w:r>
        <w:rPr>
          <w:rtl w:val="true"/>
        </w:rPr>
        <w:t>)</w:t>
      </w:r>
      <w:r>
        <w:rPr>
          <w:rtl w:val="true"/>
        </w:rPr>
        <w:t xml:space="preserve">); </w:t>
      </w:r>
      <w:r>
        <w:rPr>
          <w:rtl w:val="true"/>
        </w:rPr>
        <w:t>ברכיב ה</w:t>
      </w:r>
      <w:r>
        <w:rPr>
          <w:rtl w:val="true"/>
        </w:rPr>
        <w:t>"</w:t>
      </w:r>
      <w:r>
        <w:rPr>
          <w:rtl w:val="true"/>
        </w:rPr>
        <w:t>הכנה</w:t>
      </w:r>
      <w:r>
        <w:rPr>
          <w:rtl w:val="true"/>
        </w:rPr>
        <w:t xml:space="preserve">" </w:t>
      </w:r>
      <w:r>
        <w:rPr>
          <w:rtl w:val="true"/>
        </w:rPr>
        <w:t xml:space="preserve">נבחנות ההכנות המעשיות שערך הנאשם כדי לממש את החלטתו להמית את הקורבן </w:t>
      </w:r>
      <w:r>
        <w:rPr>
          <w:rtl w:val="true"/>
        </w:rPr>
        <w:t>(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8107/10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9.9.2013</w:t>
      </w:r>
      <w:r>
        <w:rPr>
          <w:rtl w:val="true"/>
        </w:rPr>
        <w:t>)</w:t>
      </w:r>
      <w:r>
        <w:rPr>
          <w:rtl w:val="true"/>
        </w:rPr>
        <w:t xml:space="preserve">); </w:t>
      </w:r>
      <w:r>
        <w:rPr>
          <w:rtl w:val="true"/>
        </w:rPr>
        <w:t xml:space="preserve">וברכיב </w:t>
      </w:r>
      <w:r>
        <w:rPr>
          <w:rtl w:val="true"/>
        </w:rPr>
        <w:t>"</w:t>
      </w:r>
      <w:r>
        <w:rPr>
          <w:rtl w:val="true"/>
        </w:rPr>
        <w:t>היעדר קנטור</w:t>
      </w:r>
      <w:r>
        <w:rPr>
          <w:rtl w:val="true"/>
        </w:rPr>
        <w:t xml:space="preserve">" </w:t>
      </w:r>
      <w:r>
        <w:rPr>
          <w:rtl w:val="true"/>
        </w:rPr>
        <w:t>יש להראות כי הרצח בוצע בדם קר ומבלי שקדמה לו התגרות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לצורך כך ייבחן האם הנאשם הושפע בפועל מן הקנטור וכן כיצד היה מגיב אדם סביר להתגרות כלפיו </w:t>
      </w:r>
      <w:r>
        <w:rPr>
          <w:rtl w:val="true"/>
        </w:rPr>
        <w:t>(</w:t>
      </w:r>
      <w:r>
        <w:rPr>
          <w:rtl w:val="true"/>
        </w:rPr>
        <w:t xml:space="preserve">ראו בהרחבה בפסק דינו של חברי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 xml:space="preserve"> ב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עאמר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36-22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7.7.2022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עאמר</w:t>
      </w:r>
      <w:r>
        <w:rPr>
          <w:rtl w:val="true"/>
        </w:rPr>
        <w:t>))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משהמערער הודה כי ירה את הירייה הקטלנית בראשו של המנוח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שגרמה</w:t>
      </w:r>
      <w:r>
        <w:rPr>
          <w:rtl w:val="true"/>
        </w:rPr>
        <w:t xml:space="preserve"> למותו</w:t>
      </w:r>
      <w:r>
        <w:rPr>
          <w:rtl w:val="true"/>
        </w:rPr>
        <w:t xml:space="preserve">, </w:t>
      </w:r>
      <w:r>
        <w:rPr>
          <w:rtl w:val="true"/>
        </w:rPr>
        <w:t xml:space="preserve">התקיים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העובדתי</w:t>
      </w:r>
      <w:r>
        <w:rPr>
          <w:rtl w:val="true"/>
        </w:rPr>
        <w:t xml:space="preserve"> של עבירת הרצח בכוונה תחילה</w:t>
      </w:r>
      <w:r>
        <w:rPr>
          <w:rtl w:val="true"/>
        </w:rPr>
        <w:t xml:space="preserve">. </w:t>
      </w:r>
      <w:r>
        <w:rPr>
          <w:rtl w:val="true"/>
        </w:rPr>
        <w:t xml:space="preserve">אשר ליסוד הנפשי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רכיב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ההכנה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התממש</w:t>
      </w:r>
      <w:r>
        <w:rPr>
          <w:rtl w:val="true"/>
        </w:rPr>
        <w:t xml:space="preserve">, </w:t>
      </w:r>
      <w:r>
        <w:rPr>
          <w:rtl w:val="true"/>
        </w:rPr>
        <w:t>לכל הפחות למן הרגע שבו המערער שלף את האקדח</w:t>
      </w:r>
      <w:r>
        <w:rPr>
          <w:rtl w:val="true"/>
        </w:rPr>
        <w:t xml:space="preserve">, </w:t>
      </w:r>
      <w:r>
        <w:rPr>
          <w:rtl w:val="true"/>
        </w:rPr>
        <w:t xml:space="preserve">דרך אותו וירה לעבר ראשו של המנוח </w:t>
      </w:r>
      <w:r>
        <w:rPr>
          <w:rtl w:val="true"/>
        </w:rPr>
        <w:t>(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1902/10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</w:t>
      </w:r>
      <w:r>
        <w:rPr/>
        <w:t>.</w:t>
      </w:r>
      <w:r>
        <w:rPr/>
        <w:t>1</w:t>
      </w:r>
      <w:r>
        <w:rPr/>
        <w:t>.2013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tl w:val="true"/>
        </w:rPr>
        <w:t xml:space="preserve"> את המנוח נלמדת</w:t>
      </w:r>
      <w:r>
        <w:rPr>
          <w:rtl w:val="true"/>
        </w:rPr>
        <w:t xml:space="preserve">, </w:t>
      </w:r>
      <w:r>
        <w:rPr>
          <w:rtl w:val="true"/>
        </w:rPr>
        <w:t>בהתאם ל</w:t>
      </w:r>
      <w:r>
        <w:rPr>
          <w:rtl w:val="true"/>
        </w:rPr>
        <w:t>"</w:t>
      </w:r>
      <w:r>
        <w:rPr>
          <w:rtl w:val="true"/>
        </w:rPr>
        <w:t>חזקת הכוונה</w:t>
      </w:r>
      <w:r>
        <w:rPr>
          <w:rtl w:val="true"/>
        </w:rPr>
        <w:t xml:space="preserve">" </w:t>
      </w:r>
      <w:r>
        <w:rPr>
          <w:rtl w:val="true"/>
        </w:rPr>
        <w:t>ולניסיון החיים הכללי</w:t>
      </w:r>
      <w:r>
        <w:rPr>
          <w:rtl w:val="true"/>
        </w:rPr>
        <w:t xml:space="preserve">, </w:t>
      </w:r>
      <w:r>
        <w:rPr>
          <w:rtl w:val="true"/>
        </w:rPr>
        <w:t xml:space="preserve">מכך שעשה שימוש באקדח המסוגל להמית וירה באמצעותו מטווח קצר של פחות ממטר לעבר ראשו של המנוח באופן אשר גרם למותו </w:t>
      </w:r>
      <w:r>
        <w:rPr>
          <w:rtl w:val="true"/>
        </w:rPr>
        <w:t>(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1213/21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</w:t>
      </w:r>
      <w:r>
        <w:rPr/>
        <w:t>8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וואסה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יש לדחות את טענת המערער 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קונטר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עובר למעשה הרצח</w:t>
      </w:r>
      <w:r>
        <w:rPr>
          <w:rtl w:val="true"/>
        </w:rPr>
        <w:t xml:space="preserve">. </w:t>
      </w:r>
      <w:r>
        <w:rPr>
          <w:rtl w:val="true"/>
        </w:rPr>
        <w:t xml:space="preserve">המערער מתאר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בסיטואציה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מלחיצה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צפויה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משפחתו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ספגו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קשה</w:t>
      </w:r>
      <w:r>
        <w:rPr>
          <w:rtl w:val="true"/>
        </w:rPr>
        <w:t xml:space="preserve">"; </w:t>
      </w:r>
      <w:r>
        <w:rPr>
          <w:rtl w:val="true"/>
        </w:rPr>
        <w:t>וכי נחשף למראות קשים</w:t>
      </w:r>
      <w:r>
        <w:rPr>
          <w:rtl w:val="true"/>
        </w:rPr>
        <w:t xml:space="preserve">, </w:t>
      </w:r>
      <w:r>
        <w:rPr>
          <w:rtl w:val="true"/>
        </w:rPr>
        <w:t>בכללם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כשפניו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מעוו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וזבות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דם</w:t>
      </w:r>
      <w:r>
        <w:rPr>
          <w:rtl w:val="true"/>
        </w:rPr>
        <w:t xml:space="preserve">". </w:t>
      </w:r>
      <w:r>
        <w:rPr>
          <w:rtl w:val="true"/>
        </w:rPr>
        <w:t>תיעוד האירוע אכן מלמד כי בנו של המערער</w:t>
      </w:r>
      <w:r>
        <w:rPr>
          <w:rtl w:val="true"/>
        </w:rPr>
        <w:t xml:space="preserve">,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 xml:space="preserve">אשר היה בן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במועד האירוע</w:t>
      </w:r>
      <w:r>
        <w:rPr>
          <w:rtl w:val="true"/>
        </w:rPr>
        <w:t xml:space="preserve">, </w:t>
      </w:r>
      <w:r>
        <w:rPr>
          <w:rtl w:val="true"/>
        </w:rPr>
        <w:t>נפצע בפניו במהלך הקטטה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מדובר במספר חבלות בפיו</w:t>
      </w:r>
      <w:r>
        <w:rPr>
          <w:rtl w:val="true"/>
        </w:rPr>
        <w:t xml:space="preserve">, </w:t>
      </w:r>
      <w:r>
        <w:rPr>
          <w:rtl w:val="true"/>
        </w:rPr>
        <w:t xml:space="preserve">כפי שניתן להבחין מתצלומי בית החולים לאחר האירוע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תמונה 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). </w:t>
      </w:r>
      <w:r>
        <w:rPr>
          <w:rtl w:val="true"/>
        </w:rPr>
        <w:t>קיים אפוא מרחק רב בין פגיעות אלו לבין דרך תיאורן מפי המערער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המכה שיוסף ספג לא הדירה אותו ממעורבות בקטטה</w:t>
      </w:r>
      <w:r>
        <w:rPr>
          <w:rtl w:val="true"/>
        </w:rPr>
        <w:t xml:space="preserve">, </w:t>
      </w:r>
      <w:r>
        <w:rPr>
          <w:rtl w:val="true"/>
        </w:rPr>
        <w:t>והוא המשיך וניסה לתקוף שוב ושוב את המנוח באמצעות בעיטות ואף ניסה להיעזר בקסדת האופנוע של אחיו</w:t>
      </w:r>
      <w:r>
        <w:rPr>
          <w:rtl w:val="true"/>
        </w:rPr>
        <w:t xml:space="preserve">, </w:t>
      </w:r>
      <w:r>
        <w:rPr>
          <w:rtl w:val="true"/>
        </w:rPr>
        <w:t>באופן המלמד על כך שכוחו היה במותניו חרף הפציעה האמורה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אף שיוסף נפצע ודימם וכך נצפה על ידי אביו</w:t>
      </w:r>
      <w:r>
        <w:rPr>
          <w:rtl w:val="true"/>
        </w:rPr>
        <w:t xml:space="preserve">, </w:t>
      </w:r>
      <w:r>
        <w:rPr>
          <w:rtl w:val="true"/>
        </w:rPr>
        <w:t xml:space="preserve">פציעה זו אינה מהווה התגרות או קנטור אובייקטיבי המעביר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סביר</w:t>
      </w:r>
      <w:r>
        <w:rPr>
          <w:rtl w:val="true"/>
        </w:rPr>
        <w:t xml:space="preserve"> על דעתו עד כדי חוסר יכולת להשתלט על דחף הנקמה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גם מנקודת מבטו הסובייקטיבית של המערער</w:t>
      </w:r>
      <w:r>
        <w:rPr>
          <w:rtl w:val="true"/>
        </w:rPr>
        <w:t xml:space="preserve">, </w:t>
      </w:r>
      <w:r>
        <w:rPr>
          <w:rtl w:val="true"/>
        </w:rPr>
        <w:t>הוא לא קונטר עובר לרצח</w:t>
      </w:r>
      <w:r>
        <w:rPr>
          <w:rtl w:val="true"/>
        </w:rPr>
        <w:t xml:space="preserve">. </w:t>
      </w:r>
      <w:r>
        <w:rPr>
          <w:rtl w:val="true"/>
        </w:rPr>
        <w:t>בתיעוד המצלמות ניכר כי המערער היה נחוש ומחושב בפעולותיו בזמן אמת</w:t>
      </w:r>
      <w:r>
        <w:rPr>
          <w:rtl w:val="true"/>
        </w:rPr>
        <w:t xml:space="preserve">, </w:t>
      </w:r>
      <w:r>
        <w:rPr>
          <w:rtl w:val="true"/>
        </w:rPr>
        <w:t>הוא ניגש באופן מידי ללב ההתגוששות</w:t>
      </w:r>
      <w:r>
        <w:rPr>
          <w:rtl w:val="true"/>
        </w:rPr>
        <w:t xml:space="preserve">, </w:t>
      </w:r>
      <w:r>
        <w:rPr>
          <w:rtl w:val="true"/>
        </w:rPr>
        <w:t>חצץ בין המנוח ובנו</w:t>
      </w:r>
      <w:r>
        <w:rPr>
          <w:rtl w:val="true"/>
        </w:rPr>
        <w:t xml:space="preserve">, </w:t>
      </w:r>
      <w:r>
        <w:rPr>
          <w:rtl w:val="true"/>
        </w:rPr>
        <w:t>הפריד בניהם ואף מנע מבנו לשוב ולהכות את המנוח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המערער שלף את אקדחו וירה פעמיים במנוח כאשר ירייה אחת כוונה לראשו</w:t>
      </w:r>
      <w:r>
        <w:rPr>
          <w:rtl w:val="true"/>
        </w:rPr>
        <w:t xml:space="preserve">. </w:t>
      </w:r>
      <w:r>
        <w:rPr>
          <w:rtl w:val="true"/>
        </w:rPr>
        <w:t xml:space="preserve">לאורך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השניות שחלפו למן הרגע שניגש לזירת הקטטה ועד לרצח המנוח</w:t>
      </w:r>
      <w:r>
        <w:rPr>
          <w:rtl w:val="true"/>
        </w:rPr>
        <w:t xml:space="preserve">, </w:t>
      </w:r>
      <w:r>
        <w:rPr>
          <w:rtl w:val="true"/>
        </w:rPr>
        <w:t>ניכר כי המערער פעל באופן שקול ולא כאדם הפועל ללא מעצורים בתגובה להתגרות כלפיו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גם הרכיב השלישי בדרישת היסוד הנפשי של עבירת הרצח בכוונה תחילה מתקיים משהמערער לא קונטר עובר למעשה הרצח</w:t>
      </w:r>
      <w:r>
        <w:rPr>
          <w:rtl w:val="true"/>
        </w:rPr>
        <w:t xml:space="preserve">. </w:t>
      </w:r>
      <w:r>
        <w:rPr>
          <w:rtl w:val="true"/>
        </w:rPr>
        <w:t xml:space="preserve">היטיב לסכם זאת שופט בית המשפט המחוזי סגן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אליקים</w:t>
      </w:r>
      <w:r>
        <w:rPr>
          <w:rtl w:val="true"/>
        </w:rPr>
        <w:t xml:space="preserve"> בקבעו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תגובה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להתגרות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הצטרפות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משפחתית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']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למאבק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האלים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בצד בחינת רכיבי היסוד הנפשי של עבירת הרצח בכוונה תחילה</w:t>
      </w:r>
      <w:r>
        <w:rPr>
          <w:rtl w:val="true"/>
        </w:rPr>
        <w:t xml:space="preserve">, </w:t>
      </w:r>
      <w:r>
        <w:rPr>
          <w:rtl w:val="true"/>
        </w:rPr>
        <w:t xml:space="preserve">לעמדת המערער שהה בעת האירוע במצב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דיסוציאטיבי</w:t>
      </w:r>
      <w:r>
        <w:rPr>
          <w:rtl w:val="true"/>
        </w:rPr>
        <w:t xml:space="preserve"> אשר מנע ממנו לגבש כוונה תחילה לרצח המנוח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על יסוד האמור עד כה </w:t>
      </w:r>
      <w:r>
        <w:rPr>
          <w:rtl w:val="true"/>
        </w:rPr>
        <w:t>–</w:t>
      </w:r>
      <w:r>
        <w:rPr>
          <w:rtl w:val="true"/>
        </w:rPr>
        <w:t xml:space="preserve"> לא כך הם פני הדברים</w:t>
      </w:r>
      <w:r>
        <w:rPr>
          <w:rtl w:val="true"/>
        </w:rPr>
        <w:t xml:space="preserve">. </w:t>
      </w:r>
      <w:r>
        <w:rPr>
          <w:rtl w:val="true"/>
        </w:rPr>
        <w:t>כמפורט לעיל</w:t>
      </w:r>
      <w:r>
        <w:rPr>
          <w:rtl w:val="true"/>
        </w:rPr>
        <w:t xml:space="preserve">, </w:t>
      </w:r>
      <w:r>
        <w:rPr>
          <w:rtl w:val="true"/>
        </w:rPr>
        <w:t>תיעוד האירועים כפי שנקלטו במצלמות מלמד כי התנהלות המערער במהלך האירועים אינה כשל אדם המנותק מהמציאות אלא כאדם המודע היטב למעשיו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לאחר שבית המשפט המחוזי התרשם מעדות המערער</w:t>
      </w:r>
      <w:r>
        <w:rPr>
          <w:rtl w:val="true"/>
        </w:rPr>
        <w:t xml:space="preserve">, </w:t>
      </w:r>
      <w:r>
        <w:rPr>
          <w:rtl w:val="true"/>
        </w:rPr>
        <w:t>הוא קבע כי גרסתו בדבר אובדן הזיכרון וכניסתו למצב של ניתוק היא בלתי אמינה</w:t>
      </w:r>
      <w:r>
        <w:rPr>
          <w:rtl w:val="true"/>
        </w:rPr>
        <w:t xml:space="preserve">, </w:t>
      </w:r>
      <w:r>
        <w:rPr>
          <w:rtl w:val="true"/>
        </w:rPr>
        <w:t>רצופת סתירות וחסרת היגיון</w:t>
      </w:r>
      <w:r>
        <w:rPr>
          <w:rtl w:val="true"/>
        </w:rPr>
        <w:t xml:space="preserve">. </w:t>
      </w:r>
      <w:r>
        <w:rPr>
          <w:rtl w:val="true"/>
        </w:rPr>
        <w:t>בעניין זה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לערכאה הדיונית יתרון מובהק ומהותי על פני ערכאת הערעור</w:t>
      </w:r>
      <w:r>
        <w:rPr>
          <w:rtl w:val="true"/>
        </w:rPr>
        <w:t xml:space="preserve">, </w:t>
      </w:r>
      <w:r>
        <w:rPr>
          <w:rtl w:val="true"/>
        </w:rPr>
        <w:t xml:space="preserve">ועל כן התערבות ערכאת הערעור תיעשה במשורה </w:t>
      </w:r>
      <w:r>
        <w:rPr>
          <w:rtl w:val="true"/>
        </w:rPr>
        <w:t>(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7049/20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אלטורה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26.6.2022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אף איני רואה להתערב בבחירת בית המשפט המחוזי לאמץ את חוות דעתה של ד</w:t>
      </w:r>
      <w:r>
        <w:rPr>
          <w:rtl w:val="true"/>
        </w:rPr>
        <w:t>"</w:t>
      </w:r>
      <w:r>
        <w:rPr>
          <w:rtl w:val="true"/>
        </w:rPr>
        <w:t xml:space="preserve">ר נעון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115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115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ולדחות את חוות הדעת של פרופ</w:t>
      </w:r>
      <w:r>
        <w:rPr>
          <w:rtl w:val="true"/>
        </w:rPr>
        <w:t xml:space="preserve">' </w:t>
      </w:r>
      <w:r>
        <w:rPr>
          <w:rtl w:val="true"/>
        </w:rPr>
        <w:t xml:space="preserve">טיאנו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19</w:t>
      </w:r>
      <w:r>
        <w:rPr>
          <w:rtl w:val="true"/>
        </w:rPr>
        <w:t xml:space="preserve">) </w:t>
      </w:r>
      <w:r>
        <w:rPr>
          <w:rtl w:val="true"/>
        </w:rPr>
        <w:t xml:space="preserve">והפסיכולוגית דנון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17</w:t>
      </w:r>
      <w:r>
        <w:rPr>
          <w:rtl w:val="true"/>
        </w:rPr>
        <w:t xml:space="preserve">). </w:t>
      </w:r>
      <w:r>
        <w:rPr>
          <w:rtl w:val="true"/>
        </w:rPr>
        <w:t xml:space="preserve">שהרי נקבע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הערכאה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רעותה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התערבותה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ערכאת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בבחירה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מצומצמת</w:t>
      </w:r>
      <w:r>
        <w:rPr>
          <w:rtl w:val="true"/>
        </w:rPr>
        <w:t>" (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דאהן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</w:t>
      </w:r>
      <w:r>
        <w:rPr/>
        <w:t>6</w:t>
      </w:r>
      <w:r>
        <w:rPr/>
        <w:t>.2019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לגוף הדברים</w:t>
      </w:r>
      <w:r>
        <w:rPr>
          <w:rtl w:val="true"/>
        </w:rPr>
        <w:t xml:space="preserve">, </w:t>
      </w:r>
      <w:r>
        <w:rPr>
          <w:rtl w:val="true"/>
        </w:rPr>
        <w:t>הרי שחוות דעתה של ד</w:t>
      </w:r>
      <w:r>
        <w:rPr>
          <w:rtl w:val="true"/>
        </w:rPr>
        <w:t>"</w:t>
      </w:r>
      <w:r>
        <w:rPr>
          <w:rtl w:val="true"/>
        </w:rPr>
        <w:t>ר נעון נערכה בסמוך להתרחשות האירועים עת המערער אושפז בבית החולים לצורך הסתכלות</w:t>
      </w:r>
      <w:r>
        <w:rPr>
          <w:rtl w:val="true"/>
        </w:rPr>
        <w:t xml:space="preserve">, </w:t>
      </w:r>
      <w:r>
        <w:rPr>
          <w:rtl w:val="true"/>
        </w:rPr>
        <w:t>ואילו חוות הדעת של פרופ</w:t>
      </w:r>
      <w:r>
        <w:rPr>
          <w:rtl w:val="true"/>
        </w:rPr>
        <w:t xml:space="preserve">' </w:t>
      </w:r>
      <w:r>
        <w:rPr>
          <w:rtl w:val="true"/>
        </w:rPr>
        <w:t>טיאנו ושל הפסיכולוגית דנון נערכו בחלוף זמן ניכר מקרות האירועים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 xml:space="preserve">כי התשתית העובדתית עליהן הן מסתמכות </w:t>
      </w:r>
      <w:r>
        <w:rPr>
          <w:rtl w:val="true"/>
        </w:rPr>
        <w:t>–</w:t>
      </w:r>
      <w:r>
        <w:rPr>
          <w:rtl w:val="true"/>
        </w:rPr>
        <w:t xml:space="preserve"> רעועה</w:t>
      </w:r>
      <w:r>
        <w:rPr>
          <w:rtl w:val="true"/>
        </w:rPr>
        <w:t xml:space="preserve">, </w:t>
      </w:r>
      <w:r>
        <w:rPr>
          <w:rtl w:val="true"/>
        </w:rPr>
        <w:t>והן חיות במידה רבה מפיו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אשר גרסאותיו אינן מהימנות </w:t>
      </w:r>
      <w:r>
        <w:rPr>
          <w:rtl w:val="true"/>
        </w:rPr>
        <w:t>(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1839/15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גטאהון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</w:t>
      </w:r>
      <w:r>
        <w:rPr/>
        <w:t>5</w:t>
      </w:r>
      <w:r>
        <w:rPr/>
        <w:t>.2016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ראו בהרחבה</w:t>
      </w:r>
      <w:r>
        <w:rPr>
          <w:rtl w:val="true"/>
        </w:rPr>
        <w:t xml:space="preserve">: </w:t>
      </w:r>
      <w:r>
        <w:rPr>
          <w:rtl w:val="true"/>
        </w:rPr>
        <w:t xml:space="preserve">יוסף אלרון </w:t>
      </w:r>
      <w:r>
        <w:rPr>
          <w:rtl w:val="true"/>
        </w:rPr>
        <w:t>"</w:t>
      </w:r>
      <w:r>
        <w:rPr>
          <w:rtl w:val="true"/>
        </w:rPr>
        <w:t>חוות דעת פסיכיאטריות מנוגדות</w:t>
      </w:r>
      <w:r>
        <w:rPr>
          <w:rtl w:val="true"/>
        </w:rPr>
        <w:t xml:space="preserve">: </w:t>
      </w:r>
      <w:r>
        <w:rPr>
          <w:rtl w:val="true"/>
        </w:rPr>
        <w:t>השיקולים שבבסיס ההכרעה השיפוטית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סוגיות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בפסיכולוגיה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ואתיקה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אבחון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טיפול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ושיפוט</w:t>
      </w:r>
      <w:r>
        <w:rPr>
          <w:rtl w:val="true"/>
        </w:rPr>
        <w:t xml:space="preserve"> </w:t>
      </w:r>
      <w:r>
        <w:rPr/>
        <w:t>181</w:t>
      </w:r>
      <w:r>
        <w:rPr>
          <w:rtl w:val="true"/>
        </w:rPr>
        <w:t xml:space="preserve">, </w:t>
      </w:r>
      <w:r>
        <w:rPr/>
        <w:t>187-185</w:t>
      </w:r>
      <w:r>
        <w:rPr>
          <w:rtl w:val="true"/>
        </w:rPr>
        <w:t xml:space="preserve">, </w:t>
      </w:r>
      <w:r>
        <w:rPr/>
        <w:t>199-195</w:t>
      </w:r>
      <w:r>
        <w:rPr>
          <w:rtl w:val="true"/>
        </w:rPr>
        <w:t xml:space="preserve"> (</w:t>
      </w:r>
      <w:r>
        <w:rPr/>
        <w:t>2008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איני מוצא ממש בהשגות המערער על הרשעתו בעבירת ניסיון לרצח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אין חולק כי המערער מיד אחרי הירי בראשו של המנוח רדף אחרי ראזי כשאקדח שלוף בידו</w:t>
      </w:r>
      <w:r>
        <w:rPr>
          <w:rtl w:val="true"/>
        </w:rPr>
        <w:t xml:space="preserve">. </w:t>
      </w:r>
      <w:r>
        <w:rPr>
          <w:rtl w:val="true"/>
        </w:rPr>
        <w:t xml:space="preserve">כך עולה מתיעוד המצלמות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22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תיעוד מצלמת המכולת החיצונית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56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תיעוד מצלמת מסעדת אנגוס</w:t>
      </w:r>
      <w:r>
        <w:rPr>
          <w:rtl w:val="true"/>
        </w:rPr>
        <w:t xml:space="preserve">, </w:t>
      </w:r>
      <w:r>
        <w:rPr>
          <w:rFonts w:cs="Times New Roman" w:ascii="Times New Roman" w:hAnsi="Times New Roman"/>
        </w:rPr>
        <w:t>cam 15</w:t>
      </w:r>
      <w:r>
        <w:rPr/>
        <w:t xml:space="preserve">, </w:t>
      </w:r>
      <w:r>
        <w:rPr/>
        <w:t>20:26:54-20:27:05</w:t>
      </w:r>
      <w:r>
        <w:rPr>
          <w:rtl w:val="true"/>
        </w:rPr>
        <w:t xml:space="preserve">); </w:t>
      </w:r>
      <w:r>
        <w:rPr>
          <w:rtl w:val="true"/>
        </w:rPr>
        <w:t>וכך הודה המערער בסיכומיו בבית המשפט המחוזי</w:t>
      </w:r>
      <w:r>
        <w:rPr>
          <w:rtl w:val="true"/>
        </w:rPr>
        <w:t xml:space="preserve">. </w:t>
      </w:r>
      <w:r>
        <w:rPr>
          <w:rtl w:val="true"/>
        </w:rPr>
        <w:t>אף אם המערער לא ירה ולו כדור אחד לעברו של ראזי</w:t>
      </w:r>
      <w:r>
        <w:rPr>
          <w:rtl w:val="true"/>
        </w:rPr>
        <w:t xml:space="preserve">, </w:t>
      </w:r>
      <w:r>
        <w:rPr>
          <w:rtl w:val="true"/>
        </w:rPr>
        <w:t xml:space="preserve">ניכר כי מעשיו חצו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משמעותי</w:t>
      </w:r>
      <w:r>
        <w:rPr>
          <w:rtl w:val="true"/>
        </w:rPr>
        <w:t xml:space="preserve"> משלב ההכנה לעבר שלב הניסיון העניש</w:t>
      </w:r>
      <w:r>
        <w:rPr>
          <w:rtl w:val="true"/>
        </w:rPr>
        <w:t xml:space="preserve">, </w:t>
      </w:r>
      <w:r>
        <w:rPr>
          <w:rtl w:val="true"/>
        </w:rPr>
        <w:t xml:space="preserve">וזאת בהתאם למבחנים המקובלים בפסיקה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החד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משמעות</w:t>
      </w:r>
      <w:r>
        <w:rPr>
          <w:rtl w:val="true"/>
        </w:rPr>
        <w:t xml:space="preserve">; </w:t>
      </w:r>
      <w:r>
        <w:rPr>
          <w:rtl w:val="true"/>
        </w:rPr>
        <w:t xml:space="preserve">ומבחן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הקרבה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המספקת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1996/11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נחאל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23.12.2014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8449/17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38-37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</w:t>
      </w:r>
      <w:r>
        <w:rPr/>
        <w:t>6</w:t>
      </w:r>
      <w:r>
        <w:rPr/>
        <w:t>.2019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המערער הגיע לזירה כשהוא נושא על גופו אקדח ובו מחסנית טעונה בכדורים</w:t>
      </w:r>
      <w:r>
        <w:rPr>
          <w:rtl w:val="true"/>
        </w:rPr>
        <w:t xml:space="preserve">, </w:t>
      </w:r>
      <w:r>
        <w:rPr>
          <w:rtl w:val="true"/>
        </w:rPr>
        <w:t>בסמוך דרך את האקדח וירה לעברו של המנוח שתי יריות כאשר האחת מהן מכוונת ומדויקת לעבר ראשו של המנוח</w:t>
      </w:r>
      <w:r>
        <w:rPr>
          <w:rtl w:val="true"/>
        </w:rPr>
        <w:t xml:space="preserve">. </w:t>
      </w:r>
      <w:r>
        <w:rPr>
          <w:rtl w:val="true"/>
        </w:rPr>
        <w:t>מיד לאחר מכן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החל במרדף אחרי ראזי אשר נס על חייו</w:t>
      </w:r>
      <w:r>
        <w:rPr>
          <w:rtl w:val="true"/>
        </w:rPr>
        <w:t xml:space="preserve">, </w:t>
      </w:r>
      <w:r>
        <w:rPr>
          <w:rtl w:val="true"/>
        </w:rPr>
        <w:t xml:space="preserve">דרך רחובות מקבילים בעוד האקדח </w:t>
      </w:r>
      <w:r>
        <w:rPr>
          <w:rtl w:val="true"/>
        </w:rPr>
        <w:t>"</w:t>
      </w:r>
      <w:r>
        <w:rPr>
          <w:rtl w:val="true"/>
        </w:rPr>
        <w:t>המעשן</w:t>
      </w:r>
      <w:r>
        <w:rPr>
          <w:rtl w:val="true"/>
        </w:rPr>
        <w:t xml:space="preserve">" </w:t>
      </w:r>
      <w:r>
        <w:rPr>
          <w:rtl w:val="true"/>
        </w:rPr>
        <w:t>שבידו מכוון בכיוון מנוסתו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ברי כי פעולות המערער יצאו בבירור מגדרי פעולות הכנה גרידא והן חלק משלב הניסיון לרצח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גם בהקשר זה המערער מבקש להסתמך על טענתו כי היה במצב דיסוציאטיבי אשר מנע ממנו לגבש כוונה תחילה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כשם שטענה זו נדחתה ביחס להרשעתו בעבירת הרצח בכוונה תחילה</w:t>
      </w:r>
      <w:r>
        <w:rPr>
          <w:rtl w:val="true"/>
        </w:rPr>
        <w:t xml:space="preserve">, </w:t>
      </w:r>
      <w:r>
        <w:rPr>
          <w:rtl w:val="true"/>
        </w:rPr>
        <w:t>כמפורט לעיל</w:t>
      </w:r>
      <w:r>
        <w:rPr>
          <w:rtl w:val="true"/>
        </w:rPr>
        <w:t xml:space="preserve">, </w:t>
      </w:r>
      <w:r>
        <w:rPr>
          <w:rtl w:val="true"/>
        </w:rPr>
        <w:t>כך יש לדחותה גם בהקשר של עבירת הניסיון לרצח של ראזי</w:t>
      </w:r>
      <w:r>
        <w:rPr>
          <w:rtl w:val="true"/>
        </w:rPr>
        <w:t xml:space="preserve">. </w:t>
      </w:r>
      <w:r>
        <w:rPr>
          <w:rtl w:val="true"/>
        </w:rPr>
        <w:t>אף אין לקבל את טענות המערער בדבר טיב מעשיו ורצונותיו באותה העת</w:t>
      </w:r>
      <w:r>
        <w:rPr>
          <w:rtl w:val="true"/>
        </w:rPr>
        <w:t xml:space="preserve">, </w:t>
      </w:r>
      <w:r>
        <w:rPr>
          <w:rtl w:val="true"/>
        </w:rPr>
        <w:t>בהתחשב בכך שרדף אחרי ראזי כשאקדח שלוף בידו בעוד ראזי נס מהזירה לתוך סמטה צדדית וזאת מיד לאחר שהמערער רצח את אביו בירייה לראשו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סיכומם של דברים</w:t>
      </w:r>
      <w:r>
        <w:rPr>
          <w:rtl w:val="true"/>
        </w:rPr>
        <w:t xml:space="preserve">, </w:t>
      </w:r>
      <w:r>
        <w:rPr>
          <w:rtl w:val="true"/>
        </w:rPr>
        <w:t>איני מוצא ממש בטענות המערער כלפי הרשעתו בעבירות הרצח בכוונה תחילה ובניסיון לרצח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 כך הם פני הדברים באשר לחלקו האחר של הערעור ביחס לרפורמה בעבירות ההמתה ויישומה בנסיבות העניין</w:t>
      </w:r>
      <w:r>
        <w:rPr>
          <w:rtl w:val="true"/>
        </w:rPr>
        <w:t xml:space="preserve">. </w:t>
      </w:r>
      <w:r>
        <w:rPr>
          <w:rtl w:val="true"/>
        </w:rPr>
        <w:t>לכך אדרש כעת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יישום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ההמתה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במתן גזר דינו של בית המשפט המחוזי בעניינו של המערער</w:t>
      </w:r>
      <w:r>
        <w:rPr>
          <w:rtl w:val="true"/>
        </w:rPr>
        <w:t xml:space="preserve">, </w:t>
      </w:r>
      <w:r>
        <w:rPr>
          <w:rtl w:val="true"/>
        </w:rPr>
        <w:t>הרפורמה בעבירות ההמתה הייתה בראשית ימיה ובטרם התגבשה פסיקה מנחה של בית משפט זה</w:t>
      </w:r>
      <w:r>
        <w:rPr>
          <w:rtl w:val="true"/>
        </w:rPr>
        <w:t xml:space="preserve">. </w:t>
      </w:r>
      <w:r>
        <w:rPr>
          <w:rtl w:val="true"/>
        </w:rPr>
        <w:t>בחלוף הזמן</w:t>
      </w:r>
      <w:r>
        <w:rPr>
          <w:rtl w:val="true"/>
        </w:rPr>
        <w:t xml:space="preserve">, </w:t>
      </w:r>
      <w:r>
        <w:rPr>
          <w:rtl w:val="true"/>
        </w:rPr>
        <w:t>מצטברים פסקי דין המעצבים אט אט</w:t>
      </w:r>
      <w:r>
        <w:rPr>
          <w:rtl w:val="true"/>
        </w:rPr>
        <w:t xml:space="preserve">, </w:t>
      </w:r>
      <w:r>
        <w:rPr>
          <w:rtl w:val="true"/>
        </w:rPr>
        <w:t>כדרכה של רפורמה</w:t>
      </w:r>
      <w:r>
        <w:rPr>
          <w:rtl w:val="true"/>
        </w:rPr>
        <w:t xml:space="preserve">, </w:t>
      </w:r>
      <w:r>
        <w:rPr>
          <w:rtl w:val="true"/>
        </w:rPr>
        <w:t>את גדרי עבירות ההמתה החדשות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Arial TUR;Arial" w:ascii="Arial TUR;Arial" w:hAnsi="Arial TUR;Arial"/>
          <w:sz w:val="22"/>
          <w:rtl w:val="true"/>
        </w:rPr>
        <w:tab/>
      </w:r>
      <w:r>
        <w:rPr>
          <w:rtl w:val="true"/>
        </w:rPr>
        <w:t>הרפורמה בעבירות ההמתה נועדה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ליצור </w:t>
      </w:r>
      <w:r>
        <w:rPr>
          <w:rtl w:val="true"/>
        </w:rPr>
        <w:t>מדרג</w:t>
      </w:r>
      <w:r>
        <w:rPr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ישקף</w:t>
      </w:r>
      <w:r>
        <w:rPr>
          <w:rtl w:val="true"/>
        </w:rPr>
        <w:t xml:space="preserve"> </w:t>
      </w:r>
      <w:r>
        <w:rPr>
          <w:rtl w:val="true"/>
        </w:rPr>
        <w:t>הלימה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והעונשים</w:t>
      </w:r>
      <w:r>
        <w:rPr>
          <w:rtl w:val="true"/>
        </w:rPr>
        <w:t xml:space="preserve"> </w:t>
      </w:r>
      <w:r>
        <w:rPr>
          <w:rtl w:val="true"/>
        </w:rPr>
        <w:t>בצדן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8-7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1.6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לצורך כך</w:t>
      </w:r>
      <w:r>
        <w:rPr>
          <w:rtl w:val="true"/>
        </w:rPr>
        <w:t xml:space="preserve">, </w:t>
      </w:r>
      <w:r>
        <w:rPr>
          <w:rtl w:val="true"/>
        </w:rPr>
        <w:t xml:space="preserve">עבירת הרצח </w:t>
      </w:r>
      <w:r>
        <w:rPr>
          <w:rtl w:val="true"/>
        </w:rPr>
        <w:t>"</w:t>
      </w:r>
      <w:r>
        <w:rPr>
          <w:rtl w:val="true"/>
        </w:rPr>
        <w:t>הבסיסית</w:t>
      </w:r>
      <w:r>
        <w:rPr>
          <w:rtl w:val="true"/>
        </w:rPr>
        <w:t xml:space="preserve">" </w:t>
      </w:r>
      <w:r>
        <w:rPr>
          <w:rtl w:val="true"/>
        </w:rPr>
        <w:t xml:space="preserve">נועדה לחול על מקרי המתה </w:t>
      </w:r>
      <w:r>
        <w:rPr>
          <w:rtl w:val="true"/>
        </w:rPr>
        <w:t>"</w:t>
      </w:r>
      <w:r>
        <w:rPr>
          <w:rtl w:val="true"/>
        </w:rPr>
        <w:t>חמורים</w:t>
      </w:r>
      <w:r>
        <w:rPr>
          <w:rtl w:val="true"/>
        </w:rPr>
        <w:t xml:space="preserve">" </w:t>
      </w:r>
      <w:r>
        <w:rPr>
          <w:rtl w:val="true"/>
        </w:rPr>
        <w:t xml:space="preserve">ובגזירת העונש בגינה לבית המשפט מוקנה שיקול דעת רחב משהעונש בצדה הוא מאסר עולם כעונש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מרבי</w:t>
      </w:r>
      <w:r>
        <w:rPr>
          <w:rtl w:val="true"/>
        </w:rPr>
        <w:t xml:space="preserve">; </w:t>
      </w:r>
      <w:r>
        <w:rPr>
          <w:rtl w:val="true"/>
        </w:rPr>
        <w:t xml:space="preserve">ואילו עבירת הרצח בנסיבות מחמירות תחול על מקרי המתה </w:t>
      </w:r>
      <w:r>
        <w:rPr>
          <w:rtl w:val="true"/>
        </w:rPr>
        <w:t>"</w:t>
      </w:r>
      <w:r>
        <w:rPr>
          <w:rtl w:val="true"/>
        </w:rPr>
        <w:t>החמורים ביותר</w:t>
      </w:r>
      <w:r>
        <w:rPr>
          <w:rtl w:val="true"/>
        </w:rPr>
        <w:t xml:space="preserve">" </w:t>
      </w:r>
      <w:r>
        <w:rPr>
          <w:rtl w:val="true"/>
        </w:rPr>
        <w:t xml:space="preserve">אשר העונש בגינם הוא עונש מאסר עולם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דברי</w:t>
      </w:r>
      <w:r>
        <w:rPr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(</w:t>
      </w:r>
      <w:r>
        <w:rPr>
          <w:rtl w:val="true"/>
        </w:rPr>
        <w:t>הצעת</w:t>
      </w:r>
      <w:r>
        <w:rPr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 (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/>
        <w:t>166</w:t>
      </w:r>
      <w:r>
        <w:rPr>
          <w:rtl w:val="true"/>
        </w:rPr>
        <w:t xml:space="preserve">, </w:t>
      </w:r>
      <w:r>
        <w:rPr/>
        <w:t>169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פן החריג ייעשה לכלל וכדי שהתאמת אשמת הרוצח לעונש שנגזר עליו תהא מיטבית</w:t>
      </w:r>
      <w:r>
        <w:rPr>
          <w:rtl w:val="true"/>
        </w:rPr>
        <w:t xml:space="preserve">, </w:t>
      </w:r>
      <w:r>
        <w:rPr>
          <w:rtl w:val="true"/>
        </w:rPr>
        <w:t xml:space="preserve">עלינו להיזהר שמא עבירת הרצח בנסיבות מחמירות תתפשט יתר על המידה לתחומי עבירת הרצח </w:t>
      </w:r>
      <w:r>
        <w:rPr>
          <w:rtl w:val="true"/>
        </w:rPr>
        <w:t>"</w:t>
      </w:r>
      <w:r>
        <w:rPr>
          <w:rtl w:val="true"/>
        </w:rPr>
        <w:t>הבסיסית</w:t>
      </w:r>
      <w:r>
        <w:rPr>
          <w:rtl w:val="true"/>
        </w:rPr>
        <w:t>".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אם נפרש באופן רחב מן הראוי את הנסיבות המחמירות</w:t>
      </w:r>
      <w:r>
        <w:rPr>
          <w:rtl w:val="true"/>
        </w:rPr>
        <w:t xml:space="preserve">, </w:t>
      </w:r>
      <w:r>
        <w:rPr>
          <w:rtl w:val="true"/>
        </w:rPr>
        <w:t>ניסוג לעבר מצב הדברים שקדם לרפורמה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בניגוד לכוונת מנסחי הרפורמה והמחוקק</w:t>
      </w:r>
      <w:r>
        <w:rPr>
          <w:rtl w:val="true"/>
        </w:rPr>
        <w:t xml:space="preserve">, </w:t>
      </w:r>
      <w:r>
        <w:rPr>
          <w:rtl w:val="true"/>
        </w:rPr>
        <w:t>כפי שבאה לידי ביטוי בלשון החוק הנוכחי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כל אדם </w:t>
      </w:r>
      <w:r>
        <w:rPr>
          <w:rtl w:val="true"/>
        </w:rPr>
        <w:t>–</w:t>
      </w:r>
      <w:r>
        <w:rPr>
          <w:rtl w:val="true"/>
        </w:rPr>
        <w:t xml:space="preserve"> הוא עולם ומלואו</w:t>
      </w:r>
      <w:r>
        <w:rPr>
          <w:rtl w:val="true"/>
        </w:rPr>
        <w:t xml:space="preserve">. </w:t>
      </w:r>
      <w:r>
        <w:rPr>
          <w:rtl w:val="true"/>
        </w:rPr>
        <w:t>במקרה קודם ציינתי כי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ונותרה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לגזור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ונותר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שבדין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קדושת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נישא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השיקולים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והאינטרסים</w:t>
      </w:r>
      <w:r>
        <w:rPr>
          <w:rtl w:val="true"/>
        </w:rPr>
        <w:t>" 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וואסה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24</w:t>
      </w:r>
      <w:r>
        <w:rPr>
          <w:rtl w:val="true"/>
        </w:rPr>
        <w:t xml:space="preserve">). </w:t>
      </w:r>
      <w:r>
        <w:rPr>
          <w:rtl w:val="true"/>
        </w:rPr>
        <w:t>בכל זאת</w:t>
      </w:r>
      <w:r>
        <w:rPr>
          <w:rtl w:val="true"/>
        </w:rPr>
        <w:t xml:space="preserve">, </w:t>
      </w:r>
      <w:r>
        <w:rPr>
          <w:rtl w:val="true"/>
        </w:rPr>
        <w:t>לא כל שימוש בנשק חם יוצר סכנה ממשית לחיי אחרים מלבד הנרצח</w:t>
      </w:r>
      <w:r>
        <w:rPr>
          <w:rtl w:val="true"/>
        </w:rPr>
        <w:t xml:space="preserve">; </w:t>
      </w:r>
      <w:r>
        <w:rPr>
          <w:rtl w:val="true"/>
        </w:rPr>
        <w:t>לא כל רצח אלים ואכזרי עולה כדי אכזריות מיוחדת</w:t>
      </w:r>
      <w:r>
        <w:rPr>
          <w:rtl w:val="true"/>
        </w:rPr>
        <w:t xml:space="preserve">; </w:t>
      </w:r>
      <w:r>
        <w:rPr>
          <w:rtl w:val="true"/>
        </w:rPr>
        <w:t xml:space="preserve">וודאי שלא כל רצח המבוצע לאחר הרפורמה בא בגדרי הליך </w:t>
      </w:r>
      <w:r>
        <w:rPr>
          <w:rtl w:val="true"/>
        </w:rPr>
        <w:t>ממשי של שקילה וגיבוש החלטה להמית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 xml:space="preserve">ההקפדה על ההבחנה שבין עבירת הרצח </w:t>
      </w:r>
      <w:r>
        <w:rPr>
          <w:rtl w:val="true"/>
        </w:rPr>
        <w:t>"</w:t>
      </w:r>
      <w:r>
        <w:rPr>
          <w:rtl w:val="true"/>
        </w:rPr>
        <w:t>הבסיסית</w:t>
      </w:r>
      <w:r>
        <w:rPr>
          <w:rtl w:val="true"/>
        </w:rPr>
        <w:t xml:space="preserve">" </w:t>
      </w:r>
      <w:r>
        <w:rPr>
          <w:rtl w:val="true"/>
        </w:rPr>
        <w:t>לעבירת הרצח בנסיבות מחמירות אין משמעותה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>הקלה בעונשו של הרוצח</w:t>
      </w:r>
      <w:r>
        <w:rPr>
          <w:rtl w:val="true"/>
        </w:rPr>
        <w:t xml:space="preserve">. </w:t>
      </w:r>
      <w:r>
        <w:rPr>
          <w:rtl w:val="true"/>
        </w:rPr>
        <w:t>שיקול הדעת המוקנה לבית המשפט רחב הוא</w:t>
      </w:r>
      <w:r>
        <w:rPr>
          <w:rtl w:val="true"/>
        </w:rPr>
        <w:t xml:space="preserve">, </w:t>
      </w:r>
      <w:r>
        <w:rPr>
          <w:rtl w:val="true"/>
        </w:rPr>
        <w:t xml:space="preserve">ובמקרה המתאים ראוי לגזור עונש מאסר עולם אף בגדרי עבירת הרצח </w:t>
      </w:r>
      <w:r>
        <w:rPr>
          <w:rtl w:val="true"/>
        </w:rPr>
        <w:t>"</w:t>
      </w:r>
      <w:r>
        <w:rPr>
          <w:rtl w:val="true"/>
        </w:rPr>
        <w:t>הבסיסית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וואסה</w:t>
      </w:r>
      <w:r>
        <w:rPr>
          <w:rtl w:val="true"/>
        </w:rPr>
        <w:t xml:space="preserve">, </w:t>
      </w:r>
      <w:r>
        <w:rPr>
          <w:rtl w:val="true"/>
        </w:rPr>
        <w:t xml:space="preserve">בפסקאות </w:t>
      </w:r>
      <w:r>
        <w:rPr/>
        <w:t>26-21</w:t>
      </w:r>
      <w:r>
        <w:rPr>
          <w:rtl w:val="true"/>
        </w:rPr>
        <w:t xml:space="preserve">). </w:t>
      </w:r>
      <w:r>
        <w:rPr>
          <w:rtl w:val="true"/>
        </w:rPr>
        <w:t>הווה אומר</w:t>
      </w:r>
      <w:r>
        <w:rPr>
          <w:rtl w:val="true"/>
        </w:rPr>
        <w:t xml:space="preserve">, </w:t>
      </w:r>
      <w:r>
        <w:rPr>
          <w:rtl w:val="true"/>
        </w:rPr>
        <w:t>לצד הכרעתו הנורמטיבית של המחוקק כי ישנם מקרי רצח חמורים</w:t>
      </w:r>
      <w:r>
        <w:rPr>
          <w:rtl w:val="true"/>
        </w:rPr>
        <w:t xml:space="preserve">, </w:t>
      </w:r>
      <w:r>
        <w:rPr>
          <w:rtl w:val="true"/>
        </w:rPr>
        <w:t>ויש המגלמים נסיבות חמורות עוד יותר</w:t>
      </w:r>
      <w:r>
        <w:rPr>
          <w:rtl w:val="true"/>
        </w:rPr>
        <w:t xml:space="preserve">, </w:t>
      </w:r>
      <w:r>
        <w:rPr>
          <w:rtl w:val="true"/>
        </w:rPr>
        <w:t xml:space="preserve">ניצבת הכרעתו כי לעיתים העונש המתאים לרוצח </w:t>
      </w:r>
      <w:r>
        <w:rPr>
          <w:rtl w:val="true"/>
        </w:rPr>
        <w:t>–</w:t>
      </w:r>
      <w:r>
        <w:rPr>
          <w:rtl w:val="true"/>
        </w:rPr>
        <w:t xml:space="preserve"> זהה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רקע דברים אלו</w:t>
      </w:r>
      <w:r>
        <w:rPr>
          <w:rtl w:val="true"/>
        </w:rPr>
        <w:t xml:space="preserve">, </w:t>
      </w:r>
      <w:r>
        <w:rPr>
          <w:rtl w:val="true"/>
        </w:rPr>
        <w:t>אפנה לבחינת טענותיו הענייניות של המערער במישור זה</w:t>
      </w:r>
      <w:r>
        <w:rPr>
          <w:rtl w:val="true"/>
        </w:rPr>
        <w:t xml:space="preserve">. </w:t>
      </w:r>
      <w:r>
        <w:rPr>
          <w:rtl w:val="true"/>
        </w:rPr>
        <w:t xml:space="preserve">אין מחלוקת כי הרפורמה בעבירות ההמתה חלה על נסיבות ענייננו רק במקרה שבו היא מהווה דין מקל עם המערער </w:t>
      </w:r>
      <w:r>
        <w:rPr>
          <w:rtl w:val="true"/>
        </w:rPr>
        <w:t>(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6338/20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tl w:val="true"/>
        </w:rPr>
        <w:t xml:space="preserve"> </w:t>
      </w:r>
      <w:r>
        <w:rPr/>
        <w:t>11-10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7.7.2022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 xml:space="preserve">כאמור היה ומעשי המערער ייכנסו בגדרי עבירת הרצח בנסיבות מחמירות </w:t>
      </w:r>
      <w:r>
        <w:rPr>
          <w:rtl w:val="true"/>
        </w:rPr>
        <w:t>(</w:t>
      </w:r>
      <w:hyperlink r:id="rId5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אזי הרפורמה לא תהא דין מקל עבורו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בהיעדר 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או לחלופין בהתקיים </w:t>
      </w:r>
      <w:r>
        <w:rPr>
          <w:rtl w:val="true"/>
        </w:rPr>
        <w:t>"</w:t>
      </w:r>
      <w:r>
        <w:rPr>
          <w:rtl w:val="true"/>
        </w:rPr>
        <w:t>פתח המילוט</w:t>
      </w:r>
      <w:r>
        <w:rPr>
          <w:rtl w:val="true"/>
        </w:rPr>
        <w:t xml:space="preserve">" </w:t>
      </w:r>
      <w:r>
        <w:rPr>
          <w:rtl w:val="true"/>
        </w:rPr>
        <w:t>(</w:t>
      </w:r>
      <w:hyperlink r:id="rId6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או אם ייקבע כי עניינו של המערער נכנס לגדרי עבירת ההמתה בנסיבות של אחריות מופחתת </w:t>
      </w:r>
      <w:r>
        <w:rPr>
          <w:rtl w:val="true"/>
        </w:rPr>
        <w:t>(</w:t>
      </w:r>
      <w:hyperlink r:id="rId6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המשמעות היא כי הרפורמה מהווה דין מקל עם המערער ויש להחיל עליו את כלליה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המתה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מופחתת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לעמדת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עובר למעשה הירי מצדו לעבר המנוח קדמה התגרות העולה כדי המתה בנסיבות של אחריות מופחתת לפי </w:t>
      </w:r>
      <w:hyperlink r:id="rId6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זאת לנוכח האלימות שהופנתה כלפי בני משפחתו</w:t>
      </w:r>
      <w:r>
        <w:rPr>
          <w:rtl w:val="true"/>
        </w:rPr>
        <w:t xml:space="preserve">, </w:t>
      </w:r>
      <w:r>
        <w:rPr>
          <w:rtl w:val="true"/>
        </w:rPr>
        <w:t>בכלל זה</w:t>
      </w:r>
      <w:r>
        <w:rPr>
          <w:rtl w:val="true"/>
        </w:rPr>
        <w:t xml:space="preserve">, </w:t>
      </w:r>
      <w:r>
        <w:rPr>
          <w:rtl w:val="true"/>
        </w:rPr>
        <w:t>מראה פניו החבולות והמדממות של בנו ואשר בעקבות זאת המערער התקשה לשלוט בעצמו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הרפורמה</w:t>
      </w:r>
      <w:r>
        <w:rPr>
          <w:rtl w:val="true"/>
        </w:rPr>
        <w:t xml:space="preserve">, </w:t>
      </w:r>
      <w:r>
        <w:rPr>
          <w:rtl w:val="true"/>
        </w:rPr>
        <w:t>סוגיית הקנטור אינה מהווה עוד יסוד בעבירת הרצח</w:t>
      </w:r>
      <w:r>
        <w:rPr>
          <w:rtl w:val="true"/>
        </w:rPr>
        <w:t xml:space="preserve">, </w:t>
      </w:r>
      <w:r>
        <w:rPr>
          <w:rtl w:val="true"/>
        </w:rPr>
        <w:t xml:space="preserve">אלא כלולה כנסיבה במסגרת עבירת המתה בנסיבות של אחריות מופחתת </w:t>
      </w:r>
      <w:r>
        <w:rPr>
          <w:rtl w:val="true"/>
        </w:rPr>
        <w:t>(</w:t>
      </w:r>
      <w:r>
        <w:rPr>
          <w:rtl w:val="true"/>
        </w:rPr>
        <w:t>ראו בהרחבה</w:t>
      </w:r>
      <w:r>
        <w:rPr>
          <w:rtl w:val="true"/>
        </w:rPr>
        <w:t xml:space="preserve">: 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8956/20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</w:t>
      </w:r>
      <w:r>
        <w:rPr/>
        <w:t>6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1130/19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30-27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27.12.2020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הדין החדש ממזג בין בחינה סובייקטיבית לבחינה נורמטיבית ומורה כי מדובר במקרים שבהם ההתגרות פגעה באופן קשה ביכולתו של הנאשם לשלוט במעשיו</w:t>
      </w:r>
      <w:r>
        <w:rPr>
          <w:rtl w:val="true"/>
        </w:rPr>
        <w:t xml:space="preserve">, </w:t>
      </w:r>
      <w:r>
        <w:rPr>
          <w:rtl w:val="true"/>
        </w:rPr>
        <w:t>וכי יש בכך כדי לגרוע מאשמתו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מבחינה מוסרית וחברתית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175</w:t>
      </w:r>
      <w:r>
        <w:rPr>
          <w:rtl w:val="true"/>
        </w:rPr>
        <w:t xml:space="preserve">). </w:t>
      </w:r>
      <w:r>
        <w:rPr>
          <w:rtl w:val="true"/>
        </w:rPr>
        <w:t>להשלמת התמונה בהקשר זה</w:t>
      </w:r>
      <w:r>
        <w:rPr>
          <w:rtl w:val="true"/>
        </w:rPr>
        <w:t xml:space="preserve">, </w:t>
      </w:r>
      <w:r>
        <w:rPr>
          <w:rtl w:val="true"/>
        </w:rPr>
        <w:t>אפנה לקביעות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עאמר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קנטור</w:t>
      </w:r>
      <w:r>
        <w:rPr>
          <w:rtl w:val="true"/>
        </w:rPr>
        <w:t xml:space="preserve">,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301</w:t>
      </w:r>
      <w:r>
        <w:rPr>
          <w:rtl w:val="true"/>
        </w:rPr>
        <w:t>ב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זניחתו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</w:t>
      </w:r>
      <w:r>
        <w:rPr>
          <w:rtl w:val="true"/>
        </w:rPr>
        <w:t xml:space="preserve">" </w:t>
      </w:r>
      <w:r>
        <w:rPr>
          <w:rtl w:val="true"/>
        </w:rPr>
        <w:t>וקביעת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והסובייקטיבי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הרלבנטיות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סבורני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שינוי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ביסודות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בהגדרתה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דימויו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השגוי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צידוק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301</w:t>
      </w:r>
      <w:r>
        <w:rPr>
          <w:rtl w:val="true"/>
        </w:rPr>
        <w:t>ב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>)(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, </w:t>
      </w:r>
      <w:r>
        <w:rPr>
          <w:rtl w:val="true"/>
        </w:rPr>
        <w:t>ייקבע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הפרטיקולריות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מאמת</w:t>
      </w:r>
      <w:r>
        <w:rPr>
          <w:rtl w:val="true"/>
        </w:rPr>
        <w:t>-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>" (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עאמר</w:t>
      </w:r>
      <w:r>
        <w:rPr>
          <w:rtl w:val="true"/>
        </w:rPr>
        <w:t xml:space="preserve">, </w:t>
      </w:r>
      <w:r>
        <w:rPr>
          <w:rtl w:val="true"/>
        </w:rPr>
        <w:t>בפסקאות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55-54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 שלנו</w:t>
      </w:r>
      <w:r>
        <w:rPr>
          <w:rtl w:val="true"/>
        </w:rPr>
        <w:t xml:space="preserve">, </w:t>
      </w:r>
      <w:r>
        <w:rPr>
          <w:rtl w:val="true"/>
        </w:rPr>
        <w:t>לא התגרות הייתה ולא רצח ספונטאני מתוך סערת רגשות חסרת מעצורים</w:t>
      </w:r>
      <w:r>
        <w:rPr>
          <w:rtl w:val="true"/>
        </w:rPr>
        <w:t xml:space="preserve">. </w:t>
      </w:r>
      <w:r>
        <w:rPr>
          <w:rtl w:val="true"/>
        </w:rPr>
        <w:t>כפי שפירטתי לעיל</w:t>
      </w:r>
      <w:r>
        <w:rPr>
          <w:rtl w:val="true"/>
        </w:rPr>
        <w:t xml:space="preserve">, </w:t>
      </w:r>
      <w:r>
        <w:rPr>
          <w:rtl w:val="true"/>
        </w:rPr>
        <w:t>תיעוד המצלמות ועדויות העדים מלמדים כי לא נפגעה יכולת השליטה העצמית של המערער בהתאם למבחן הסובייקטיבי</w:t>
      </w:r>
      <w:r>
        <w:rPr>
          <w:rtl w:val="true"/>
        </w:rPr>
        <w:t xml:space="preserve">. </w:t>
      </w:r>
      <w:r>
        <w:rPr>
          <w:rtl w:val="true"/>
        </w:rPr>
        <w:t>גם אילו התעורר רגש עז בקרבו של המערער אשר הניעו להמית את המנוח</w:t>
      </w:r>
      <w:r>
        <w:rPr>
          <w:rtl w:val="true"/>
        </w:rPr>
        <w:t xml:space="preserve">, </w:t>
      </w:r>
      <w:r>
        <w:rPr>
          <w:rtl w:val="true"/>
        </w:rPr>
        <w:t>אין בכך כדי למתן את אשמתו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מאחר שלא מתקיים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הולם</w:t>
      </w:r>
      <w:r>
        <w:rPr>
          <w:rtl w:val="true"/>
        </w:rPr>
        <w:t xml:space="preserve"> בין ההתגרות הנטענת לבין תגובתו של המערער ברצח המנוח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175</w:t>
      </w:r>
      <w:r>
        <w:rPr>
          <w:rtl w:val="true"/>
        </w:rPr>
        <w:t xml:space="preserve">). </w:t>
      </w:r>
      <w:r>
        <w:rPr>
          <w:rtl w:val="true"/>
        </w:rPr>
        <w:t>רצח המנוח אינו בא אפוא בגדרי עבירת ההמתה בנסיבות של אחריות מופחתת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מחמירות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לעניין הנסיבה המחמירה שלפיה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tl w:val="true"/>
        </w:rPr>
        <w:t>" (</w:t>
      </w:r>
      <w:r>
        <w:rPr/>
        <w:t>301</w:t>
      </w:r>
      <w:r>
        <w:rPr>
          <w:rtl w:val="true"/>
        </w:rPr>
        <w:t>א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נקבע בפסיקת בית משפט זה כי מדובר במקרים שבהם מעשה הרצח בוצע לאחר שהעושה שקל והחליט להמית את הקורבן</w:t>
      </w:r>
      <w:r>
        <w:rPr>
          <w:rtl w:val="true"/>
        </w:rPr>
        <w:t xml:space="preserve">, </w:t>
      </w:r>
      <w:r>
        <w:rPr>
          <w:rtl w:val="true"/>
        </w:rPr>
        <w:t xml:space="preserve">ולא כאשר הרצח נעשה באופן ספונטני וללא הכנה </w:t>
      </w:r>
      <w:r>
        <w:rPr>
          <w:rtl w:val="true"/>
        </w:rPr>
        <w:t>(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זרסנאי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</w:t>
      </w:r>
      <w:r>
        <w:rPr/>
        <w:t>4</w:t>
      </w:r>
      <w:r>
        <w:rPr/>
        <w:t>.2021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5995/21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אלחסנה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29-28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</w:t>
      </w:r>
      <w:r>
        <w:rPr/>
        <w:t>6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לא די בכך שהנאשם ירה בראשו של המנוח מטווח קצר כדי לבסס את התקיימותה של הנסיבה המחמירה</w:t>
      </w:r>
      <w:r>
        <w:rPr>
          <w:rtl w:val="true"/>
        </w:rPr>
        <w:t xml:space="preserve">. </w:t>
      </w:r>
      <w:r>
        <w:rPr>
          <w:rtl w:val="true"/>
        </w:rPr>
        <w:t>אף יתר נסיבות ביצוע הרצח דנן אינן מהוות תכנון או הליך ממשי של שקילה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אציין כי אמנם המערער נשא עמו את אקדחו בהליכתו לזירת ההתגוששות</w:t>
      </w:r>
      <w:r>
        <w:rPr>
          <w:rtl w:val="true"/>
        </w:rPr>
        <w:t xml:space="preserve">, </w:t>
      </w:r>
      <w:r>
        <w:rPr>
          <w:rtl w:val="true"/>
        </w:rPr>
        <w:t>אולם לא הובאה כל ראיה שמצביעה על כך שהדבר נעשה על</w:t>
      </w:r>
      <w:r>
        <w:rPr>
          <w:rtl w:val="true"/>
        </w:rPr>
        <w:t>-</w:t>
      </w:r>
      <w:r>
        <w:rPr>
          <w:rtl w:val="true"/>
        </w:rPr>
        <w:t>ידו למטרת תקיפה אשר תוכננה מלכתחילה</w:t>
      </w:r>
      <w:r>
        <w:rPr>
          <w:rtl w:val="true"/>
        </w:rPr>
        <w:t xml:space="preserve">, </w:t>
      </w:r>
      <w:r>
        <w:rPr>
          <w:rtl w:val="true"/>
        </w:rPr>
        <w:t>ואף המשיבה לא טענה כך</w:t>
      </w:r>
      <w:r>
        <w:rPr>
          <w:rtl w:val="true"/>
        </w:rPr>
        <w:t xml:space="preserve">. </w:t>
      </w:r>
      <w:r>
        <w:rPr>
          <w:rtl w:val="true"/>
        </w:rPr>
        <w:t>לפיכך בדין באת</w:t>
      </w:r>
      <w:r>
        <w:rPr>
          <w:rtl w:val="true"/>
        </w:rPr>
        <w:t>-</w:t>
      </w:r>
      <w:r>
        <w:rPr>
          <w:rtl w:val="true"/>
        </w:rPr>
        <w:t>כוח המשיבה</w:t>
      </w:r>
      <w:r>
        <w:rPr>
          <w:rtl w:val="true"/>
        </w:rPr>
        <w:t xml:space="preserve">, </w:t>
      </w:r>
      <w:r>
        <w:rPr>
          <w:rtl w:val="true"/>
        </w:rPr>
        <w:t>ברוב הגינותה</w:t>
      </w:r>
      <w:r>
        <w:rPr>
          <w:rtl w:val="true"/>
        </w:rPr>
        <w:t xml:space="preserve">, </w:t>
      </w:r>
      <w:r>
        <w:rPr>
          <w:rtl w:val="true"/>
        </w:rPr>
        <w:t xml:space="preserve">עמדה בתגובתה על כך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tl w:val="true"/>
        </w:rPr>
        <w:t xml:space="preserve"> לנסיבה זו תחולה בענייננו</w:t>
      </w:r>
      <w:r>
        <w:rPr>
          <w:rtl w:val="true"/>
        </w:rPr>
        <w:t xml:space="preserve">. </w:t>
      </w:r>
      <w:r>
        <w:rPr>
          <w:rtl w:val="true"/>
        </w:rPr>
        <w:t>אין מחלוקת אפוא כי נסיבה מחמירה זו אינה מתקיימת במקרה שלפנינו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הצדדים נותרו חלוקים על תחולת הנסיבה המחמירה המנויה </w:t>
      </w:r>
      <w:hyperlink r:id="rId6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אשר זו לשונה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ייגזר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חובה</w:t>
      </w:r>
      <w:r>
        <w:rPr>
          <w:rtl w:val="true"/>
        </w:rPr>
        <w:t xml:space="preserve">. </w:t>
      </w:r>
      <w:r>
        <w:rPr>
          <w:rtl w:val="true"/>
        </w:rPr>
        <w:t>הטעם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173</w:t>
      </w:r>
      <w:r>
        <w:rPr>
          <w:rtl w:val="true"/>
        </w:rPr>
        <w:t xml:space="preserve">).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רחבה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ומקיפה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ביטוי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במעשהו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מסוכנות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מיוחדת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מוגברת</w:t>
      </w:r>
      <w:r>
        <w:rPr>
          <w:rtl w:val="true"/>
        </w:rPr>
        <w:t>" (</w:t>
      </w:r>
      <w:r>
        <w:rPr>
          <w:rtl w:val="true"/>
        </w:rPr>
        <w:t>מ</w:t>
      </w:r>
      <w:r>
        <w:rPr>
          <w:rtl w:val="true"/>
        </w:rPr>
        <w:t>רדכי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קרמניצר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וחאלד</w:t>
      </w:r>
      <w:r>
        <w:rPr>
          <w:rFonts w:eastAsia="Arial TUR;Arial" w:cs="Arial TUR;Arial"/>
          <w:rtl w:val="true"/>
        </w:rPr>
        <w:t xml:space="preserve"> </w:t>
      </w:r>
      <w:hyperlink r:id="rId68">
        <w:r>
          <w:rPr>
            <w:rStyle w:val="Hyperlink"/>
            <w:color w:val="0000FF"/>
            <w:u w:val="single"/>
            <w:rtl w:val="true"/>
          </w:rPr>
          <w:t>גנאים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הרפורמה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בעבירות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ההמתה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2019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עקרונות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ומחקר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היסטורי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והשוואתי</w:t>
      </w:r>
      <w:r>
        <w:rPr>
          <w:rFonts w:eastAsia="Arial TUR;Arial" w:cs="Arial TUR;Arial"/>
          <w:rtl w:val="true"/>
        </w:rPr>
        <w:t xml:space="preserve"> </w:t>
      </w:r>
      <w:r>
        <w:rPr/>
        <w:t>321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2020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tl w:val="true"/>
        </w:rPr>
        <w:t xml:space="preserve">?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החוקה</w:t>
      </w:r>
      <w:r>
        <w:rPr>
          <w:rtl w:val="true"/>
        </w:rPr>
        <w:t xml:space="preserve">,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ומשפט</w:t>
      </w:r>
      <w:r>
        <w:rPr>
          <w:rtl w:val="true"/>
        </w:rPr>
        <w:t xml:space="preserve">, </w:t>
      </w:r>
      <w:r>
        <w:rPr>
          <w:rtl w:val="true"/>
        </w:rPr>
        <w:t>חה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סלומינסקי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הנסיבה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ומוישה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נהרגו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בהטמנה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פצצה</w:t>
      </w:r>
      <w:r>
        <w:rPr>
          <w:rtl w:val="true"/>
        </w:rPr>
        <w:t xml:space="preserve">, </w:t>
      </w:r>
      <w:r>
        <w:rPr>
          <w:rtl w:val="true"/>
        </w:rPr>
        <w:t>נניח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בקיוסק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הקיוסק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שבקיוסק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נניח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נהרגים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הקיוסק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" 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ישיבה</w:t>
      </w:r>
      <w:r>
        <w:rPr>
          <w:rFonts w:eastAsia="Arial TUR;Arial" w:cs="Arial TUR;Arial"/>
          <w:rtl w:val="true"/>
        </w:rPr>
        <w:t xml:space="preserve"> </w:t>
      </w:r>
      <w:r>
        <w:rPr/>
        <w:t>544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החוקה</w:t>
      </w:r>
      <w:r>
        <w:rPr>
          <w:rtl w:val="true"/>
        </w:rPr>
        <w:t xml:space="preserve">,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ומשפט</w:t>
      </w:r>
      <w:r>
        <w:rPr>
          <w:rtl w:val="true"/>
        </w:rPr>
        <w:t xml:space="preserve">, </w:t>
      </w:r>
      <w:r>
        <w:rPr>
          <w:rtl w:val="true"/>
        </w:rPr>
        <w:t>הכנסת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, </w:t>
      </w:r>
      <w:r>
        <w:rPr/>
        <w:t>40</w:t>
      </w:r>
      <w:r>
        <w:rPr>
          <w:rtl w:val="true"/>
        </w:rPr>
        <w:t xml:space="preserve"> (</w:t>
      </w:r>
      <w:r>
        <w:rPr/>
        <w:t>5.2.2018</w:t>
      </w:r>
      <w:r>
        <w:rPr>
          <w:rtl w:val="true"/>
        </w:rPr>
        <w:t>))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בקיוסק</w:t>
      </w:r>
      <w:r>
        <w:rPr>
          <w:rtl w:val="true"/>
        </w:rPr>
        <w:t xml:space="preserve">, </w:t>
      </w:r>
      <w:r>
        <w:rPr>
          <w:rtl w:val="true"/>
        </w:rPr>
        <w:t>ומקרה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פצצ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שוהים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הקרבן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המיועד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כאמור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173</w:t>
      </w:r>
      <w:r>
        <w:rPr>
          <w:rtl w:val="true"/>
        </w:rPr>
        <w:t xml:space="preserve">;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וחשבון</w:t>
      </w:r>
      <w:r>
        <w:rPr>
          <w:rFonts w:eastAsia="Arial TUR;Arial" w:cs="Arial TUR;Arial"/>
          <w:rtl w:val="true"/>
        </w:rPr>
        <w:t xml:space="preserve"> </w:t>
      </w:r>
      <w:r>
        <w:rPr/>
        <w:t>15-14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2011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tl w:val="true"/>
        </w:rPr>
        <w:t xml:space="preserve">)).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נבדלות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כדרכה של רפורמה</w:t>
      </w:r>
      <w:r>
        <w:rPr>
          <w:rtl w:val="true"/>
        </w:rPr>
        <w:t xml:space="preserve">, </w:t>
      </w:r>
      <w:r>
        <w:rPr>
          <w:rtl w:val="true"/>
        </w:rPr>
        <w:t xml:space="preserve">אמות המידה לבחינת הנסיבה המחמירה של יצירת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ממשית</w:t>
      </w:r>
      <w:r>
        <w:rPr>
          <w:rtl w:val="true"/>
        </w:rPr>
        <w:t xml:space="preserve">" </w:t>
      </w:r>
      <w:r>
        <w:rPr>
          <w:rtl w:val="true"/>
        </w:rPr>
        <w:t>לחיי אחרים מלבד הנרצח תתפתחנה בחלוף הזמן ובמקרים המתאימים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ניתן למנות רשימה בלתי ממצה של נסיבות עזר לצורך בחינת התגבשות הנסיבה המחמירה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מטבע הדברים</w:t>
      </w:r>
      <w:r>
        <w:rPr>
          <w:rtl w:val="true"/>
        </w:rPr>
        <w:t xml:space="preserve">, </w:t>
      </w:r>
      <w:r>
        <w:rPr>
          <w:rtl w:val="true"/>
        </w:rPr>
        <w:t>ישנה חשיבות 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האמצעי</w:t>
      </w:r>
      <w:r>
        <w:rPr>
          <w:rtl w:val="true"/>
        </w:rPr>
        <w:t xml:space="preserve"> שבו נעשה שימוש בעת הרצח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האם האמצעי או כלי הנשק אשר נעשה בו שימוש לצורך הרצח הוא מטיבו כלי אשר יוצר סיכון לאחרים מלבד הנרצח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ניתן למקם על ציר בקצה האחד שימוש בסכין אשר לרוב השימוש בו כלפי הנרצח אינו יוצר סיכון לאחרים</w:t>
      </w:r>
      <w:r>
        <w:rPr>
          <w:rtl w:val="true"/>
        </w:rPr>
        <w:t xml:space="preserve">; </w:t>
      </w:r>
      <w:r>
        <w:rPr>
          <w:rtl w:val="true"/>
        </w:rPr>
        <w:t>עובר דרך שימוש בנשק חם על סוגיו השונים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שימוש באקדח או ברובה</w:t>
      </w:r>
      <w:r>
        <w:rPr>
          <w:rtl w:val="true"/>
        </w:rPr>
        <w:t xml:space="preserve">; </w:t>
      </w:r>
      <w:r>
        <w:rPr>
          <w:rtl w:val="true"/>
        </w:rPr>
        <w:t>ובקצה האחר שימוש בחומרי נפץ אשר מטיבם מסכנים אחרים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אף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השימוש</w:t>
      </w:r>
      <w:r>
        <w:rPr>
          <w:rtl w:val="true"/>
        </w:rPr>
        <w:t xml:space="preserve"> באמצעי עשוי להוות אינדיקציה לסכנה ממשית לחיי אחרים מלבד הנרצח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יש לבחון האם השימוש באמצעי נעשה באופן מבוקר או שמא באופן חסר הבחנה</w:t>
      </w:r>
      <w:r>
        <w:rPr>
          <w:rtl w:val="true"/>
        </w:rPr>
        <w:t xml:space="preserve">. </w:t>
      </w:r>
      <w:r>
        <w:rPr>
          <w:rtl w:val="true"/>
        </w:rPr>
        <w:t>לא דומה ירי של כדורים בודדים לירי של צרורות</w:t>
      </w:r>
      <w:r>
        <w:rPr>
          <w:rtl w:val="true"/>
        </w:rPr>
        <w:t xml:space="preserve">, </w:t>
      </w:r>
      <w:r>
        <w:rPr>
          <w:rtl w:val="true"/>
        </w:rPr>
        <w:t xml:space="preserve">ולא דומה ירי שנעשה באופן ממוקד לירי </w:t>
      </w:r>
      <w:r>
        <w:rPr>
          <w:rtl w:val="true"/>
        </w:rPr>
        <w:t>"</w:t>
      </w:r>
      <w:r>
        <w:rPr>
          <w:rtl w:val="true"/>
        </w:rPr>
        <w:t>משתולל</w:t>
      </w:r>
      <w:r>
        <w:rPr>
          <w:rtl w:val="true"/>
        </w:rPr>
        <w:t>" (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9201/18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גורבאן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8.6.2022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5268/17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</w:t>
      </w:r>
      <w:r>
        <w:rPr/>
        <w:t>2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להידרש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למיקום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הזירה</w:t>
      </w:r>
      <w:r>
        <w:rPr>
          <w:rtl w:val="true"/>
        </w:rPr>
        <w:t xml:space="preserve">, </w:t>
      </w:r>
      <w:r>
        <w:rPr>
          <w:rtl w:val="true"/>
        </w:rPr>
        <w:t>היקפה</w:t>
      </w:r>
      <w:r>
        <w:rPr>
          <w:rtl w:val="true"/>
        </w:rPr>
        <w:t xml:space="preserve">,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המתרחשת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באלה</w:t>
      </w:r>
      <w:r>
        <w:rPr>
          <w:rtl w:val="true"/>
        </w:rPr>
        <w:t xml:space="preserve">. </w:t>
      </w:r>
      <w:r>
        <w:rPr>
          <w:rtl w:val="true"/>
        </w:rPr>
        <w:t>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לוכדת</w:t>
      </w:r>
      <w:r>
        <w:rPr>
          <w:rtl w:val="true"/>
        </w:rPr>
        <w:t xml:space="preserve">"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הנרצח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הצפיפות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הנרצח</w:t>
      </w:r>
      <w:r>
        <w:rPr>
          <w:rtl w:val="true"/>
        </w:rPr>
        <w:t xml:space="preserve">, </w:t>
      </w:r>
      <w:r>
        <w:rPr>
          <w:rtl w:val="true"/>
        </w:rPr>
        <w:t>עשויים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בעמודים</w:t>
      </w:r>
      <w:r>
        <w:rPr>
          <w:rFonts w:eastAsia="Arial TUR;Arial" w:cs="Arial TUR;Arial"/>
          <w:rtl w:val="true"/>
        </w:rPr>
        <w:t xml:space="preserve"> </w:t>
      </w:r>
      <w:r>
        <w:rPr/>
        <w:t>15-14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Century"/>
          <w:rtl w:val="true"/>
        </w:rPr>
        <w:t xml:space="preserve">גם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כאינדיקציה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בעמוד</w:t>
      </w:r>
      <w:r>
        <w:rPr>
          <w:rFonts w:eastAsia="Arial TUR;Arial" w:cs="Arial TUR;Arial"/>
          <w:rtl w:val="true"/>
        </w:rPr>
        <w:t xml:space="preserve"> </w:t>
      </w:r>
      <w:r>
        <w:rPr/>
        <w:t>173</w:t>
      </w:r>
      <w:r>
        <w:rPr>
          <w:rtl w:val="true"/>
        </w:rPr>
        <w:t xml:space="preserve">; 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8965/18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מחאג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3.11.2019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מחאג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נה</w:t>
      </w:r>
      <w:r>
        <w:rPr>
          <w:rtl w:val="true"/>
        </w:rPr>
        <w:t>))</w:t>
      </w:r>
      <w:r>
        <w:rPr>
          <w:rtl w:val="true"/>
        </w:rPr>
        <w:t xml:space="preserve">;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תתגבש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נסיבות אלו </w:t>
      </w:r>
      <w:r>
        <w:rPr>
          <w:rtl w:val="true"/>
        </w:rPr>
        <w:t>–</w:t>
      </w:r>
      <w:r>
        <w:rPr>
          <w:rtl w:val="true"/>
        </w:rPr>
        <w:t xml:space="preserve"> סוג האמצעי</w:t>
      </w:r>
      <w:r>
        <w:rPr>
          <w:rtl w:val="true"/>
        </w:rPr>
        <w:t xml:space="preserve">, </w:t>
      </w:r>
      <w:r>
        <w:rPr>
          <w:rtl w:val="true"/>
        </w:rPr>
        <w:t>אופן השימוש באמצעי</w:t>
      </w:r>
      <w:r>
        <w:rPr>
          <w:rtl w:val="true"/>
        </w:rPr>
        <w:t xml:space="preserve">, </w:t>
      </w:r>
      <w:r>
        <w:rPr>
          <w:rtl w:val="true"/>
        </w:rPr>
        <w:t>אופי זירת הרצח</w:t>
      </w:r>
      <w:r>
        <w:rPr>
          <w:rtl w:val="true"/>
        </w:rPr>
        <w:t xml:space="preserve">, </w:t>
      </w:r>
      <w:r>
        <w:rPr>
          <w:rtl w:val="true"/>
        </w:rPr>
        <w:t xml:space="preserve">מספר האנשים ומידת הצפיפות מסביב לנרצח והנזק שנגרם בפועל לאחרים בזירה </w:t>
      </w:r>
      <w:r>
        <w:rPr>
          <w:rtl w:val="true"/>
        </w:rPr>
        <w:t>–</w:t>
      </w:r>
      <w:r>
        <w:rPr>
          <w:rtl w:val="true"/>
        </w:rPr>
        <w:t xml:space="preserve"> יש בהן כדי ללמד על כך ש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יצירת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לחייו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הקורבן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 מדובר ברשימה פתוחה ובלתי ממצה כאמור</w:t>
      </w:r>
      <w:r>
        <w:rPr>
          <w:rtl w:val="true"/>
        </w:rPr>
        <w:t xml:space="preserve">, </w:t>
      </w:r>
      <w:r>
        <w:rPr>
          <w:rtl w:val="true"/>
        </w:rPr>
        <w:t>ומטבע הדברים</w:t>
      </w:r>
      <w:r>
        <w:rPr>
          <w:rtl w:val="true"/>
        </w:rPr>
        <w:t xml:space="preserve">, </w:t>
      </w:r>
      <w:r>
        <w:rPr>
          <w:rtl w:val="true"/>
        </w:rPr>
        <w:t>ממקרה אחד למשנהו נסיבה מחמירה זו תתחדד בפרשנות בתי המשפט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בהינתן האמור</w:t>
      </w:r>
      <w:r>
        <w:rPr>
          <w:rtl w:val="true"/>
        </w:rPr>
        <w:t xml:space="preserve">, </w:t>
      </w:r>
      <w:r>
        <w:rPr>
          <w:rtl w:val="true"/>
        </w:rPr>
        <w:t>בנדון דנן</w:t>
      </w:r>
      <w:r>
        <w:rPr>
          <w:rtl w:val="true"/>
        </w:rPr>
        <w:t xml:space="preserve">, </w:t>
      </w:r>
      <w:r>
        <w:rPr>
          <w:rtl w:val="true"/>
        </w:rPr>
        <w:t xml:space="preserve">איני סבור כי הרצח נכנס בשערי הנסיבה המחמירה של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יצירת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לחייו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tl w:val="true"/>
        </w:rPr>
        <w:t xml:space="preserve">". </w:t>
      </w:r>
      <w:r>
        <w:rPr>
          <w:rtl w:val="true"/>
        </w:rPr>
        <w:t>המערער השתמש באקדח לצורך המתת המנוח</w:t>
      </w:r>
      <w:r>
        <w:rPr>
          <w:rtl w:val="true"/>
        </w:rPr>
        <w:t xml:space="preserve">, </w:t>
      </w:r>
      <w:r>
        <w:rPr>
          <w:rtl w:val="true"/>
        </w:rPr>
        <w:t>בעודו ניצב בטווח של פחות ממטר ממנו</w:t>
      </w:r>
      <w:r>
        <w:rPr>
          <w:rtl w:val="true"/>
        </w:rPr>
        <w:t xml:space="preserve">, </w:t>
      </w:r>
      <w:r>
        <w:rPr>
          <w:rtl w:val="true"/>
        </w:rPr>
        <w:t xml:space="preserve">דרך את האקדח וירה באופן מכוון שתי יריות לעבר המנוח </w:t>
      </w:r>
      <w:r>
        <w:rPr>
          <w:rtl w:val="true"/>
        </w:rPr>
        <w:t>–</w:t>
      </w:r>
      <w:r>
        <w:rPr>
          <w:rtl w:val="true"/>
        </w:rPr>
        <w:t xml:space="preserve"> האחת בכף ידו השמאלית</w:t>
      </w:r>
      <w:r>
        <w:rPr>
          <w:rtl w:val="true"/>
        </w:rPr>
        <w:t xml:space="preserve">, </w:t>
      </w:r>
      <w:r>
        <w:rPr>
          <w:rtl w:val="true"/>
        </w:rPr>
        <w:t>והאחרת מדויקת בראשו</w:t>
      </w:r>
      <w:r>
        <w:rPr>
          <w:rtl w:val="true"/>
        </w:rPr>
        <w:t xml:space="preserve">. </w:t>
      </w:r>
      <w:r>
        <w:rPr>
          <w:rtl w:val="true"/>
        </w:rPr>
        <w:t>המערער עשה שימוש באקדח</w:t>
      </w:r>
      <w:r>
        <w:rPr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אמצעי</w:t>
      </w:r>
      <w:r>
        <w:rPr>
          <w:rtl w:val="true"/>
        </w:rPr>
        <w:t xml:space="preserve"> אשר השימוש בו מטווח קצר אינו מסכן בהכרח אחרים</w:t>
      </w:r>
      <w:r>
        <w:rPr>
          <w:rtl w:val="true"/>
        </w:rPr>
        <w:t xml:space="preserve">. </w:t>
      </w:r>
      <w:r>
        <w:rPr>
          <w:rtl w:val="true"/>
        </w:rPr>
        <w:t>במקרה שבפנינו</w:t>
      </w:r>
      <w:r>
        <w:rPr>
          <w:rtl w:val="true"/>
        </w:rPr>
        <w:t xml:space="preserve">, </w:t>
      </w:r>
      <w:r>
        <w:rPr>
          <w:rtl w:val="true"/>
        </w:rPr>
        <w:t xml:space="preserve">מבחינת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השימוש</w:t>
      </w:r>
      <w:r>
        <w:rPr>
          <w:rtl w:val="true"/>
        </w:rPr>
        <w:t xml:space="preserve"> באקדח</w:t>
      </w:r>
      <w:r>
        <w:rPr>
          <w:rtl w:val="true"/>
        </w:rPr>
        <w:t xml:space="preserve">, </w:t>
      </w:r>
      <w:r>
        <w:rPr>
          <w:rtl w:val="true"/>
        </w:rPr>
        <w:t>הירי בוצע מטווח קצר</w:t>
      </w:r>
      <w:r>
        <w:rPr>
          <w:rtl w:val="true"/>
        </w:rPr>
        <w:t xml:space="preserve">, </w:t>
      </w:r>
      <w:r>
        <w:rPr>
          <w:rtl w:val="true"/>
        </w:rPr>
        <w:t>באופן ממוקד ותכליתי וכאשר המערער חדל לירות לעבר המנוח משזה האחרון נפל ארצה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אמנם חלק מהנוכחים העידו כי </w:t>
      </w:r>
      <w:r>
        <w:rPr>
          <w:rtl w:val="true"/>
        </w:rPr>
        <w:t>"</w:t>
      </w:r>
      <w:r>
        <w:rPr>
          <w:rtl w:val="true"/>
        </w:rPr>
        <w:t>פחדו</w:t>
      </w:r>
      <w:r>
        <w:rPr>
          <w:rtl w:val="true"/>
        </w:rPr>
        <w:t xml:space="preserve">" </w:t>
      </w:r>
      <w:r>
        <w:rPr>
          <w:rtl w:val="true"/>
        </w:rPr>
        <w:t>מירי המערער לעבר המנוח</w:t>
      </w:r>
      <w:r>
        <w:rPr>
          <w:rtl w:val="true"/>
        </w:rPr>
        <w:t xml:space="preserve">, </w:t>
      </w:r>
      <w:r>
        <w:rPr>
          <w:rtl w:val="true"/>
        </w:rPr>
        <w:t xml:space="preserve">אולם פחד אינו בגדר </w:t>
      </w:r>
      <w:r>
        <w:rPr>
          <w:rtl w:val="true"/>
        </w:rPr>
        <w:t>"</w:t>
      </w:r>
      <w:r>
        <w:rPr>
          <w:rtl w:val="true"/>
        </w:rPr>
        <w:t>סכנה ממשית</w:t>
      </w:r>
      <w:r>
        <w:rPr>
          <w:rtl w:val="true"/>
        </w:rPr>
        <w:t xml:space="preserve">" </w:t>
      </w:r>
      <w:r>
        <w:rPr>
          <w:rtl w:val="true"/>
        </w:rPr>
        <w:t xml:space="preserve">לחייהם ובסופו של דבר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נזק</w:t>
      </w:r>
      <w:r>
        <w:rPr>
          <w:rtl w:val="true"/>
        </w:rPr>
        <w:t xml:space="preserve"> בפועל לאיש מבין הנוכחים בעת הרצח</w:t>
      </w:r>
      <w:r>
        <w:rPr>
          <w:rtl w:val="true"/>
        </w:rPr>
        <w:t xml:space="preserve">. </w:t>
      </w:r>
      <w:r>
        <w:rPr>
          <w:rtl w:val="true"/>
        </w:rPr>
        <w:t>אשר 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זירת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הירי אמנם בוצע ברחובה של עיר</w:t>
      </w:r>
      <w:r>
        <w:rPr>
          <w:rtl w:val="true"/>
        </w:rPr>
        <w:t xml:space="preserve">, </w:t>
      </w:r>
      <w:r>
        <w:rPr>
          <w:rtl w:val="true"/>
        </w:rPr>
        <w:t>אולם בשים לב לכלל הרכיבים שפורטו לעיל</w:t>
      </w:r>
      <w:r>
        <w:rPr>
          <w:rtl w:val="true"/>
        </w:rPr>
        <w:t xml:space="preserve">, </w:t>
      </w:r>
      <w:r>
        <w:rPr>
          <w:rtl w:val="true"/>
        </w:rPr>
        <w:t>בפרט סוג האמצעי ואופן השימוש בו</w:t>
      </w:r>
      <w:r>
        <w:rPr>
          <w:rtl w:val="true"/>
        </w:rPr>
        <w:t xml:space="preserve">, </w:t>
      </w:r>
      <w:r>
        <w:rPr>
          <w:rtl w:val="true"/>
        </w:rPr>
        <w:t>לא הוכח כי נגרמה סכנה ממשית לחייו של אחר</w:t>
      </w:r>
      <w:r>
        <w:rPr>
          <w:rtl w:val="true"/>
        </w:rPr>
        <w:t xml:space="preserve">, </w:t>
      </w:r>
      <w:r>
        <w:rPr>
          <w:rtl w:val="true"/>
        </w:rPr>
        <w:t>מלבד המנוח</w:t>
      </w:r>
      <w:r>
        <w:rPr>
          <w:rtl w:val="true"/>
        </w:rPr>
        <w:t xml:space="preserve">. </w:t>
      </w:r>
      <w:r>
        <w:rPr>
          <w:rtl w:val="true"/>
        </w:rPr>
        <w:t>זאת בשונה מירי לעבר נרצח במסגרת חתונה בעודו מוקף באנשים בלתי</w:t>
      </w:r>
      <w:r>
        <w:rPr>
          <w:rtl w:val="true"/>
        </w:rPr>
        <w:t>-</w:t>
      </w:r>
      <w:r>
        <w:rPr>
          <w:rtl w:val="true"/>
        </w:rPr>
        <w:t xml:space="preserve">מעורבים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מחאג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נה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47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בהינתן האמור</w:t>
      </w:r>
      <w:r>
        <w:rPr>
          <w:rtl w:val="true"/>
        </w:rPr>
        <w:t xml:space="preserve">, </w:t>
      </w:r>
      <w:r>
        <w:rPr>
          <w:rtl w:val="true"/>
        </w:rPr>
        <w:t>במכלול נסיבות העניין</w:t>
      </w:r>
      <w:r>
        <w:rPr>
          <w:rtl w:val="true"/>
        </w:rPr>
        <w:t xml:space="preserve">, </w:t>
      </w:r>
      <w:r>
        <w:rPr>
          <w:rtl w:val="true"/>
        </w:rPr>
        <w:t xml:space="preserve">ספק אם התגבשו דרישות הנסיבה המחמירה שלפיה המערער יצר </w:t>
      </w:r>
      <w:r>
        <w:rPr>
          <w:rtl w:val="true"/>
        </w:rPr>
        <w:t>"</w:t>
      </w:r>
      <w:r>
        <w:rPr>
          <w:rtl w:val="true"/>
        </w:rPr>
        <w:t>סכנה ממשית</w:t>
      </w:r>
      <w:r>
        <w:rPr>
          <w:rtl w:val="true"/>
        </w:rPr>
        <w:t xml:space="preserve">" </w:t>
      </w:r>
      <w:r>
        <w:rPr>
          <w:rtl w:val="true"/>
        </w:rPr>
        <w:t>לחיי אחרים מלבד המנוח וספק זה מן הראוי שיפעל לזכות המערער</w:t>
      </w:r>
      <w:r>
        <w:rPr>
          <w:rtl w:val="true"/>
        </w:rPr>
        <w:t xml:space="preserve">. </w:t>
      </w:r>
      <w:r>
        <w:rPr>
          <w:rtl w:val="true"/>
        </w:rPr>
        <w:t>היות שלא מצאתי כי מתקיימת בעניינו של המערער כל נסיבה מחמירה</w:t>
      </w:r>
      <w:r>
        <w:rPr>
          <w:rtl w:val="true"/>
        </w:rPr>
        <w:t xml:space="preserve">, </w:t>
      </w:r>
      <w:r>
        <w:rPr>
          <w:rtl w:val="true"/>
        </w:rPr>
        <w:t xml:space="preserve">אין צורך בבחינה האם מעשיו נכנסים בשערי סעיף </w:t>
      </w:r>
      <w:r>
        <w:rPr>
          <w:rtl w:val="true"/>
        </w:rPr>
        <w:t>"</w:t>
      </w:r>
      <w:r>
        <w:rPr>
          <w:rtl w:val="true"/>
        </w:rPr>
        <w:t>פתח המילוט</w:t>
      </w:r>
      <w:r>
        <w:rPr>
          <w:rtl w:val="true"/>
        </w:rPr>
        <w:t>" (</w:t>
      </w:r>
      <w:hyperlink r:id="rId7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אם לאו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הרשעת המערער בעבירת הרצח בכוונה תחילה לפי </w:t>
      </w:r>
      <w:hyperlink r:id="rId7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בנוסחו הקודם</w:t>
      </w:r>
      <w:r>
        <w:rPr>
          <w:rtl w:val="true"/>
        </w:rPr>
        <w:t xml:space="preserve">, </w:t>
      </w:r>
      <w:r>
        <w:rPr>
          <w:rtl w:val="true"/>
        </w:rPr>
        <w:t>בדין יסודה</w:t>
      </w:r>
      <w:r>
        <w:rPr>
          <w:rtl w:val="true"/>
        </w:rPr>
        <w:t xml:space="preserve">; </w:t>
      </w:r>
      <w:r>
        <w:rPr>
          <w:rtl w:val="true"/>
        </w:rPr>
        <w:t xml:space="preserve">כך גם הרשעתו בעבירת הניסיון לרצח לפי </w:t>
      </w:r>
      <w:hyperlink r:id="rId7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מאחר שלא התקיימה כל נסיבה מחמירה ברצח המנוח</w:t>
      </w:r>
      <w:r>
        <w:rPr>
          <w:rtl w:val="true"/>
        </w:rPr>
        <w:t xml:space="preserve">, </w:t>
      </w:r>
      <w:r>
        <w:rPr>
          <w:rtl w:val="true"/>
        </w:rPr>
        <w:t>אזי הרפורמה בעבירות ההמתה מהווה דין מקל עמו ויש ליישמה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 xml:space="preserve">אציע לחברי ולחברתי כי נקבל את הערעור באופן שבו המערער יורשע בעבירה לפי </w:t>
      </w:r>
      <w:hyperlink r:id="rId7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עבירת הרצח </w:t>
      </w:r>
      <w:r>
        <w:rPr>
          <w:rtl w:val="true"/>
        </w:rPr>
        <w:t>"</w:t>
      </w:r>
      <w:r>
        <w:rPr>
          <w:rtl w:val="true"/>
        </w:rPr>
        <w:t>הבסיסית</w:t>
      </w:r>
      <w:r>
        <w:rPr>
          <w:rtl w:val="true"/>
        </w:rPr>
        <w:t xml:space="preserve">", </w:t>
      </w:r>
      <w:r>
        <w:rPr>
          <w:rtl w:val="true"/>
        </w:rPr>
        <w:t xml:space="preserve">חלף הרשעתו בעבירת הרצח בכוונה תחילה לפי </w:t>
      </w:r>
      <w:hyperlink r:id="rId7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בנוסחו הקודם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אציע אפוא כי הדיון יושב לבית המשפט המחוזי לצורך שמיעת טיעונים לעונש וגזירת דינו של המערער</w:t>
      </w:r>
      <w:r>
        <w:rPr>
          <w:rtl w:val="true"/>
        </w:rPr>
        <w:t xml:space="preserve">. </w:t>
      </w:r>
      <w:r>
        <w:rPr>
          <w:rtl w:val="true"/>
        </w:rPr>
        <w:t>משבית המשפט המחוזי נדרש לגזור את דינו של המערער מחדש</w:t>
      </w:r>
      <w:r>
        <w:rPr>
          <w:rtl w:val="true"/>
        </w:rPr>
        <w:t xml:space="preserve">, </w:t>
      </w:r>
      <w:r>
        <w:rPr>
          <w:rtl w:val="true"/>
        </w:rPr>
        <w:t>אין צורך להידרש להשגות המערער על גזר הדין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שטייניץ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22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15.1.2023</w:t>
      </w:r>
      <w:r>
        <w:rPr>
          <w:rtl w:val="true"/>
        </w:rPr>
        <w:t xml:space="preserve">). </w:t>
      </w:r>
      <w:bookmarkEnd w:id="22"/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0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7"/>
        <w:gridCol w:w="2767"/>
        <w:gridCol w:w="2768"/>
      </w:tblGrid>
      <w:tr>
        <w:trPr/>
        <w:tc>
          <w:tcPr>
            <w:tcW w:w="276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6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68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19035460</w:t>
      </w:r>
      <w:r>
        <w:rPr>
          <w:sz w:val="16"/>
          <w:rtl w:val="true"/>
        </w:rPr>
        <w:t>_</w:t>
      </w:r>
      <w:r>
        <w:rPr>
          <w:sz w:val="16"/>
        </w:rPr>
        <w:t>J29.docx</w:t>
      </w:r>
      <w:r>
        <w:rPr>
          <w:sz w:val="16"/>
          <w:rtl w:val="true"/>
        </w:rPr>
        <w:t xml:space="preserve">   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78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54678313-3546/19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7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80"/>
      <w:footerReference w:type="default" r:id="rId8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3546/19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רפעת עודה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Symbol" w:hAnsi="Symbol" w:eastAsia="Times New Roman" w:cs="FrankRueh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eastAsia="Times New Roman" w:cs="FrankRueh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Symbol" w:hAnsi="Symbol" w:eastAsia="Times New Roman" w:cs="FrankRueh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default">
    <w:name w:val="default"/>
    <w:basedOn w:val="DefaultParagraphFont"/>
    <w:qFormat/>
    <w:rPr/>
  </w:style>
  <w:style w:type="character" w:styleId="apple-converted-space">
    <w:name w:val="apple-converted-space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172814" TargetMode="External"/><Relationship Id="rId3" Type="http://schemas.openxmlformats.org/officeDocument/2006/relationships/hyperlink" Target="http://www.nevo.co.il/safrut/bookgroup/2063" TargetMode="External"/><Relationship Id="rId4" Type="http://schemas.openxmlformats.org/officeDocument/2006/relationships/hyperlink" Target="http://www.nevo.co.il/safrut/bookgroup/2063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5.a" TargetMode="External"/><Relationship Id="rId7" Type="http://schemas.openxmlformats.org/officeDocument/2006/relationships/hyperlink" Target="http://www.nevo.co.il/law/70301/29" TargetMode="External"/><Relationship Id="rId8" Type="http://schemas.openxmlformats.org/officeDocument/2006/relationships/hyperlink" Target="http://www.nevo.co.il/law/70301/144.a.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300.a" TargetMode="External"/><Relationship Id="rId11" Type="http://schemas.openxmlformats.org/officeDocument/2006/relationships/hyperlink" Target="http://www.nevo.co.il/law/70301/300.a.2" TargetMode="External"/><Relationship Id="rId12" Type="http://schemas.openxmlformats.org/officeDocument/2006/relationships/hyperlink" Target="http://www.nevo.co.il/law/70301/300b.b" TargetMode="External"/><Relationship Id="rId13" Type="http://schemas.openxmlformats.org/officeDocument/2006/relationships/hyperlink" Target="http://www.nevo.co.il/law/70301/301" TargetMode="External"/><Relationship Id="rId14" Type="http://schemas.openxmlformats.org/officeDocument/2006/relationships/hyperlink" Target="http://www.nevo.co.il/law/70301/301.a" TargetMode="External"/><Relationship Id="rId15" Type="http://schemas.openxmlformats.org/officeDocument/2006/relationships/hyperlink" Target="http://www.nevo.co.il/law/70301/301a.a" TargetMode="External"/><Relationship Id="rId16" Type="http://schemas.openxmlformats.org/officeDocument/2006/relationships/hyperlink" Target="http://www.nevo.co.il/law/70301/301a.a.1" TargetMode="External"/><Relationship Id="rId17" Type="http://schemas.openxmlformats.org/officeDocument/2006/relationships/hyperlink" Target="http://www.nevo.co.il/law/70301/301a.a.9" TargetMode="External"/><Relationship Id="rId18" Type="http://schemas.openxmlformats.org/officeDocument/2006/relationships/hyperlink" Target="http://www.nevo.co.il/law/70301/301a.b" TargetMode="External"/><Relationship Id="rId19" Type="http://schemas.openxmlformats.org/officeDocument/2006/relationships/hyperlink" Target="http://www.nevo.co.il/law/70301/301b.b.1" TargetMode="External"/><Relationship Id="rId20" Type="http://schemas.openxmlformats.org/officeDocument/2006/relationships/hyperlink" Target="http://www.nevo.co.il/law/70301/305" TargetMode="External"/><Relationship Id="rId21" Type="http://schemas.openxmlformats.org/officeDocument/2006/relationships/hyperlink" Target="http://www.nevo.co.il/case/18172814" TargetMode="External"/><Relationship Id="rId22" Type="http://schemas.openxmlformats.org/officeDocument/2006/relationships/hyperlink" Target="http://www.nevo.co.il/law/70301/300.a.2" TargetMode="External"/><Relationship Id="rId23" Type="http://schemas.openxmlformats.org/officeDocument/2006/relationships/hyperlink" Target="http://www.nevo.co.il/law/70301/30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05" TargetMode="External"/><Relationship Id="rId26" Type="http://schemas.openxmlformats.org/officeDocument/2006/relationships/hyperlink" Target="http://www.nevo.co.il/law/70301/144.a.;144.b" TargetMode="External"/><Relationship Id="rId27" Type="http://schemas.openxmlformats.org/officeDocument/2006/relationships/hyperlink" Target="http://www.nevo.co.il/law/70301/29" TargetMode="External"/><Relationship Id="rId28" Type="http://schemas.openxmlformats.org/officeDocument/2006/relationships/hyperlink" Target="http://www.nevo.co.il/law/70301/300.a.2" TargetMode="External"/><Relationship Id="rId29" Type="http://schemas.openxmlformats.org/officeDocument/2006/relationships/hyperlink" Target="http://www.nevo.co.il/law/70301/144.a.;144.b" TargetMode="External"/><Relationship Id="rId30" Type="http://schemas.openxmlformats.org/officeDocument/2006/relationships/hyperlink" Target="http://www.nevo.co.il/law/70301/29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5.a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300b.b" TargetMode="External"/><Relationship Id="rId35" Type="http://schemas.openxmlformats.org/officeDocument/2006/relationships/hyperlink" Target="http://www.nevo.co.il/law/70301/301a.a.9" TargetMode="External"/><Relationship Id="rId36" Type="http://schemas.openxmlformats.org/officeDocument/2006/relationships/hyperlink" Target="http://www.nevo.co.il/law/70301/301a.a.1" TargetMode="External"/><Relationship Id="rId37" Type="http://schemas.openxmlformats.org/officeDocument/2006/relationships/hyperlink" Target="http://www.nevo.co.il/law/70301/301a.b" TargetMode="External"/><Relationship Id="rId38" Type="http://schemas.openxmlformats.org/officeDocument/2006/relationships/hyperlink" Target="http://www.nevo.co.il/law/70301/301b.b.1" TargetMode="External"/><Relationship Id="rId39" Type="http://schemas.openxmlformats.org/officeDocument/2006/relationships/hyperlink" Target="http://www.nevo.co.il/law/70301/301a.a.9" TargetMode="External"/><Relationship Id="rId40" Type="http://schemas.openxmlformats.org/officeDocument/2006/relationships/hyperlink" Target="http://www.nevo.co.il/law/70301/301a.b" TargetMode="External"/><Relationship Id="rId41" Type="http://schemas.openxmlformats.org/officeDocument/2006/relationships/hyperlink" Target="http://www.nevo.co.il/law/70301/301a.a.9" TargetMode="External"/><Relationship Id="rId42" Type="http://schemas.openxmlformats.org/officeDocument/2006/relationships/hyperlink" Target="http://www.nevo.co.il/law/70301/301a.a.1" TargetMode="External"/><Relationship Id="rId43" Type="http://schemas.openxmlformats.org/officeDocument/2006/relationships/hyperlink" Target="http://www.nevo.co.il/law/70301/301a.a" TargetMode="External"/><Relationship Id="rId44" Type="http://schemas.openxmlformats.org/officeDocument/2006/relationships/hyperlink" Target="http://www.nevo.co.il/law/70301/300.a.2" TargetMode="External"/><Relationship Id="rId45" Type="http://schemas.openxmlformats.org/officeDocument/2006/relationships/hyperlink" Target="http://www.nevo.co.il/law/70301/301.a" TargetMode="External"/><Relationship Id="rId46" Type="http://schemas.openxmlformats.org/officeDocument/2006/relationships/hyperlink" Target="http://www.nevo.co.il/case/16910813" TargetMode="External"/><Relationship Id="rId47" Type="http://schemas.openxmlformats.org/officeDocument/2006/relationships/hyperlink" Target="http://www.nevo.co.il/case/5704544" TargetMode="External"/><Relationship Id="rId48" Type="http://schemas.openxmlformats.org/officeDocument/2006/relationships/hyperlink" Target="http://www.nevo.co.il/case/27361163" TargetMode="External"/><Relationship Id="rId49" Type="http://schemas.openxmlformats.org/officeDocument/2006/relationships/hyperlink" Target="http://www.nevo.co.il/case/5748918" TargetMode="External"/><Relationship Id="rId50" Type="http://schemas.openxmlformats.org/officeDocument/2006/relationships/hyperlink" Target="http://www.nevo.co.il/case/27418439" TargetMode="External"/><Relationship Id="rId51" Type="http://schemas.openxmlformats.org/officeDocument/2006/relationships/hyperlink" Target="http://www.nevo.co.il/case/27070289" TargetMode="External"/><Relationship Id="rId52" Type="http://schemas.openxmlformats.org/officeDocument/2006/relationships/hyperlink" Target="http://www.nevo.co.il/case/13041923" TargetMode="External"/><Relationship Id="rId53" Type="http://schemas.openxmlformats.org/officeDocument/2006/relationships/hyperlink" Target="http://www.nevo.co.il/case/20113639" TargetMode="External"/><Relationship Id="rId54" Type="http://schemas.openxmlformats.org/officeDocument/2006/relationships/hyperlink" Target="http://www.nevo.co.il/case/5804761" TargetMode="External"/><Relationship Id="rId55" Type="http://schemas.openxmlformats.org/officeDocument/2006/relationships/hyperlink" Target="http://www.nevo.co.il/case/23353997" TargetMode="External"/><Relationship Id="rId56" Type="http://schemas.openxmlformats.org/officeDocument/2006/relationships/hyperlink" Target="http://www.nevo.co.il/case/28313659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case/26995434" TargetMode="External"/><Relationship Id="rId59" Type="http://schemas.openxmlformats.org/officeDocument/2006/relationships/hyperlink" Target="http://www.nevo.co.il/law/70301/301a.a" TargetMode="External"/><Relationship Id="rId60" Type="http://schemas.openxmlformats.org/officeDocument/2006/relationships/hyperlink" Target="http://www.nevo.co.il/law/70301/301a.b" TargetMode="External"/><Relationship Id="rId61" Type="http://schemas.openxmlformats.org/officeDocument/2006/relationships/hyperlink" Target="http://www.nevo.co.il/law/70301/300b.b" TargetMode="External"/><Relationship Id="rId62" Type="http://schemas.openxmlformats.org/officeDocument/2006/relationships/hyperlink" Target="http://www.nevo.co.il/law/70301/301b.b.1" TargetMode="External"/><Relationship Id="rId63" Type="http://schemas.openxmlformats.org/officeDocument/2006/relationships/hyperlink" Target="http://www.nevo.co.il/case/27260053" TargetMode="External"/><Relationship Id="rId64" Type="http://schemas.openxmlformats.org/officeDocument/2006/relationships/hyperlink" Target="http://www.nevo.co.il/case/25441697" TargetMode="External"/><Relationship Id="rId65" Type="http://schemas.openxmlformats.org/officeDocument/2006/relationships/hyperlink" Target="http://www.nevo.co.il/case/26205760" TargetMode="External"/><Relationship Id="rId66" Type="http://schemas.openxmlformats.org/officeDocument/2006/relationships/hyperlink" Target="http://www.nevo.co.il/case/27907586" TargetMode="External"/><Relationship Id="rId67" Type="http://schemas.openxmlformats.org/officeDocument/2006/relationships/hyperlink" Target="http://www.nevo.co.il/law/70301/301a.a.9" TargetMode="External"/><Relationship Id="rId68" Type="http://schemas.openxmlformats.org/officeDocument/2006/relationships/hyperlink" Target="http://www.nevo.co.il/safrut/bookgroup/2063" TargetMode="External"/><Relationship Id="rId69" Type="http://schemas.openxmlformats.org/officeDocument/2006/relationships/hyperlink" Target="http://www.nevo.co.il/case/25274374" TargetMode="External"/><Relationship Id="rId70" Type="http://schemas.openxmlformats.org/officeDocument/2006/relationships/hyperlink" Target="http://www.nevo.co.il/case/22793929" TargetMode="External"/><Relationship Id="rId71" Type="http://schemas.openxmlformats.org/officeDocument/2006/relationships/hyperlink" Target="http://www.nevo.co.il/case/25246134" TargetMode="External"/><Relationship Id="rId72" Type="http://schemas.openxmlformats.org/officeDocument/2006/relationships/hyperlink" Target="http://www.nevo.co.il/law/70301/301a.b" TargetMode="External"/><Relationship Id="rId73" Type="http://schemas.openxmlformats.org/officeDocument/2006/relationships/hyperlink" Target="http://www.nevo.co.il/law/70301/300.a.2" TargetMode="External"/><Relationship Id="rId74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law/70301/305" TargetMode="External"/><Relationship Id="rId76" Type="http://schemas.openxmlformats.org/officeDocument/2006/relationships/hyperlink" Target="http://www.nevo.co.il/law/70301/300.a" TargetMode="External"/><Relationship Id="rId77" Type="http://schemas.openxmlformats.org/officeDocument/2006/relationships/hyperlink" Target="http://www.nevo.co.il/law/70301/300.a.2" TargetMode="External"/><Relationship Id="rId78" Type="http://schemas.openxmlformats.org/officeDocument/2006/relationships/hyperlink" Target="https://supreme.court.gov.il/" TargetMode="External"/><Relationship Id="rId79" Type="http://schemas.openxmlformats.org/officeDocument/2006/relationships/hyperlink" Target="http://www.nevo.co.il/advertisements/nevo-100.doc" TargetMode="External"/><Relationship Id="rId80" Type="http://schemas.openxmlformats.org/officeDocument/2006/relationships/header" Target="header1.xml"/><Relationship Id="rId81" Type="http://schemas.openxmlformats.org/officeDocument/2006/relationships/footer" Target="footer1.xml"/><Relationship Id="rId82" Type="http://schemas.openxmlformats.org/officeDocument/2006/relationships/numbering" Target="numbering.xml"/><Relationship Id="rId83" Type="http://schemas.openxmlformats.org/officeDocument/2006/relationships/fontTable" Target="fontTable.xml"/><Relationship Id="rId84" Type="http://schemas.openxmlformats.org/officeDocument/2006/relationships/settings" Target="settings.xml"/><Relationship Id="rId8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2023-01-16T09:15:00Z</dcterms:created>
  <dc:creator>h4</dc:creator>
  <dc:description/>
  <cp:keywords/>
  <dc:language>en-IL</dc:language>
  <cp:lastModifiedBy>orly</cp:lastModifiedBy>
  <cp:lastPrinted>2023-01-15T08:31:00Z</cp:lastPrinted>
  <dcterms:modified xsi:type="dcterms:W3CDTF">2023-01-16T09:15:00Z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רפעת עודה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2063</vt:lpwstr>
  </property>
  <property fmtid="{D5CDD505-2E9C-101B-9397-08002B2CF9AE}" pid="9" name="CASESLISTTMP1">
    <vt:lpwstr>18172814:2;16910813;5704544;27361163;5748918;27418439;27070289;13041923;20113639;5804761;23353997;28313659;26995434;27260053;25441697;26205760;27907586;25274374;22793929;25246134</vt:lpwstr>
  </property>
  <property fmtid="{D5CDD505-2E9C-101B-9397-08002B2CF9AE}" pid="10" name="CITY">
    <vt:lpwstr/>
  </property>
  <property fmtid="{D5CDD505-2E9C-101B-9397-08002B2CF9AE}" pid="11" name="DATE">
    <vt:lpwstr>20230115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אלרון;א' שטיין;ג' כנפי שטייניץ</vt:lpwstr>
  </property>
  <property fmtid="{D5CDD505-2E9C-101B-9397-08002B2CF9AE}" pid="15" name="LAWLISTTMP1">
    <vt:lpwstr>70301/300.a.2:5;301;305:2;144.a:2;144.b:2;029:2;005.a;300b.b:2;301a.a.9:4;301a.a.1:2;301a.b:4;301b.b.1:2;301a.a:2;301.a;300.a</vt:lpwstr>
  </property>
  <property fmtid="{D5CDD505-2E9C-101B-9397-08002B2CF9AE}" pid="16" name="LAWYER">
    <vt:lpwstr>אושרה פטל רוזנברג;עופר אשכנזי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</vt:lpwstr>
  </property>
  <property fmtid="{D5CDD505-2E9C-101B-9397-08002B2CF9AE}" pid="38" name="NOSE21">
    <vt:lpwstr>עבירת הרצח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12455;1446;1446;1446;1446</vt:lpwstr>
  </property>
  <property fmtid="{D5CDD505-2E9C-101B-9397-08002B2CF9AE}" pid="49" name="NOSE31">
    <vt:lpwstr>תיקון 137</vt:lpwstr>
  </property>
  <property fmtid="{D5CDD505-2E9C-101B-9397-08002B2CF9AE}" pid="50" name="NOSE310">
    <vt:lpwstr/>
  </property>
  <property fmtid="{D5CDD505-2E9C-101B-9397-08002B2CF9AE}" pid="51" name="NOSE32">
    <vt:lpwstr>תיקון 137</vt:lpwstr>
  </property>
  <property fmtid="{D5CDD505-2E9C-101B-9397-08002B2CF9AE}" pid="52" name="NOSE33">
    <vt:lpwstr>מדיניות ענישה: עבירת רצח</vt:lpwstr>
  </property>
  <property fmtid="{D5CDD505-2E9C-101B-9397-08002B2CF9AE}" pid="53" name="NOSE34">
    <vt:lpwstr>עבירת רצח</vt:lpwstr>
  </property>
  <property fmtid="{D5CDD505-2E9C-101B-9397-08002B2CF9AE}" pid="54" name="NOSE35">
    <vt:lpwstr>ענישה מופחתת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18905;18866;14615;19583;9003</vt:lpwstr>
  </property>
  <property fmtid="{D5CDD505-2E9C-101B-9397-08002B2CF9AE}" pid="60" name="PADIDATE">
    <vt:lpwstr>20230116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3546</vt:lpwstr>
  </property>
  <property fmtid="{D5CDD505-2E9C-101B-9397-08002B2CF9AE}" pid="66" name="PROCYEAR">
    <vt:lpwstr>19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410120230115</vt:lpwstr>
  </property>
  <property fmtid="{D5CDD505-2E9C-101B-9397-08002B2CF9AE}" pid="70" name="TYPE_N_DATE">
    <vt:lpwstr>41020230115</vt:lpwstr>
  </property>
  <property fmtid="{D5CDD505-2E9C-101B-9397-08002B2CF9AE}" pid="71" name="VOLUME">
    <vt:lpwstr/>
  </property>
  <property fmtid="{D5CDD505-2E9C-101B-9397-08002B2CF9AE}" pid="72" name="WORDNUMPAGES">
    <vt:lpwstr>23</vt:lpwstr>
  </property>
</Properties>
</file>