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3568/20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עשור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החלטתו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25530-09-10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30.5.2013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שניתנה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זלוצובר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שלמה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פרידלנדר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כהן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3.12.2020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ארדיטי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נדרש לסוגיית אופן החלתה למפרע של עבירת ההמתה בנסיבות של אחריות מופחתת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שנוספה לחוק העונשין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ופסק כי מגזר דינו של המערער שניתן לפני כניסתו לתוקף של התיקון עולה כי ההקלה בעונשו של המערער נעשתה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ובנסיבות אלו יש לראות את המערער כמי שביצע עבירת המתה בנסיבות של אחריות מופחתת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ולהורות על קיצור עונש המאסר בפועל שנגזר עליו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ענישה מופחתת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בביצוע עבירת רצח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כנוסחו עובר לחקיקת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גזר על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מופחת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כנוסחו עובר 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והשית עליו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לצד 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לא ציין במפורש לפי אלו מבין הנסיבות המנויות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יש כדי להצדיק הקלה זו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כעבור מספר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נקבע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מי שהורשע בעבירת רצח לפי הגדרתה בחוק עובר לחקיקת התיקון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ונקבעה לגביו ענישה מופחתת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יראו אותו כמי שהורשע בעבירה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המתה בנסיבות של אחריות מופחתת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 לחוק זה על חלופותיו השונות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ועונשו המרבי יהיה לפי הקבוע באותו סעיף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נעתר לבקשת המשיבה לקיצור עונש המאסר בפועל שנגזר על המערער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הערעור בו נטען כי יש לקצר את העונש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השופטים הנדל וברק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במוקד הערעור מצוי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מבטל למפרע את תיוגו כרוצח של מי שהורשע בעבירת רצח ונגזר עליו עונש שאינו מאסר עולם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האמור לפני חקיקת התיקון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ולעיתים אף מורה על קיצור 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קבע המחוקק כי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 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שנחקק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יחול באופן רטרוספקטיבי הן במישור האחריות הפלילית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שהרשעתו בעבירת הרצח של מי שעונשו נגזר עליו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תבוטל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ותחת זאת ייקבע כי ביצע עבירת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המתה בנסיבות של אחריות מופחתת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 והן </w:t>
      </w:r>
      <w:r>
        <w:rPr>
          <w:rStyle w:val="Emphasis"/>
          <w:rFonts w:ascii="Times New Roman" w:hAnsi="Times New Roman"/>
          <w:sz w:val="24"/>
          <w:sz w:val="24"/>
          <w:szCs w:val="26"/>
          <w:rtl w:val="true"/>
        </w:rPr>
        <w:t>במישור</w:t>
      </w:r>
      <w:r>
        <w:rPr>
          <w:rStyle w:val="Emphasis"/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Style w:val="Emphasis"/>
          <w:rFonts w:ascii="Times New Roman" w:hAnsi="Times New Roman"/>
          <w:sz w:val="24"/>
          <w:sz w:val="24"/>
          <w:szCs w:val="26"/>
          <w:rtl w:val="true"/>
        </w:rPr>
        <w:t>הענישה</w:t>
      </w:r>
      <w:r>
        <w:rPr>
          <w:rStyle w:val="Emphasis"/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שעונשו של אותו אדם יופחת בהתאם לעונש המרבי הקבוע בעבירה החדשה שבה הוא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תוך הפנייה לסעיף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תחולתו הרטרוספקטיבית של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 במישור האחריות הפלילית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במקרים שבהם ניתן פסק דין חלוט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חורגת מהוראות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 הוראותיו שינוי בחוק הנוגע להגדרתה של עבירה או לאחריות המוטלת בגינה יחול לגבי מעשה שבוצע עובר לשינוי זה רק במקרים שבהם טרם ניתן פסק דין חלוט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כבר ניתן פסק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השינוי יחול לעניין העונש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במקרים שבהם נקבע עונש מקל לאותה עבירה שנקבעה עובר לשינוי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והעונש אשר נגזר עליו מלכתחילה חמור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בפסיקה ננקטה פרשנות מצמצמת לסעיף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שאין להחילו במקרים שבהם הדבר מצריך את פתיחת ההליך מחדש והפעלת שיקול דעת שיפוטי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מאפייניו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כונה כלל זה לעיתים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הגיליוטינה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באופן המבקש להמחיש כי כל שהסעיף מאפשר הוא קיצור טכני של </w:t>
      </w:r>
      <w:r>
        <w:rPr>
          <w:rStyle w:val="Emphasis"/>
          <w:rFonts w:ascii="Times New Roman" w:hAnsi="Times New Roman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מורה על תחולתה הרטרוספקטיבית של עבירת ההמתה בנסיבות של אחריות מופחתת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 על עבריינים שהורשעו בפסק דין חלוט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במישור האחריות הפלילית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במישור העונש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לפרש הרחבה זו של תחולתו הרטרוספקטיבית של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 כוויתור על עקרון סופיות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מורה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עבירה שבוצעה לפני יום התחילה וניתן פסק דין חלוט בעניינה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יחול הדין הישן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שרק במקרים שבהם כבר נקבע כי יש לגזור את עונשו של מי שהורשע ברצח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מורה הסעיף כי עבירת ההמתה בנסיבות של אחריות מופחתת תחול למפרע ותיוגו כרוצח יבוטל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 לתחולת עבירת ההמתה בנסיבות של אחריות מופחתת למפרע על מי שהורשע ברצח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כי יש לבחון את האמור בפסק הדין שבו נגזר העונש המקל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לבחון מחדש את נסיבותיו של כל מקרה ומקרה שבו הורשע אדם ברצח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דנן מתעורר קושי מסוים בהחלת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בגזר הדין שניתן בעניינו של המערער לא צוין במפורש לפי איזה מסעיפיו הקטנים של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כנוסחו עובר לחקיקת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נקבעה ההקלה בעונשו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גזר הדין פירט בהרחבה את הנסיבות שהצדיקו את ההקלה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ונראה כי ההצדקה להקלה בעונשו הוא הקושי שעמד בפני המערער להבחין נכוחה במציאות שניצבת מולו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ולהבין את הפסול שבמעשיו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כדרישת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לראות את המערער כמי שביצע עבירת המתה בנסיבות של אחריות מופחתת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ולהורות על קיצור עונש המאסר בפועל שנגזר עליו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תיוגו של המערער כרוצח יימחק ועונשו יומתק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קושי זה הוא תוצר של יישום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הגיליוטינה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והחלתו אף באשר להיקף אחריותו הפלילית של מי שהורשע בעבר ברצח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הותרת מקום לשיקול דעת שיפוטי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הנדל העיר כי במקרה בו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לא ציין בפסק דינו במפורש מהן נסיבות המקרה המצדיקות מתן עונש מופחת על עבירת הרצח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במקרה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צורך לפרש את פסק הדין ואת העולה ממנו ביחס לנסיבות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שאמנם שיקול הדעת מצומצם ומוגדר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עודנו שיקול דעת במקרים הדורשים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ascii="FrankRuehl" w:hAnsi="FrankRuehl"/>
          <w:rtl w:val="true"/>
        </w:rPr>
        <w:t>–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תיקון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</w:rPr>
        <w:t>137</w:t>
      </w:r>
      <w:r>
        <w:rPr>
          <w:rtl w:val="true"/>
        </w:rPr>
        <w:t>)).</w:t>
      </w:r>
    </w:p>
    <w:p>
      <w:pPr>
        <w:pStyle w:val="Style13"/>
        <w:ind w:end="0"/>
        <w:jc w:val="both"/>
        <w:rPr/>
      </w:pP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25530-09-10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26.2.2020</w:t>
      </w:r>
      <w:r>
        <w:rPr>
          <w:rtl w:val="true"/>
        </w:rPr>
        <w:t xml:space="preserve">,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זלוצ</w:t>
      </w:r>
      <w:r>
        <w:rPr>
          <w:rStyle w:val="Emphasis"/>
          <w:rtl w:val="true"/>
        </w:rPr>
        <w:t>'</w:t>
      </w:r>
      <w:r>
        <w:rPr>
          <w:rStyle w:val="Emphasis"/>
          <w:rtl w:val="true"/>
        </w:rPr>
        <w:t>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ש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פרידלנדר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Style w:val="Emphasis"/>
          <w:rtl w:val="true"/>
        </w:rPr>
        <w:t>ד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tl w:val="true"/>
        </w:rPr>
        <w:t>ודחה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רקע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27.2.2012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28.8.2010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קופסת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הוחלפו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מהלומות</w:t>
      </w:r>
      <w:r>
        <w:rPr>
          <w:rtl w:val="true"/>
        </w:rPr>
        <w:t xml:space="preserve">, </w:t>
      </w:r>
      <w:r>
        <w:rPr>
          <w:rtl w:val="true"/>
        </w:rPr>
        <w:t>משקפי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משהבחינו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שוקר</w:t>
      </w:r>
      <w:r>
        <w:rPr>
          <w:rtl w:val="true"/>
        </w:rPr>
        <w:t xml:space="preserve">" </w:t>
      </w:r>
      <w:r>
        <w:rPr>
          <w:rtl w:val="true"/>
        </w:rPr>
        <w:t>חשמלי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tl w:val="true"/>
        </w:rPr>
        <w:t xml:space="preserve">,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ומונשם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מפצעיו</w:t>
      </w:r>
      <w:r>
        <w:rPr>
          <w:rtl w:val="true"/>
        </w:rPr>
        <w:t>.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3.5.2013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הבכירה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ח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סלוטקי</w:t>
      </w:r>
      <w:r>
        <w:rPr>
          <w:rtl w:val="true"/>
        </w:rPr>
        <w:t xml:space="preserve">,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מ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Style w:val="Emphasis"/>
          <w:rtl w:val="true"/>
        </w:rPr>
        <w:t>ש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פרידלנדר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גלויה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</w:t>
      </w:r>
      <w:r>
        <w:rPr>
          <w:rtl w:val="true"/>
        </w:rPr>
        <w:t>]</w:t>
      </w:r>
      <w:r>
        <w:rPr>
          <w:rtl w:val="true"/>
        </w:rPr>
        <w:t>אמיתי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מדומה</w:t>
      </w:r>
      <w:r>
        <w:rPr>
          <w:rtl w:val="true"/>
        </w:rPr>
        <w:t>".</w:t>
      </w:r>
    </w:p>
    <w:p>
      <w:pPr>
        <w:pStyle w:val="Style13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באימפולסיביות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בדיסאוריינטציה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ויזואלית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" (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סיגלר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נחקק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ונקבעה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",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; </w:t>
      </w:r>
      <w:r>
        <w:rPr>
          <w:rtl w:val="true"/>
        </w:rPr>
        <w:t>ועונשו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>.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tl w:val="true"/>
        </w:rPr>
        <w:t>:</w:t>
      </w:r>
    </w:p>
    <w:p>
      <w:pPr>
        <w:pStyle w:val="Quote"/>
        <w:ind w:hanging="510" w:start="2154" w:end="1276"/>
        <w:jc w:val="both"/>
        <w:rPr>
          <w:spacing w:val="8"/>
        </w:rPr>
      </w:pPr>
      <w:r>
        <w:rPr>
          <w:b/>
          <w:spacing w:val="8"/>
          <w:rtl w:val="true"/>
        </w:rPr>
        <w:t xml:space="preserve">"... </w:t>
      </w:r>
      <w:r>
        <w:rPr>
          <w:b/>
          <w:b/>
          <w:spacing w:val="8"/>
          <w:rtl w:val="true"/>
        </w:rPr>
        <w:t>הגורם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בכוונה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או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באדישות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למותו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של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אדם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באחת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מהנסיבות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המפורטות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להלן</w:t>
      </w:r>
      <w:r>
        <w:rPr>
          <w:b/>
          <w:spacing w:val="8"/>
          <w:rtl w:val="true"/>
        </w:rPr>
        <w:t xml:space="preserve">, </w:t>
      </w:r>
      <w:r>
        <w:rPr>
          <w:b/>
          <w:b/>
          <w:spacing w:val="8"/>
          <w:rtl w:val="true"/>
        </w:rPr>
        <w:t>דינו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–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מאסר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עשרים</w:t>
      </w:r>
      <w:r>
        <w:rPr>
          <w:rFonts w:eastAsia="Arial TUR;Arial" w:cs="Arial TUR;Arial"/>
          <w:b/>
          <w:b/>
          <w:spacing w:val="8"/>
          <w:rtl w:val="true"/>
        </w:rPr>
        <w:t xml:space="preserve"> </w:t>
      </w:r>
      <w:r>
        <w:rPr>
          <w:b/>
          <w:b/>
          <w:spacing w:val="8"/>
          <w:rtl w:val="true"/>
        </w:rPr>
        <w:t>שנים</w:t>
      </w:r>
      <w:r>
        <w:rPr>
          <w:b/>
          <w:spacing w:val="8"/>
          <w:rtl w:val="true"/>
        </w:rPr>
        <w:t>:</w:t>
      </w:r>
    </w:p>
    <w:p>
      <w:pPr>
        <w:pStyle w:val="Quote"/>
        <w:ind w:hanging="510" w:start="2154" w:end="1276"/>
        <w:jc w:val="both"/>
        <w:rPr>
          <w:rFonts w:ascii="Century" w:hAnsi="Century" w:cs="Century"/>
          <w:spacing w:val="8"/>
        </w:rPr>
      </w:pPr>
      <w:r>
        <w:rPr>
          <w:rFonts w:cs="Century" w:ascii="Century" w:hAnsi="Century"/>
          <w:spacing w:val="8"/>
          <w:rtl w:val="true"/>
        </w:rPr>
        <w:t>...</w:t>
      </w:r>
    </w:p>
    <w:p>
      <w:pPr>
        <w:pStyle w:val="Quote"/>
        <w:ind w:hanging="510" w:start="2154" w:end="1276"/>
        <w:jc w:val="both"/>
        <w:rPr/>
      </w:pPr>
      <w:r>
        <w:rPr>
          <w:rFonts w:cs="Century" w:ascii="Century" w:hAnsi="Century"/>
          <w:spacing w:val="8"/>
          <w:rtl w:val="true"/>
        </w:rPr>
        <w:t>(</w:t>
      </w:r>
      <w:r>
        <w:rPr>
          <w:rFonts w:cs="Century" w:ascii="Century" w:hAnsi="Century"/>
          <w:spacing w:val="8"/>
        </w:rPr>
        <w:t>2</w:t>
      </w:r>
      <w:r>
        <w:rPr>
          <w:rFonts w:cs="Century" w:ascii="Century" w:hAnsi="Century"/>
          <w:spacing w:val="8"/>
          <w:rtl w:val="true"/>
        </w:rPr>
        <w:t>)</w:t>
        <w:tab/>
      </w:r>
      <w:r>
        <w:rPr>
          <w:rFonts w:ascii="Century" w:hAnsi="Century" w:cs="Century"/>
          <w:spacing w:val="8"/>
          <w:rtl w:val="true"/>
        </w:rPr>
        <w:t>המעשה נעשה במצב שבו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>בשל הפרעה נפשית חמורה או בשל ליקוי בכושרו השכלי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>הוגבלה יכולתו של הנאשם במידה ניכרת</w:t>
      </w:r>
      <w:r>
        <w:rPr>
          <w:rFonts w:cs="Century" w:ascii="Century" w:hAnsi="Century"/>
          <w:spacing w:val="8"/>
          <w:rtl w:val="true"/>
        </w:rPr>
        <w:t xml:space="preserve">, </w:t>
      </w:r>
      <w:r>
        <w:rPr>
          <w:rFonts w:ascii="Century" w:hAnsi="Century" w:cs="Century"/>
          <w:spacing w:val="8"/>
          <w:rtl w:val="true"/>
        </w:rPr>
        <w:t xml:space="preserve">אך לא עד כדי חוסר יכולת של ממש כאמור בסעיף </w:t>
      </w:r>
      <w:r>
        <w:rPr>
          <w:rFonts w:cs="Century" w:ascii="Century" w:hAnsi="Century"/>
          <w:spacing w:val="8"/>
        </w:rPr>
        <w:t>34</w:t>
      </w:r>
      <w:r>
        <w:rPr>
          <w:rFonts w:ascii="Century" w:hAnsi="Century" w:cs="Century"/>
          <w:spacing w:val="8"/>
          <w:rtl w:val="true"/>
        </w:rPr>
        <w:t>ח –</w:t>
      </w:r>
    </w:p>
    <w:p>
      <w:pPr>
        <w:pStyle w:val="Quote"/>
        <w:ind w:hanging="482" w:start="2636" w:end="1276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)</w:t>
        <w:tab/>
      </w:r>
      <w:r>
        <w:rPr>
          <w:rFonts w:ascii="Century" w:hAnsi="Century" w:cs="Century"/>
          <w:rtl w:val="true"/>
        </w:rPr>
        <w:t>להבין את אשר הוא עושה או את הפסול שבמעשהו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או</w:t>
      </w:r>
    </w:p>
    <w:p>
      <w:pPr>
        <w:pStyle w:val="Quote"/>
        <w:ind w:hanging="482" w:start="2636" w:end="1276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)</w:t>
        <w:tab/>
      </w:r>
      <w:r>
        <w:rPr>
          <w:rFonts w:ascii="Century" w:hAnsi="Century" w:cs="Century"/>
          <w:rtl w:val="true"/>
        </w:rPr>
        <w:t>להימנע מעשיית המעשה</w:t>
      </w:r>
      <w:r>
        <w:rPr>
          <w:rFonts w:cs="Century" w:ascii="Century" w:hAnsi="Century"/>
          <w:rtl w:val="true"/>
        </w:rPr>
        <w:t>".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Quote"/>
        <w:ind w:end="1276"/>
        <w:jc w:val="both"/>
        <w:rPr/>
      </w:pPr>
      <w:r>
        <w:rPr>
          <w:rFonts w:cs="Century" w:ascii="Century" w:hAnsi="Century"/>
          <w:rtl w:val="true"/>
        </w:rPr>
        <w:t xml:space="preserve">"... </w:t>
      </w:r>
      <w:r>
        <w:rPr>
          <w:rFonts w:ascii="Century" w:hAnsi="Century" w:cs="Century"/>
          <w:rtl w:val="true"/>
        </w:rPr>
        <w:t>הגורם בכוונה או באדישות למותו של אדם והמעשה נעשה כשהנאשם היה נתון במצב של מצוקה נפשית 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עקב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התעללות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ומתמשכת</w:t>
      </w:r>
      <w:r>
        <w:rPr>
          <w:rFonts w:ascii="Century" w:hAnsi="Century" w:cs="Century"/>
          <w:rtl w:val="true"/>
        </w:rPr>
        <w:t xml:space="preserve"> בו או בבן 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בידי מי שהנאשם גרם למותו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דינו – מאסר חמש עשרה שנים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החלטת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26.2.2020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</w:t>
      </w:r>
      <w:r>
        <w:rPr>
          <w:rtl w:val="true"/>
        </w:rPr>
        <w:t xml:space="preserve">"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"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לאחר שבחן בין היתר את טיעוני הצדדים לעונש אשר קדמו לגזר הדין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הגיע בית המשפט המחוזי לכלל מסקנה כי הצדדים הסכימו על קיומן של נסיבות המצדיקות הקלה בעונשו של 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302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נפקות</w:t>
      </w:r>
      <w:r>
        <w:rPr>
          <w:rtl w:val="true"/>
        </w:rPr>
        <w:t xml:space="preserve">"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, "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"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;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טכני</w:t>
      </w:r>
      <w:r>
        <w:rPr>
          <w:rtl w:val="true"/>
        </w:rPr>
        <w:t>-</w:t>
      </w:r>
      <w:r>
        <w:rPr>
          <w:rtl w:val="true"/>
        </w:rPr>
        <w:t>אדמיניסטרטיב</w:t>
      </w:r>
      <w:r>
        <w:rPr>
          <w:rtl w:val="true"/>
        </w:rPr>
        <w:t>י</w:t>
      </w:r>
      <w:r>
        <w:rPr>
          <w:rtl w:val="true"/>
        </w:rPr>
        <w:t xml:space="preserve">",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>.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ascii="FrankRuehl" w:hAnsi="FrankRuehl"/>
          <w:rtl w:val="true"/>
        </w:rPr>
        <w:t>–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;Arial" w:cs="Arial TUR;Arial"/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, </w:t>
      </w:r>
      <w:r>
        <w:rPr/>
        <w:t>166</w:t>
      </w:r>
      <w:r>
        <w:rPr>
          <w:rtl w:val="true"/>
        </w:rPr>
        <w:t xml:space="preserve">). </w:t>
      </w:r>
    </w:p>
    <w:p>
      <w:pPr>
        <w:pStyle w:val="Style13"/>
        <w:ind w:end="0"/>
        <w:jc w:val="both"/>
        <w:rPr/>
      </w:pP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הוגדרו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חובה</w:t>
      </w:r>
      <w:r>
        <w:rPr>
          <w:rtl w:val="true"/>
        </w:rPr>
        <w:t xml:space="preserve">;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בסיסית</w:t>
      </w:r>
      <w:r>
        <w:rPr>
          <w:rtl w:val="true"/>
        </w:rPr>
        <w:t xml:space="preserve">" </w:t>
      </w:r>
      <w:r>
        <w:rPr>
          <w:rtl w:val="true"/>
        </w:rPr>
        <w:t>שעונשה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;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יהוו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מבטל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למפרע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;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>:</w:t>
      </w:r>
    </w:p>
    <w:p>
      <w:pPr>
        <w:pStyle w:val="Quote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tl w:val="true"/>
        </w:rPr>
        <w:t xml:space="preserve">, 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301</w:t>
      </w:r>
      <w:r>
        <w:rPr>
          <w:rtl w:val="true"/>
        </w:rPr>
        <w:t>ב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רטרוספקטיבי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: </w:t>
      </w:r>
    </w:p>
    <w:p>
      <w:pPr>
        <w:pStyle w:val="Style13"/>
        <w:keepNext w:val="true"/>
        <w:ind w:end="0"/>
        <w:jc w:val="both"/>
        <w:rPr/>
      </w:pPr>
      <w:r>
        <w:rPr>
          <w:rStyle w:val="Emphasis"/>
          <w:rtl w:val="true"/>
        </w:rPr>
        <w:t>במישור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האחריות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תבוטל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Style13"/>
        <w:ind w:end="0"/>
        <w:jc w:val="both"/>
        <w:rPr>
          <w:rFonts w:ascii="Century" w:hAnsi="Century" w:cs="Century"/>
        </w:rPr>
      </w:pPr>
      <w:r>
        <w:rPr>
          <w:rStyle w:val="Emphasis"/>
          <w:rtl w:val="true"/>
        </w:rPr>
        <w:t>במישור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קובע הסעיף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כי עונשו של אותו אדם יופחת בהתאם לעונש המרבי הקבוע בעבירה החדשה שבה הוא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הפנייה </w:t>
      </w:r>
      <w:hyperlink r:id="rId55">
        <w:r>
          <w:rPr>
            <w:rStyle w:val="Hyperlink"/>
            <w:rFonts w:ascii="Century" w:hAnsi="Century" w:cs="Century"/>
            <w:rtl w:val="true"/>
          </w:rPr>
          <w:t>לסעיף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אליו נידרש להלן</w:t>
      </w:r>
      <w:r>
        <w:rPr>
          <w:rFonts w:cs="Century" w:ascii="Century" w:hAnsi="Century"/>
          <w:rtl w:val="true"/>
        </w:rPr>
        <w:t>.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הרטרוספקטיבית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מהוראותיו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Quote"/>
        <w:keepNext w:val="true"/>
        <w:ind w:end="1276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; "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" –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.</w:t>
      </w:r>
    </w:p>
    <w:p>
      <w:pPr>
        <w:pStyle w:val="Quote"/>
        <w:ind w:end="1276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שלפי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בחיקוק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מאפייניו</w:t>
      </w:r>
      <w:r>
        <w:rPr>
          <w:rtl w:val="true"/>
        </w:rPr>
        <w:t xml:space="preserve">, </w:t>
      </w:r>
      <w:r>
        <w:rPr>
          <w:rtl w:val="true"/>
        </w:rPr>
        <w:t>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הגיליוטינה</w:t>
      </w:r>
      <w:r>
        <w:rPr>
          <w:rtl w:val="true"/>
        </w:rPr>
        <w:t xml:space="preserve">",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הרצון שלא להפלות לרעה עבריינים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שהורשעו בפסק דין חלוט לפני תיקון החוק אשר הפחית בעונש </w:t>
      </w:r>
      <w:r>
        <w:rPr>
          <w:rFonts w:ascii="FrankRuehl" w:hAnsi="FrankRuehl"/>
          <w:color w:val="000000"/>
          <w:sz w:val="28"/>
          <w:sz w:val="28"/>
          <w:rtl w:val="true"/>
        </w:rPr>
        <w:t>לבין עקרון סופיות 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7853/05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רחמיאן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Fonts w:eastAsia="FrankRuehl" w:ascii="FrankRuehl" w:hAnsi="FrankRuehl"/>
          <w:rtl w:val="true"/>
        </w:rPr>
        <w:t>–</w:t>
      </w:r>
      <w:r>
        <w:rPr/>
        <w:t>11</w:t>
      </w:r>
      <w:r>
        <w:rPr>
          <w:rtl w:val="true"/>
        </w:rPr>
        <w:t xml:space="preserve"> (</w:t>
      </w:r>
      <w:r>
        <w:rPr/>
        <w:t>27.11.2006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Style13"/>
        <w:ind w:end="0"/>
        <w:jc w:val="both"/>
        <w:rPr/>
      </w:pP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הרטרוספקטיבית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הרטרוספקטיבית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מתוחם</w:t>
      </w:r>
      <w:r>
        <w:rPr>
          <w:rtl w:val="true"/>
        </w:rPr>
        <w:t xml:space="preserve">, </w:t>
      </w:r>
      <w:r>
        <w:rPr>
          <w:rtl w:val="true"/>
        </w:rPr>
        <w:t>ומורה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".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752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>–</w:t>
      </w:r>
      <w:r>
        <w:rPr/>
        <w:t>40</w:t>
      </w:r>
      <w:r>
        <w:rPr>
          <w:rtl w:val="true"/>
        </w:rPr>
        <w:t xml:space="preserve"> (</w:t>
      </w:r>
      <w:r>
        <w:rPr/>
        <w:t>31.12.2018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פרוטוקול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הדיון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בעניין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סעיף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</w:rPr>
        <w:t>25</w:t>
      </w:r>
      <w:r>
        <w:rPr>
          <w:rStyle w:val="Emphasis"/>
          <w:rtl w:val="true"/>
        </w:rPr>
        <w:t>(</w:t>
      </w:r>
      <w:r>
        <w:rPr>
          <w:rStyle w:val="Emphasis"/>
          <w:rtl w:val="true"/>
        </w:rPr>
        <w:t>ג</w:t>
      </w:r>
      <w:r>
        <w:rPr>
          <w:rStyle w:val="Emphasis"/>
          <w:rtl w:val="true"/>
        </w:rPr>
        <w:t xml:space="preserve">) </w:t>
      </w:r>
      <w:r>
        <w:rPr>
          <w:rStyle w:val="Emphasis"/>
          <w:rtl w:val="true"/>
        </w:rPr>
        <w:t>לתיקון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</w:rPr>
        <w:t>137</w:t>
      </w:r>
      <w:r>
        <w:rPr>
          <w:rStyle w:val="Emphasis"/>
          <w:rtl w:val="true"/>
        </w:rPr>
        <w:t xml:space="preserve"> </w:t>
      </w:r>
      <w:r>
        <w:rPr>
          <w:rStyle w:val="Emphasis"/>
          <w:rtl w:val="true"/>
        </w:rPr>
        <w:t>בוועדת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חוקה</w:t>
      </w:r>
      <w:r>
        <w:rPr>
          <w:rStyle w:val="Emphasis"/>
          <w:rtl w:val="true"/>
        </w:rPr>
        <w:t xml:space="preserve">, </w:t>
      </w:r>
      <w:r>
        <w:rPr>
          <w:rStyle w:val="Emphasis"/>
          <w:rtl w:val="true"/>
        </w:rPr>
        <w:t>חוק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ומשפט</w:t>
      </w:r>
      <w:r>
        <w:rPr>
          <w:rtl w:val="true"/>
        </w:rPr>
        <w:t xml:space="preserve">)). </w:t>
      </w:r>
    </w:p>
    <w:p>
      <w:pPr>
        <w:pStyle w:val="Style13"/>
        <w:ind w:end="0"/>
        <w:jc w:val="both"/>
        <w:rPr/>
      </w:pP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>–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rtl w:val="true"/>
        </w:rPr>
        <w:t>פרוטוקול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הדיון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בעניין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סעיף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</w:rPr>
        <w:t>25</w:t>
      </w:r>
      <w:r>
        <w:rPr>
          <w:b/>
          <w:rtl w:val="true"/>
        </w:rPr>
        <w:t>(</w:t>
      </w:r>
      <w:r>
        <w:rPr>
          <w:b/>
          <w:b/>
          <w:rtl w:val="true"/>
        </w:rPr>
        <w:t>ג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לתיקון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</w:rPr>
        <w:t>137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בוועדת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חוקה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חוק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ומשפט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5293/19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סלומון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כנסת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19.11.2019</w:t>
      </w:r>
      <w:r>
        <w:rPr>
          <w:rtl w:val="true"/>
        </w:rPr>
        <w:t xml:space="preserve">);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2928/20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ביטון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24.11.2020</w:t>
      </w:r>
      <w:r>
        <w:rPr>
          <w:rtl w:val="true"/>
        </w:rPr>
        <w:t>)).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בהחלת</w:t>
      </w:r>
      <w:r>
        <w:rPr>
          <w:rFonts w:eastAsia="Arial TUR;Arial" w:cs="Arial TUR;Arial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מסעיפיו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לרוצחו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Style13"/>
        <w:ind w:end="0"/>
        <w:jc w:val="both"/>
        <w:rPr/>
      </w:pP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מולו</w:t>
      </w:r>
      <w:r>
        <w:rPr>
          <w:rtl w:val="true"/>
        </w:rPr>
        <w:t xml:space="preserve">, </w:t>
      </w:r>
      <w:r>
        <w:rPr>
          <w:rtl w:val="true"/>
        </w:rPr>
        <w:t>ולהבין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כדרישת</w:t>
      </w:r>
      <w:r>
        <w:rPr>
          <w:rFonts w:eastAsia="Arial TUR;Arial" w:cs="Arial TUR;Arial"/>
          <w:rtl w:val="true"/>
        </w:rPr>
        <w:t xml:space="preserve">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Style13"/>
        <w:ind w:end="0"/>
        <w:jc w:val="both"/>
        <w:rPr/>
      </w:pP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אומרם</w:t>
      </w:r>
      <w:r>
        <w:rPr>
          <w:rtl w:val="true"/>
        </w:rPr>
        <w:t>:</w:t>
      </w:r>
    </w:p>
    <w:p>
      <w:pPr>
        <w:pStyle w:val="Quote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תעתועי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חבולים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ליקויי</w:t>
      </w:r>
      <w:r>
        <w:rPr>
          <w:rtl w:val="true"/>
        </w:rPr>
        <w:t>-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ולקויי</w:t>
      </w:r>
      <w:r>
        <w:rPr>
          <w:rtl w:val="true"/>
        </w:rPr>
        <w:t>-</w:t>
      </w:r>
      <w:r>
        <w:rPr>
          <w:rtl w:val="true"/>
        </w:rPr>
        <w:t>מאורות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וערכיים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א</w:t>
      </w:r>
      <w:r>
        <w:rPr>
          <w:rStyle w:val="Emphasis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בשחור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וטובעני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וגרמו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-</w:t>
      </w:r>
      <w:r>
        <w:rPr>
          <w:rtl w:val="true"/>
        </w:rPr>
        <w:t>עולם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:</w:t>
      </w:r>
    </w:p>
    <w:p>
      <w:pPr>
        <w:pStyle w:val="Quote"/>
        <w:ind w:end="1276"/>
        <w:jc w:val="both"/>
        <w:rPr>
          <w:spacing w:val="9"/>
        </w:rPr>
      </w:pPr>
      <w:r>
        <w:rPr>
          <w:rtl w:val="true"/>
        </w:rPr>
        <w:t>"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. ...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רוצח</w:t>
      </w:r>
      <w:r>
        <w:rPr>
          <w:rtl w:val="true"/>
        </w:rPr>
        <w:t xml:space="preserve">' </w:t>
      </w:r>
      <w:r>
        <w:rPr>
          <w:rtl w:val="true"/>
        </w:rPr>
        <w:t>ובמידת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".</w:t>
      </w:r>
    </w:p>
    <w:p>
      <w:pPr>
        <w:pStyle w:val="Style13"/>
        <w:ind w:end="0"/>
        <w:jc w:val="both"/>
        <w:rPr/>
      </w:pP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יימחק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יומתק</w:t>
      </w:r>
      <w:r>
        <w:rPr>
          <w:rtl w:val="true"/>
        </w:rPr>
        <w:t xml:space="preserve">.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הגיליוטינה</w:t>
      </w:r>
      <w:r>
        <w:rPr>
          <w:rtl w:val="true"/>
        </w:rPr>
        <w:t xml:space="preserve">" </w:t>
      </w:r>
      <w:r>
        <w:rPr>
          <w:rtl w:val="true"/>
        </w:rPr>
        <w:t>והחלתו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Style13"/>
        <w:ind w:end="0"/>
        <w:jc w:val="both"/>
        <w:rPr/>
      </w:pP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ונציגיו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הגיליוטינה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>–</w:t>
      </w:r>
      <w:r>
        <w:rPr/>
        <w:t>40</w:t>
      </w:r>
      <w:r>
        <w:rPr>
          <w:rtl w:val="true"/>
        </w:rPr>
        <w:t xml:space="preserve">, </w:t>
      </w:r>
      <w:r>
        <w:rPr/>
        <w:t>51</w:t>
      </w:r>
      <w:r>
        <w:rPr>
          <w:rtl w:val="true"/>
        </w:rPr>
        <w:t>–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rtl w:val="true"/>
        </w:rPr>
        <w:t>פרוטוקול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הדיון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בעניין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סעיף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</w:rPr>
        <w:t>25</w:t>
      </w:r>
      <w:r>
        <w:rPr>
          <w:b/>
          <w:rtl w:val="true"/>
        </w:rPr>
        <w:t>(</w:t>
      </w:r>
      <w:r>
        <w:rPr>
          <w:b/>
          <w:b/>
          <w:rtl w:val="true"/>
        </w:rPr>
        <w:t>ג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לתיקון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</w:rPr>
        <w:t>137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בוועדת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חוקה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חוק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ומשפט</w:t>
      </w:r>
      <w:r>
        <w:rPr>
          <w:rtl w:val="true"/>
        </w:rPr>
        <w:t>).</w:t>
      </w:r>
    </w:p>
    <w:p>
      <w:pPr>
        <w:pStyle w:val="Style13"/>
        <w:ind w:end="0"/>
        <w:jc w:val="both"/>
        <w:rPr/>
      </w:pPr>
      <w:r>
        <w:rPr>
          <w:rtl w:val="true"/>
        </w:rPr>
        <w:t>משאמר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למפרע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מצווים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כרוצח</w:t>
      </w:r>
      <w:r>
        <w:rPr>
          <w:rtl w:val="true"/>
        </w:rPr>
        <w:t xml:space="preserve">. </w:t>
      </w:r>
    </w:p>
    <w:p>
      <w:pPr>
        <w:pStyle w:val="Style14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Style13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גיליוטינה</w:t>
      </w:r>
      <w:r>
        <w:rPr>
          <w:rtl w:val="true"/>
        </w:rPr>
        <w:t xml:space="preserve">",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במובנים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בחיקוק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היינו</w:t>
      </w:r>
      <w:r>
        <w:rPr>
          <w:rtl w:val="true"/>
        </w:rPr>
        <w:t>, "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>, "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)).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שאיננו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היישומית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hyperlink r:id="rId8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עתידיים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hyperlink r:id="rId8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להשקפתי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ומוגדר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.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20.1.2021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20035680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54678313-3568/20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0"/>
      <w:footerReference w:type="default" r:id="rId9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3568/20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אליהו עשור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rFonts w:ascii="FrankRuehl" w:hAnsi="FrankRuehl" w:cs="FrankRuehl"/>
        <w:lang w:val="en-US" w:bidi="he-I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150" w:after="150"/>
      <w:outlineLvl w:val="0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sz w:val="28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character" w:styleId="Emphasis">
    <w:name w:val="Emphasis"/>
    <w:qFormat/>
    <w:rPr>
      <w:rFonts w:ascii="Century" w:hAnsi="Century" w:cs="Miriam"/>
      <w:b/>
      <w:spacing w:val="0"/>
      <w:szCs w:val="24"/>
    </w:rPr>
  </w:style>
  <w:style w:type="character" w:styleId="QuoteChar">
    <w:name w:val="Quote Char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Quote">
    <w:name w:val="Quote"/>
    <w:basedOn w:val="Normal"/>
    <w:next w:val="Normal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3">
    <w:name w:val="פסקה לא ממוספרת"/>
    <w:basedOn w:val="Normal"/>
    <w:qFormat/>
    <w:pPr>
      <w:spacing w:lineRule="auto" w:line="360" w:before="0" w:after="420"/>
      <w:ind w:firstLine="799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4">
    <w:name w:val="פסקה ממוספרת"/>
    <w:basedOn w:val="Style13"/>
    <w:next w:val="Style13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86366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" TargetMode="External"/><Relationship Id="rId5" Type="http://schemas.openxmlformats.org/officeDocument/2006/relationships/hyperlink" Target="http://www.nevo.co.il/law/70301/5.b" TargetMode="External"/><Relationship Id="rId6" Type="http://schemas.openxmlformats.org/officeDocument/2006/relationships/hyperlink" Target="http://www.nevo.co.il/law/70301/25.c" TargetMode="External"/><Relationship Id="rId7" Type="http://schemas.openxmlformats.org/officeDocument/2006/relationships/hyperlink" Target="http://www.nevo.co.il/law/70301/300.a.2" TargetMode="External"/><Relationship Id="rId8" Type="http://schemas.openxmlformats.org/officeDocument/2006/relationships/hyperlink" Target="http://www.nevo.co.il/law/70301/300a" TargetMode="External"/><Relationship Id="rId9" Type="http://schemas.openxmlformats.org/officeDocument/2006/relationships/hyperlink" Target="http://www.nevo.co.il/law/70301/300a.a" TargetMode="External"/><Relationship Id="rId10" Type="http://schemas.openxmlformats.org/officeDocument/2006/relationships/hyperlink" Target="http://www.nevo.co.il/law/70301/300a.b" TargetMode="External"/><Relationship Id="rId11" Type="http://schemas.openxmlformats.org/officeDocument/2006/relationships/hyperlink" Target="http://www.nevo.co.il/law/70301/300a.c" TargetMode="External"/><Relationship Id="rId12" Type="http://schemas.openxmlformats.org/officeDocument/2006/relationships/hyperlink" Target="http://www.nevo.co.il/law/70301/301b" TargetMode="External"/><Relationship Id="rId13" Type="http://schemas.openxmlformats.org/officeDocument/2006/relationships/hyperlink" Target="http://www.nevo.co.il/law/70301/301b.a" TargetMode="External"/><Relationship Id="rId14" Type="http://schemas.openxmlformats.org/officeDocument/2006/relationships/hyperlink" Target="http://www.nevo.co.il/law/70301/301b.b.2" TargetMode="External"/><Relationship Id="rId15" Type="http://schemas.openxmlformats.org/officeDocument/2006/relationships/hyperlink" Target="http://www.nevo.co.il/law/70301/302b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4863666" TargetMode="External"/><Relationship Id="rId18" Type="http://schemas.openxmlformats.org/officeDocument/2006/relationships/hyperlink" Target="http://www.nevo.co.il/law/70301/301b.b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01b.a" TargetMode="External"/><Relationship Id="rId21" Type="http://schemas.openxmlformats.org/officeDocument/2006/relationships/hyperlink" Target="http://www.nevo.co.il/law/70301/300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00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00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0a" TargetMode="External"/><Relationship Id="rId28" Type="http://schemas.openxmlformats.org/officeDocument/2006/relationships/hyperlink" Target="http://www.nevo.co.il/law/70301/300a.a" TargetMode="External"/><Relationship Id="rId29" Type="http://schemas.openxmlformats.org/officeDocument/2006/relationships/hyperlink" Target="http://www.nevo.co.il/law/70301/300a.b" TargetMode="External"/><Relationship Id="rId30" Type="http://schemas.openxmlformats.org/officeDocument/2006/relationships/hyperlink" Target="http://www.nevo.co.il/law/70301/300a.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00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01b" TargetMode="External"/><Relationship Id="rId35" Type="http://schemas.openxmlformats.org/officeDocument/2006/relationships/hyperlink" Target="http://www.nevo.co.il/law/70301/300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01b.b.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1b.a" TargetMode="External"/><Relationship Id="rId40" Type="http://schemas.openxmlformats.org/officeDocument/2006/relationships/hyperlink" Target="http://www.nevo.co.il/law/70301/302b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00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5.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01b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00a" TargetMode="External"/><Relationship Id="rId50" Type="http://schemas.openxmlformats.org/officeDocument/2006/relationships/hyperlink" Target="http://www.nevo.co.il/law/70301/301b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300a" TargetMode="External"/><Relationship Id="rId53" Type="http://schemas.openxmlformats.org/officeDocument/2006/relationships/hyperlink" Target="http://www.nevo.co.il/law/70301/301b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5.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301b" TargetMode="External"/><Relationship Id="rId58" Type="http://schemas.openxmlformats.org/officeDocument/2006/relationships/hyperlink" Target="http://www.nevo.co.il/law/70301/5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5.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6114657" TargetMode="External"/><Relationship Id="rId63" Type="http://schemas.openxmlformats.org/officeDocument/2006/relationships/hyperlink" Target="http://www.nevo.co.il/law/70301/301b" TargetMode="External"/><Relationship Id="rId64" Type="http://schemas.openxmlformats.org/officeDocument/2006/relationships/hyperlink" Target="http://www.nevo.co.il/law/70301/301b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300a" TargetMode="External"/><Relationship Id="rId67" Type="http://schemas.openxmlformats.org/officeDocument/2006/relationships/hyperlink" Target="http://www.nevo.co.il/case/25940140" TargetMode="External"/><Relationship Id="rId68" Type="http://schemas.openxmlformats.org/officeDocument/2006/relationships/hyperlink" Target="http://www.nevo.co.il/case/26652207" TargetMode="External"/><Relationship Id="rId69" Type="http://schemas.openxmlformats.org/officeDocument/2006/relationships/hyperlink" Target="http://www.nevo.co.il/law/70301/25.c" TargetMode="External"/><Relationship Id="rId70" Type="http://schemas.openxmlformats.org/officeDocument/2006/relationships/hyperlink" Target="http://www.nevo.co.il/law/70301/300a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301b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300a.c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300a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300a.a" TargetMode="External"/><Relationship Id="rId79" Type="http://schemas.openxmlformats.org/officeDocument/2006/relationships/hyperlink" Target="http://www.nevo.co.il/law/70301/301b.b.2" TargetMode="External"/><Relationship Id="rId80" Type="http://schemas.openxmlformats.org/officeDocument/2006/relationships/hyperlink" Target="http://www.nevo.co.il/law/70301/5.b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300a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5.b" TargetMode="External"/><Relationship Id="rId85" Type="http://schemas.openxmlformats.org/officeDocument/2006/relationships/hyperlink" Target="http://www.nevo.co.il/law/70301/300a" TargetMode="External"/><Relationship Id="rId86" Type="http://schemas.openxmlformats.org/officeDocument/2006/relationships/hyperlink" Target="http://www.nevo.co.il/law/70301/300a" TargetMode="External"/><Relationship Id="rId87" Type="http://schemas.openxmlformats.org/officeDocument/2006/relationships/hyperlink" Target="http://www.nevo.co.il/law/70301/300a" TargetMode="External"/><Relationship Id="rId88" Type="http://schemas.openxmlformats.org/officeDocument/2006/relationships/hyperlink" Target="http://supreme.court.gov.il/" TargetMode="External"/><Relationship Id="rId89" Type="http://schemas.openxmlformats.org/officeDocument/2006/relationships/hyperlink" Target="http://www.nevo.co.il/advertisements/nevo-100.doc" TargetMode="External"/><Relationship Id="rId90" Type="http://schemas.openxmlformats.org/officeDocument/2006/relationships/header" Target="header1.xml"/><Relationship Id="rId91" Type="http://schemas.openxmlformats.org/officeDocument/2006/relationships/footer" Target="footer1.xml"/><Relationship Id="rId92" Type="http://schemas.openxmlformats.org/officeDocument/2006/relationships/numbering" Target="numbering.xml"/><Relationship Id="rId93" Type="http://schemas.openxmlformats.org/officeDocument/2006/relationships/fontTable" Target="fontTable.xml"/><Relationship Id="rId94" Type="http://schemas.openxmlformats.org/officeDocument/2006/relationships/settings" Target="settings.xml"/><Relationship Id="rId9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2021-01-21T09:36:00Z</dcterms:created>
  <dc:creator>h4</dc:creator>
  <dc:description/>
  <cp:keywords/>
  <dc:language>en-IL</dc:language>
  <cp:lastModifiedBy>orly</cp:lastModifiedBy>
  <cp:lastPrinted>2021-01-20T09:06:00Z</cp:lastPrinted>
  <dcterms:modified xsi:type="dcterms:W3CDTF">2021-01-21T09:36:00Z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אליהו עשור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4863666:2;6114657;25940140;26652207</vt:lpwstr>
  </property>
  <property fmtid="{D5CDD505-2E9C-101B-9397-08002B2CF9AE}" pid="9" name="CITY">
    <vt:lpwstr/>
  </property>
  <property fmtid="{D5CDD505-2E9C-101B-9397-08002B2CF9AE}" pid="10" name="DATE">
    <vt:lpwstr>20210120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ברק ארז;י' אלרון</vt:lpwstr>
  </property>
  <property fmtid="{D5CDD505-2E9C-101B-9397-08002B2CF9AE}" pid="14" name="LAWLISTTMP1">
    <vt:lpwstr>70301/301b.b.2:3;301b.a:3;300.a.2;300a:15;300a.a:2;300a.b;300a.c:2;301b:7;302b.a;005.b:5;005;025.c</vt:lpwstr>
  </property>
  <property fmtid="{D5CDD505-2E9C-101B-9397-08002B2CF9AE}" pid="15" name="LAWYER">
    <vt:lpwstr>אופיר טישלר;יעקב ארדיטי לנדמן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תיקון 137</vt:lpwstr>
  </property>
  <property fmtid="{D5CDD505-2E9C-101B-9397-08002B2CF9AE}" pid="49" name="NOSE310">
    <vt:lpwstr/>
  </property>
  <property fmtid="{D5CDD505-2E9C-101B-9397-08002B2CF9AE}" pid="50" name="NOSE32">
    <vt:lpwstr>ענישה מופחתת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18866;9003</vt:lpwstr>
  </property>
  <property fmtid="{D5CDD505-2E9C-101B-9397-08002B2CF9AE}" pid="59" name="PADIDATE">
    <vt:lpwstr>20210121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3568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410120210120</vt:lpwstr>
  </property>
  <property fmtid="{D5CDD505-2E9C-101B-9397-08002B2CF9AE}" pid="69" name="TYPE_N_DATE">
    <vt:lpwstr>41020210120</vt:lpwstr>
  </property>
  <property fmtid="{D5CDD505-2E9C-101B-9397-08002B2CF9AE}" pid="70" name="VOLUME">
    <vt:lpwstr/>
  </property>
  <property fmtid="{D5CDD505-2E9C-101B-9397-08002B2CF9AE}" pid="71" name="WORDNUMPAGES">
    <vt:lpwstr>15</vt:lpwstr>
  </property>
</Properties>
</file>