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3582/22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7105/22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6"/>
          <w:szCs w:val="20"/>
        </w:rPr>
      </w:pPr>
      <w:r>
        <w:rPr>
          <w:rFonts w:cs="Miriam"/>
          <w:b/>
          <w:bCs/>
          <w:sz w:val="16"/>
          <w:szCs w:val="20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  <w:sz w:val="28"/>
              </w:rPr>
            </w:pPr>
            <w:bookmarkStart w:id="3" w:name="FirstAppellant"/>
            <w:bookmarkEnd w:id="3"/>
            <w:r>
              <w:rPr>
                <w:sz w:val="28"/>
                <w:sz w:val="28"/>
                <w:rtl w:val="true"/>
              </w:rPr>
              <w:t>המערער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3582/22</w:t>
            </w:r>
            <w:r>
              <w:rPr>
                <w:rFonts w:cs="David" w:ascii="David" w:hAnsi="David"/>
                <w:sz w:val="28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8"/>
                <w:sz w:val="28"/>
                <w:rtl w:val="true"/>
              </w:rPr>
              <w:t>המערער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7105/22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>
          <w:sz w:val="20"/>
          <w:szCs w:val="24"/>
        </w:rPr>
      </w:pPr>
      <w:r>
        <w:rPr>
          <w:sz w:val="20"/>
          <w:szCs w:val="24"/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20"/>
          <w:szCs w:val="24"/>
        </w:rPr>
      </w:pPr>
      <w:r>
        <w:rPr>
          <w:sz w:val="20"/>
          <w:szCs w:val="24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12"/>
          <w:szCs w:val="16"/>
        </w:rPr>
      </w:pPr>
      <w:r>
        <w:rPr>
          <w:sz w:val="12"/>
          <w:szCs w:val="16"/>
          <w:rtl w:val="true"/>
        </w:rPr>
        <w:tab/>
        <w:tab/>
        <w:tab/>
        <w:t xml:space="preserve">     </w:t>
      </w:r>
      <w:r>
        <w:rPr>
          <w:sz w:val="12"/>
          <w:szCs w:val="16"/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1.5.2022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13.9.2022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תפח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52763-07-20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רומנוב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ליפשיץ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פריבס</w:t>
            </w:r>
          </w:p>
        </w:tc>
      </w:tr>
    </w:tbl>
    <w:p>
      <w:pPr>
        <w:pStyle w:val="Ruller31"/>
        <w:ind w:end="0"/>
        <w:jc w:val="start"/>
        <w:rPr>
          <w:sz w:val="24"/>
          <w:szCs w:val="32"/>
        </w:rPr>
      </w:pPr>
      <w:r>
        <w:rPr>
          <w:sz w:val="24"/>
          <w:szCs w:val="32"/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0"/>
                <w:szCs w:val="24"/>
                <w:rtl w:val="true"/>
              </w:rPr>
              <w:t>(</w:t>
            </w:r>
            <w:r>
              <w:rPr>
                <w:sz w:val="20"/>
                <w:szCs w:val="24"/>
              </w:rPr>
              <w:t>26.12.2022</w:t>
            </w:r>
            <w:r>
              <w:rPr>
                <w:sz w:val="20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>
          <w:sz w:val="20"/>
          <w:szCs w:val="24"/>
        </w:rPr>
      </w:pPr>
      <w:r>
        <w:rPr>
          <w:sz w:val="20"/>
          <w:szCs w:val="24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3582/22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זהבה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זנו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7105/22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אשכנזי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שנהב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מצה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שרית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משגב</w:t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ס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טלי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סמואל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2"/>
          <w:szCs w:val="28"/>
        </w:rPr>
      </w:pPr>
      <w:r>
        <w:rPr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2"/>
          <w:szCs w:val="28"/>
        </w:rPr>
      </w:pPr>
      <w:r>
        <w:rPr>
          <w:sz w:val="22"/>
          <w:szCs w:val="28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5" w:name="ABSTRACT_START"/>
      <w:bookmarkStart w:id="6" w:name="_Hlk124664743"/>
      <w:bookmarkEnd w:id="5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נקודת המוצא לדיון בעניינם של קטינים שונה מזו של בגירים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ומייחסת משקל רב לפן הטיפולי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שיקומי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הטעם לכך אינו רק טובת הקטין מבצע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גם האינטרס הציבורי בכללותו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 השיקום אינם עומדים לבדם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 גזירת עונשו של קטין מבצע 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להתעלם מהנזקים שגרמו מעשיו הן לנפגע העבירה והן לאינטרס הציבורי ולחברה בכללותה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דברים אלו נכונים במיוחד כשמדובר בעבירות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שיקום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קטינים בעת ביצוע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ביצעו עבירות מין בארבעה מתלוננים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קטינים אף 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שניים מהמתלוננים היו אחיהם של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והשניים האחרים התגוררו בסמיכות אליהם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הודו במיוחס להם וביהמ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קבע את אשמתם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לאחר שהוגשו תסקירים הורשע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בעבירות המיוחסות לו ונגזרו עליו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 מותנה ופיצוי למתלוננים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הורשע אף הוא ונגזרו עליו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 על תנאי ופיצוי למתלוננים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הערעורים מכוונים כלפי עונשי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ובפרט כלפי עונשי המאסר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במוקד הערעורים עמדו טענות הנוגעות להליך הטיפולי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שיקומי שעברו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המשליך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לשיטתם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מידת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דחה את ערעור של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וקיבל את ערעורו של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במקרה קשה ומורכב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ספק שנקודת המוצא לדיון בעניינם של קטינים שונה מזו של בגירים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ומייחסת משקל רב לפן הטיפולי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שיקומי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הטעם לכך אינו רק טובת הקטין מבצע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גם האינטרס הציבורי בכללותו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ההליך השיקומי נועד לא רק להיטיב עם הקטין מבצע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מטרתו לאפשר את השתלבותו בחברה ולמנוע ביצוע עבירות נוספות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 השיקום אינם עומדים לבדם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 גזירת עונשו של קטין מבצע 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להתעלם מהנזקים שגרמו מעשיו הן לנפגע העבירה והן לאינטרס הציבורי ולחברה בכללותה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דברים אלו נכונים במיוחד כשמדובר בעבירות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תקיפה מינית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ודאי כשזו מבוצעת כלפי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מותירה בקורבנות צלקות נפשיות עמוקות ובלתי הפיכות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התוקף עושה שימוש בגופו של 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ניצול חולשתו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למען סיפוק וגירוי 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 כי העונשים המוטלים בגין עבירות מסוג זה יהלמו את חומרת המעשים ויבטאו את הסלידה החברתית ממעשים שכאלה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הקושי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להכריע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שבנדון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נדרשים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לאזן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האינטרס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בטיפול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בעברייני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ושיקומם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מוגבר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בקטינים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ההלימה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מיוחדת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חוזרות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במתלוננים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צעירים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חסרי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שניצלו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תמימותם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להדגיש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שפגעו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זמנית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ומצערת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בכל הנוגע לעניינו של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 שביהמ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כבר ייחס את מלוא המשקל לפן השיקומי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זה לא יכול לייתר ריצוי של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לברך על נכונותו של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להשתתף בטיפול פרטני וקבוצתי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באיזון בין חומרת העבירות שביצע והיקפן הרב לבין הליך השיקום בו הוא לוקח חלק בשנתיים האחרונות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מנוס מהטלת עונש מאסר מאחורי סורג ובריח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נעלם מעיני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כי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קטין בעצמו בעת ביצוע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לצד זאת לא ניתן להתעלם מפערי הגילים בינו לבין קורבנותיו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שכן בתקופה הרלוונטית הוא היה בגילאי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cs="Times New Roman" w:ascii="Times New Roman" w:hAnsi="Times New Roman"/>
          <w:spacing w:val="0"/>
          <w:sz w:val="24"/>
          <w:szCs w:val="26"/>
        </w:rPr>
        <w:t>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ואילו המתלוננים בגילאי </w:t>
      </w:r>
      <w:r>
        <w:rPr>
          <w:rFonts w:cs="Times New Roman" w:ascii="Times New Roman" w:hAnsi="Times New Roman"/>
          <w:spacing w:val="0"/>
          <w:sz w:val="24"/>
          <w:szCs w:val="26"/>
        </w:rPr>
        <w:t>14-8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להוסיף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שחרף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טיפולית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יגדע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מוכח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להשתלב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מחדש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בטיפול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קבוצתי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ייעודי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והטיפול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הפרטני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המטפל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לעיתים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רחוקות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יחסית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ארוכה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ניצבת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צפוי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להחזיר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הפיכה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ביכולתו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טיפול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ולהמשיכו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שחרורו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בליווי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לשיקום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האסיר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לעומת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בכל הנוגע לעניינו של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חוברות יחד מספר נסיבות המצדיקות התערבות מסוימת בגזר דינו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נמצא לייחס משקל לגילו הצעיר במיוחד של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במועד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היה בן </w:t>
      </w:r>
      <w:r>
        <w:rPr>
          <w:rFonts w:cs="Times New Roman" w:ascii="Times New Roman" w:hAnsi="Times New Roman"/>
          <w:spacing w:val="0"/>
          <w:sz w:val="24"/>
          <w:szCs w:val="26"/>
        </w:rPr>
        <w:t>15.5-13.5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בתקופה הרלוונטית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כך יש להוסיף כי מתסקירי שירות המבחן עולה שהמערער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עבר דרך משמעותית הן בטיפול פרטני והן בטיפול קבוצתי בשנתיים האחרונות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נמצא טעם בטענת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לפיה תקופת המאסר שהושתה עליו לא תאפשר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ברמת ודאות גבוהה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טיפול בכלא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ושירות המבחן אף ציין שזו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תגדע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הטיפול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פגיעה שכזו בהתקדמות ההליך הטיפולי בעניינו משליכה לא רק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על האינטרס הציבורי בכללותו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במכלול הנסיבות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 כי בעניין זה יש לתת משקל משמעותי לשיקולי השיקום באיזון בינם לבין שיקולי הענישה האחרים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ערעורו של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מתקבל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כך שיוטל עליו עונש מאסר בפועל למשך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חודשים וזה ירוצה בדרך של עבודות שירות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שיימצא מתאים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חלף עונש המאסר שהוטל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בהתאם לאמור בהחלטה מיום </w:t>
      </w:r>
      <w:r>
        <w:rPr>
          <w:rFonts w:cs="Times New Roman" w:ascii="Times New Roman" w:hAnsi="Times New Roman"/>
          <w:spacing w:val="0"/>
          <w:sz w:val="24"/>
          <w:szCs w:val="26"/>
        </w:rPr>
        <w:t>26.12.2022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הפיצוי שהושת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 למתלונן 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מבוטל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bookmarkEnd w:id="6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2"/>
          <w:szCs w:val="28"/>
        </w:rPr>
      </w:pPr>
      <w:r>
        <w:rPr>
          <w:rFonts w:cs="Times New Roman"/>
          <w:spacing w:val="0"/>
          <w:sz w:val="22"/>
          <w:szCs w:val="28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u w:val="single"/>
          <w:rtl w:val="true"/>
        </w:rPr>
        <w:t>:</w:t>
      </w:r>
      <w:bookmarkStart w:id="13" w:name="Start_Write"/>
      <w:bookmarkEnd w:id="13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מהו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>-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?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מקורם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- </w:t>
      </w:r>
      <w:r>
        <w:rPr/>
        <w:t>2019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הרלוונטית</w:t>
      </w:r>
      <w:r>
        <w:rPr>
          <w:rtl w:val="true"/>
        </w:rPr>
        <w:t xml:space="preserve">), </w:t>
      </w:r>
      <w:r>
        <w:rPr>
          <w:rtl w:val="true"/>
        </w:rPr>
        <w:t>ובמהלכה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.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ילידי</w:t>
      </w:r>
      <w:r>
        <w:rPr>
          <w:rFonts w:eastAsia="Arial TUR;Arial" w:cs="Arial TUR;Arial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2007</w:t>
      </w:r>
      <w:r>
        <w:rPr>
          <w:rtl w:val="true"/>
        </w:rPr>
        <w:t xml:space="preserve"> –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ילידי</w:t>
      </w:r>
      <w:r>
        <w:rPr>
          <w:rFonts w:eastAsia="Arial TUR;Arial" w:cs="Arial TUR;Arial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2004</w:t>
      </w:r>
      <w:r>
        <w:rPr>
          <w:rtl w:val="true"/>
        </w:rPr>
        <w:t xml:space="preserve"> – </w:t>
      </w:r>
      <w:r>
        <w:rPr>
          <w:rtl w:val="true"/>
        </w:rPr>
        <w:t>התגוררו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3582/22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יליד </w:t>
      </w:r>
      <w:r>
        <w:rPr>
          <w:rFonts w:cs="Century" w:ascii="Century" w:hAnsi="Century"/>
        </w:rPr>
        <w:t>2002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ביצע עבירות מין באחיו הצעיר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באותה תקופה ביצע 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7105/22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יליד </w:t>
      </w:r>
      <w:r>
        <w:rPr>
          <w:rFonts w:cs="Century" w:ascii="Century" w:hAnsi="Century"/>
        </w:rPr>
        <w:t>2003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עבירות מין בשלושה מהמתלוננים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ובכללם אחיו הצעיר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כשנודע למערער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על מעשיו של המערער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נוצר קשר מיני בין השניים ובהמשך הם ביצעו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ביחד ולחוד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עבירות מין במתלוננים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במהלך התקופה הרלוונטית היה המערער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בן </w:t>
      </w:r>
      <w:r>
        <w:rPr>
          <w:rFonts w:cs="Century" w:ascii="Century" w:hAnsi="Century"/>
        </w:rPr>
        <w:t>17-15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שנים ואילו המערער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היה בן </w:t>
      </w:r>
      <w:r>
        <w:rPr>
          <w:rFonts w:cs="Century" w:ascii="Century" w:hAnsi="Century"/>
        </w:rPr>
        <w:t>15.5-13.5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גילם של המתלוננים נע בין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23.7.2020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10.2.2021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6.4.2021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>
          <w:rtl w:val="true"/>
        </w:rPr>
        <w:t>ואישום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).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כולן</w:t>
      </w:r>
      <w:r>
        <w:rPr>
          <w:rtl w:val="true"/>
        </w:rPr>
        <w:t xml:space="preserve">, </w:t>
      </w:r>
      <w:r>
        <w:rPr>
          <w:rtl w:val="true"/>
        </w:rPr>
        <w:t>נציין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10.2.2021</w:t>
      </w:r>
      <w:r>
        <w:rPr>
          <w:rtl w:val="true"/>
        </w:rPr>
        <w:t xml:space="preserve"> –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6.4.2021</w:t>
      </w:r>
      <w:r>
        <w:rPr>
          <w:rtl w:val="true"/>
        </w:rPr>
        <w:t xml:space="preserve"> –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">
        <w:r>
          <w:rPr>
            <w:rStyle w:val="Hyperlink"/>
            <w:color w:val="0000FF"/>
            <w:u w:val="single"/>
            <w:rtl w:val="true"/>
          </w:rPr>
          <w:t>תפח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52763-07-20</w:t>
        </w:r>
      </w:hyperlink>
      <w:r>
        <w:rPr>
          <w:rtl w:val="true"/>
        </w:rPr>
        <w:t xml:space="preserve">, 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כרמל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רומנוב</w:t>
      </w:r>
      <w:r>
        <w:rPr>
          <w:rFonts w:ascii="Century" w:hAnsi="Century" w:cs="Century"/>
          <w:rtl w:val="true"/>
        </w:rPr>
        <w:t xml:space="preserve"> והשופטת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ליפשיץ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פריבס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תסקירים</w:t>
      </w:r>
      <w:r>
        <w:rPr>
          <w:rtl w:val="true"/>
        </w:rPr>
        <w:t xml:space="preserve">,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15.2.2022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מתסקירי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7.12.2021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שולב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קבוצתי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תסקירים</w:t>
      </w:r>
      <w:r>
        <w:rPr>
          <w:rtl w:val="true"/>
        </w:rPr>
        <w:t xml:space="preserve">,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20.6.2022</w:t>
      </w:r>
      <w:r>
        <w:rPr>
          <w:rtl w:val="true"/>
        </w:rPr>
        <w:t xml:space="preserve">. </w:t>
      </w:r>
      <w:r>
        <w:rPr>
          <w:rtl w:val="true"/>
        </w:rPr>
        <w:t>בתסקירים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לכיתה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משולב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קבוצתי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bookmarkStart w:id="14" w:name="Seif8"/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bookmarkEnd w:id="14"/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הומלץ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1.5.2022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במתלוננים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ותמימותם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הירתמותו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והסתבך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משפיעה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.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13.9.2022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תמימותם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  <w:tab/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שנשמעו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מכוונים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וב</w:t>
      </w:r>
      <w:bookmarkStart w:id="15" w:name="Seif9"/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bookmarkEnd w:id="15"/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>-</w:t>
      </w:r>
      <w:r>
        <w:rPr>
          <w:rtl w:val="true"/>
        </w:rPr>
        <w:t>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המשליך</w:t>
      </w:r>
      <w:r>
        <w:rPr>
          <w:rtl w:val="true"/>
        </w:rPr>
        <w:t xml:space="preserve">,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התקדמותו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וטוענים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לחלוף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.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ולמצער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 xml:space="preserve">. </w:t>
        <w:tab/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הצביעו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והשיקום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הודגשו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להתקדמותו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')</w:t>
      </w:r>
      <w:r>
        <w:rPr>
          <w:rtl w:val="true"/>
        </w:rPr>
        <w:t xml:space="preserve">,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/>
        <w:t>9</w:t>
      </w:r>
      <w:r>
        <w:rPr/>
        <w:t>.12.2022</w:t>
      </w:r>
      <w:r>
        <w:rPr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 xml:space="preserve">. </w:t>
        <w:tab/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שולב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ושולב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קבוצתי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הקבוצתי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ונפגש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).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בהבנת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קבוצתי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קבוצתי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 xml:space="preserve">. </w:t>
        <w:tab/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מגיע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למפגשי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ומשולב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החרדית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ותסכול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שיאפשר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26.12.2022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tl w:val="true"/>
        </w:rPr>
        <w:t xml:space="preserve">.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וצפויים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ביכולתם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באגפים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לצרכיהם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החרדי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הנותרים</w:t>
      </w:r>
      <w:r>
        <w:rPr>
          <w:rtl w:val="true"/>
        </w:rPr>
        <w:t xml:space="preserve">.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28.12.2022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ו</w:t>
      </w:r>
      <w:r>
        <w:rPr>
          <w:rtl w:val="true"/>
        </w:rPr>
        <w:t>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 xml:space="preserve">. </w:t>
        <w:tab/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ומורכב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בגירים</w:t>
      </w:r>
      <w:r>
        <w:rPr>
          <w:rtl w:val="true"/>
        </w:rPr>
        <w:t xml:space="preserve">, </w:t>
      </w:r>
      <w:r>
        <w:rPr>
          <w:rtl w:val="true"/>
        </w:rPr>
        <w:t>ומייחסת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>-</w:t>
      </w:r>
      <w:r>
        <w:rPr>
          <w:rtl w:val="true"/>
        </w:rPr>
        <w:t>שיקומי</w:t>
      </w:r>
      <w:r>
        <w:rPr>
          <w:rtl w:val="true"/>
        </w:rPr>
        <w:t xml:space="preserve">. </w:t>
      </w:r>
      <w:r>
        <w:rPr>
          <w:rtl w:val="true"/>
        </w:rPr>
        <w:t>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.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bookmarkStart w:id="16" w:name="Seif6"/>
      <w:r>
        <w:rPr>
          <w:rFonts w:ascii="Century" w:hAnsi="Century" w:cs="Century"/>
          <w:rtl w:val="true"/>
        </w:rPr>
        <w:t xml:space="preserve">פסקאות </w:t>
      </w:r>
      <w:bookmarkEnd w:id="16"/>
      <w:r>
        <w:rPr>
          <w:rFonts w:cs="Century" w:ascii="Century" w:hAnsi="Century"/>
        </w:rPr>
        <w:t>13-7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דנציגר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8.3.2009</w:t>
      </w:r>
      <w:r>
        <w:rPr>
          <w:rFonts w:cs="Century" w:ascii="Century" w:hAnsi="Century"/>
          <w:rtl w:val="true"/>
        </w:rPr>
        <w:t xml:space="preserve">), </w:t>
      </w:r>
      <w:hyperlink r:id="rId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281/15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bookmarkStart w:id="17" w:name="Seif1"/>
      <w:r>
        <w:rPr>
          <w:rFonts w:ascii="Century" w:hAnsi="Century" w:cs="Century"/>
          <w:rtl w:val="true"/>
        </w:rPr>
        <w:t xml:space="preserve">פסקה </w:t>
      </w:r>
      <w:bookmarkEnd w:id="17"/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6.12.2015</w:t>
      </w:r>
      <w:r>
        <w:rPr>
          <w:rFonts w:cs="Century" w:ascii="Century" w:hAnsi="Century"/>
          <w:rtl w:val="true"/>
        </w:rPr>
        <w:t>);</w:t>
      </w:r>
      <w:r>
        <w:rPr>
          <w:rFonts w:cs="Century" w:ascii="Century" w:hAnsi="Century"/>
          <w:rtl w:val="true"/>
        </w:rPr>
        <w:t xml:space="preserve"> </w:t>
      </w:r>
      <w:hyperlink r:id="rId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1216/21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bookmarkStart w:id="18" w:name="Seif2"/>
      <w:r>
        <w:rPr>
          <w:rFonts w:ascii="Century" w:hAnsi="Century" w:cs="Century"/>
          <w:rtl w:val="true"/>
        </w:rPr>
        <w:t xml:space="preserve">פסקה </w:t>
      </w:r>
      <w:bookmarkEnd w:id="18"/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19.5.2022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לבדם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בכללותה</w:t>
      </w:r>
      <w:r>
        <w:rPr>
          <w:rtl w:val="true"/>
        </w:rPr>
        <w:t xml:space="preserve">.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מותירה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הפיכות</w:t>
      </w:r>
      <w:r>
        <w:rPr>
          <w:rtl w:val="true"/>
        </w:rPr>
        <w:t xml:space="preserve">. </w:t>
      </w:r>
      <w:r>
        <w:rPr>
          <w:rtl w:val="true"/>
        </w:rPr>
        <w:t>התוקף</w:t>
      </w:r>
      <w:r>
        <w:rPr>
          <w:rtl w:val="true"/>
        </w:rPr>
        <w:t xml:space="preserve">,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חולשתו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וגירוי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ויבטאו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6315/13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bookmarkStart w:id="19" w:name="Seif3"/>
      <w:r>
        <w:rPr>
          <w:rFonts w:ascii="Century" w:hAnsi="Century" w:cs="Century"/>
          <w:rtl w:val="true"/>
        </w:rPr>
        <w:t xml:space="preserve">פסקה </w:t>
      </w:r>
      <w:bookmarkEnd w:id="19"/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29.2.2016</w:t>
      </w:r>
      <w:r>
        <w:rPr>
          <w:rFonts w:cs="Century" w:ascii="Century" w:hAnsi="Century"/>
          <w:rtl w:val="true"/>
        </w:rPr>
        <w:t xml:space="preserve">); </w:t>
      </w:r>
      <w:hyperlink r:id="rId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7661/14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bookmarkStart w:id="20" w:name="Seif4"/>
      <w:r>
        <w:rPr>
          <w:rFonts w:ascii="Century" w:hAnsi="Century" w:cs="Century"/>
          <w:rtl w:val="true"/>
        </w:rPr>
        <w:t xml:space="preserve">פסקה </w:t>
      </w:r>
      <w:bookmarkEnd w:id="20"/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4.1.2016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מכאן עולה הקושי להכריע במקרה מסוג זה שבפנינו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 אנו נדרשים לאזן בין האינטרס בטיפול בעברייני מין ושיקומם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שכאמור מקבל בעניינו משקל מוגבר נוכח העובדה שמדובר בקטינים במועד 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שיקולי ענישה 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ובהם עיקרון ההלימה בין חומרת העבירות למידת העונש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בנסיבות העניין שבפנינו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לייחס חומרה מיוחדת לכך שהמערערים ביצעו עבירות חוזרות ונשנות במתלוננים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קטינים צעירים בשנים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חסרי ישע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שניצלו את תמימותם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יש להדגיש כי הפגיעה שפגעו השניים בו זמנית באחד המתלוננים היא קשה ומצערת במיוחד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השלכותיה הקשות על מצבו הנפשי של אותו מתלונן העידה אמו בבית המשפט המחוזי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22</w:t>
      </w:r>
      <w:r>
        <w:rPr>
          <w:rtl w:val="true"/>
        </w:rPr>
        <w:t xml:space="preserve">. </w:t>
        <w:tab/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סברנו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וקבוצתי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והיקפן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לוקח</w:t>
      </w:r>
      <w:r>
        <w:rPr>
          <w:rFonts w:eastAsia="Arial TUR;Arial" w:cs="Arial TUR;Arial"/>
          <w:rtl w:val="true"/>
        </w:rPr>
        <w:t xml:space="preserve"> </w:t>
      </w:r>
      <w:bookmarkStart w:id="21" w:name="Seif7"/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בשנתיים</w:t>
      </w:r>
      <w:r>
        <w:rPr>
          <w:rFonts w:eastAsia="Arial TUR;Arial" w:cs="Arial TUR;Arial"/>
          <w:rtl w:val="true"/>
        </w:rPr>
        <w:t xml:space="preserve"> </w:t>
      </w:r>
      <w:bookmarkEnd w:id="21"/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-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eastAsia="Arial TUR;Arial" w:cs="Arial TUR;Arial"/>
          <w:rtl w:val="true"/>
        </w:rPr>
        <w:t xml:space="preserve"> </w:t>
      </w:r>
      <w:r>
        <w:rPr/>
        <w:t>14-8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8631/13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bookmarkStart w:id="22" w:name="Seif5"/>
      <w:r>
        <w:rPr>
          <w:rFonts w:ascii="Century" w:hAnsi="Century" w:cs="Century"/>
          <w:rtl w:val="true"/>
        </w:rPr>
        <w:t xml:space="preserve">פסקה </w:t>
      </w:r>
      <w:bookmarkEnd w:id="22"/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10.3.2016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כך יש להוסיף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התרשמנו שחרף העובדה שהמערער עשה כברת דרך טיפולית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מדובר בשלב שבו ריצויו של מאסר בפועל יגדע שיקום מוכח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כמתואר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טרם החל להשתלב מחדש בטיפול קבוצתי ייעודי לנערים פוגעים מינית והטיפול הפרטני שהוא עובר עם המטפל מטעם המשפחה מתקיים לעיתים רחוקות יחסית ולא באופן קבוע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דומה כי דרך ארוכה ניצבת בפני המערער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מאסר בפועל בשלב זה אינו צפוי להחזיר את הליך השיקום לאחור בצורה בלתי הפיכה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נוכח משך המאסר שנגזר על המערער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ביכולתו לקבל טיפול במסגרת כתלי הכלא ולהמשיכו לאחר שחרורו ממאסר בליווי הרשות לשיקום האסיר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24</w:t>
      </w:r>
      <w:r>
        <w:rPr>
          <w:rtl w:val="true"/>
        </w:rPr>
        <w:t xml:space="preserve">. </w:t>
        <w:tab/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15.5-13.5</w:t>
      </w:r>
      <w:r>
        <w:rPr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קבוצתי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תאפשר</w:t>
      </w:r>
      <w:r>
        <w:rPr>
          <w:rtl w:val="true"/>
        </w:rPr>
        <w:t xml:space="preserve">, </w:t>
      </w:r>
      <w:r>
        <w:rPr>
          <w:rtl w:val="true"/>
        </w:rPr>
        <w:t>ברמת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ושירות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תגדע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.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בהתקדמות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. </w:t>
      </w:r>
      <w:r>
        <w:rPr>
          <w:rtl w:val="true"/>
        </w:rPr>
        <w:t>התרשמנו</w:t>
      </w:r>
      <w:r>
        <w:rPr>
          <w:rtl w:val="true"/>
        </w:rPr>
        <w:t xml:space="preserve">,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התלבטות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הצטברותן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סוף דבר</w:t>
      </w:r>
      <w:r>
        <w:rPr>
          <w:rtl w:val="true"/>
        </w:rPr>
        <w:t xml:space="preserve">: </w:t>
      </w:r>
      <w:r>
        <w:rPr>
          <w:rtl w:val="true"/>
        </w:rPr>
        <w:t xml:space="preserve">ערעורו של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נדחה בזאת</w:t>
      </w:r>
      <w:r>
        <w:rPr>
          <w:rtl w:val="true"/>
        </w:rPr>
        <w:t xml:space="preserve">. </w:t>
      </w:r>
      <w:r>
        <w:rPr>
          <w:rtl w:val="true"/>
        </w:rPr>
        <w:t xml:space="preserve">המערער יתייצב לשאת בעונש המאסר בפועל שהוטל עליו בפסק דינו של בית המשפט המחוזי ביום </w:t>
      </w:r>
      <w:r>
        <w:rPr/>
        <w:t>12.2.2023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בבית המעצר ניצן</w:t>
      </w:r>
      <w:r>
        <w:rPr>
          <w:rtl w:val="true"/>
        </w:rPr>
        <w:t xml:space="preserve">, </w:t>
      </w:r>
      <w:r>
        <w:rPr>
          <w:rtl w:val="true"/>
        </w:rPr>
        <w:t>או על פי החלטת שירות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המערער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שירות בתי הסוהר</w:t>
      </w:r>
      <w:r>
        <w:rPr>
          <w:rtl w:val="true"/>
        </w:rPr>
        <w:t xml:space="preserve">,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08-9787336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מתקבל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),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5.2.2023</w:t>
      </w:r>
      <w:r>
        <w:rPr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26.12.2022</w:t>
      </w:r>
      <w:r>
        <w:rPr>
          <w:rtl w:val="true"/>
        </w:rPr>
        <w:t xml:space="preserve">,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– </w:t>
      </w:r>
      <w:r>
        <w:rPr>
          <w:rtl w:val="true"/>
        </w:rPr>
        <w:t>מבוטל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firstLine="720" w:end="0"/>
        <w:jc w:val="start"/>
        <w:rPr>
          <w:rFonts w:cs="Miriam"/>
          <w:sz w:val="24"/>
          <w:szCs w:val="24"/>
          <w:u w:val="single"/>
        </w:rPr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כשר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23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בטבת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12.1.2023</w:t>
      </w:r>
      <w:r>
        <w:rPr>
          <w:rFonts w:cs="Century" w:ascii="Century" w:hAnsi="Century"/>
          <w:rtl w:val="true"/>
        </w:rPr>
        <w:t xml:space="preserve">). </w:t>
      </w:r>
      <w:bookmarkEnd w:id="23"/>
    </w:p>
    <w:p>
      <w:pPr>
        <w:pStyle w:val="Ruller41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color w:val="FFFFFF"/>
          <w:sz w:val="2"/>
          <w:szCs w:val="2"/>
        </w:rPr>
        <w:t>54678313</w:t>
      </w:r>
      <w:r>
        <w:rPr>
          <w:rFonts w:ascii="Century" w:hAnsi="Century" w:cs="Century"/>
          <w:rtl w:val="true"/>
        </w:rPr>
        <w:t>ש ו פ ט ת                                        ש ו פ ט                                          ש ו פ ט</w:t>
      </w:r>
    </w:p>
    <w:p>
      <w:pPr>
        <w:pStyle w:val="Ruller41"/>
        <w:ind w:end="0"/>
        <w:jc w:val="both"/>
        <w:rPr>
          <w:rFonts w:ascii="Century" w:hAnsi="Century" w:cs="Century"/>
          <w:sz w:val="10"/>
          <w:szCs w:val="14"/>
        </w:rPr>
      </w:pPr>
      <w:r>
        <w:rPr>
          <w:rFonts w:cs="Century" w:ascii="Century" w:hAnsi="Century"/>
          <w:sz w:val="10"/>
          <w:szCs w:val="14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22035820</w:t>
      </w:r>
      <w:r>
        <w:rPr>
          <w:sz w:val="16"/>
          <w:rtl w:val="true"/>
        </w:rPr>
        <w:t>_</w:t>
      </w:r>
      <w:r>
        <w:rPr>
          <w:sz w:val="16"/>
        </w:rPr>
        <w:t>A08.docx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דר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54678313-3582/22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3582/22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868808" TargetMode="External"/><Relationship Id="rId3" Type="http://schemas.openxmlformats.org/officeDocument/2006/relationships/hyperlink" Target="http://www.nevo.co.il/case/26868808" TargetMode="External"/><Relationship Id="rId4" Type="http://schemas.openxmlformats.org/officeDocument/2006/relationships/hyperlink" Target="http://www.nevo.co.il/case/2237972" TargetMode="External"/><Relationship Id="rId5" Type="http://schemas.openxmlformats.org/officeDocument/2006/relationships/hyperlink" Target="http://www.nevo.co.il/case/20000252" TargetMode="External"/><Relationship Id="rId6" Type="http://schemas.openxmlformats.org/officeDocument/2006/relationships/hyperlink" Target="http://www.nevo.co.il/case/27418457" TargetMode="External"/><Relationship Id="rId7" Type="http://schemas.openxmlformats.org/officeDocument/2006/relationships/hyperlink" Target="http://www.nevo.co.il/case/8245431" TargetMode="External"/><Relationship Id="rId8" Type="http://schemas.openxmlformats.org/officeDocument/2006/relationships/hyperlink" Target="http://www.nevo.co.il/case/20857048" TargetMode="External"/><Relationship Id="rId9" Type="http://schemas.openxmlformats.org/officeDocument/2006/relationships/hyperlink" Target="http://www.nevo.co.il/case/20010276" TargetMode="External"/><Relationship Id="rId10" Type="http://schemas.openxmlformats.org/officeDocument/2006/relationships/hyperlink" Target="https://supreme.court.gov.il/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2023-01-15T09:35:00Z</dcterms:created>
  <dc:creator>h4</dc:creator>
  <dc:description/>
  <cp:keywords/>
  <dc:language>en-IL</dc:language>
  <cp:lastModifiedBy>orly</cp:lastModifiedBy>
  <cp:lastPrinted>2023-01-12T14:18:00Z</cp:lastPrinted>
  <dcterms:modified xsi:type="dcterms:W3CDTF">2023-01-15T09:35:00Z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פלוני;פלוני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26868808:2;20000252;27418457;8245431;20857048;20010276</vt:lpwstr>
  </property>
  <property fmtid="{D5CDD505-2E9C-101B-9397-08002B2CF9AE}" pid="9" name="CITY">
    <vt:lpwstr/>
  </property>
  <property fmtid="{D5CDD505-2E9C-101B-9397-08002B2CF9AE}" pid="10" name="DATE">
    <vt:lpwstr>20230112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ברק ארז;י' אלרון;י' כשר</vt:lpwstr>
  </property>
  <property fmtid="{D5CDD505-2E9C-101B-9397-08002B2CF9AE}" pid="14" name="LAWYER">
    <vt:lpwstr>שרית משגב;זהבה קרן;ניר זנו;עופר אשכנזי;שנהב מצה;טלי סמואל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קרן</vt:lpwstr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עונשין</vt:lpwstr>
  </property>
  <property fmtid="{D5CDD505-2E9C-101B-9397-08002B2CF9AE}" pid="26" name="NOSE110">
    <vt:lpwstr/>
  </property>
  <property fmtid="{D5CDD505-2E9C-101B-9397-08002B2CF9AE}" pid="27" name="NOSE12">
    <vt:lpwstr>עונשין</vt:lpwstr>
  </property>
  <property fmtid="{D5CDD505-2E9C-101B-9397-08002B2CF9AE}" pid="28" name="NOSE13">
    <vt:lpwstr>עונשין</vt:lpwstr>
  </property>
  <property fmtid="{D5CDD505-2E9C-101B-9397-08002B2CF9AE}" pid="29" name="NOSE14">
    <vt:lpwstr/>
  </property>
  <property fmtid="{D5CDD505-2E9C-101B-9397-08002B2CF9AE}" pid="30" name="NOSE15">
    <vt:lpwstr/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77;77;77</vt:lpwstr>
  </property>
  <property fmtid="{D5CDD505-2E9C-101B-9397-08002B2CF9AE}" pid="36" name="NOSE21">
    <vt:lpwstr>ענישה</vt:lpwstr>
  </property>
  <property fmtid="{D5CDD505-2E9C-101B-9397-08002B2CF9AE}" pid="37" name="NOSE210">
    <vt:lpwstr/>
  </property>
  <property fmtid="{D5CDD505-2E9C-101B-9397-08002B2CF9AE}" pid="38" name="NOSE22">
    <vt:lpwstr>ענישה</vt:lpwstr>
  </property>
  <property fmtid="{D5CDD505-2E9C-101B-9397-08002B2CF9AE}" pid="39" name="NOSE23">
    <vt:lpwstr>ענישה</vt:lpwstr>
  </property>
  <property fmtid="{D5CDD505-2E9C-101B-9397-08002B2CF9AE}" pid="40" name="NOSE24">
    <vt:lpwstr/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1446;1446;1446</vt:lpwstr>
  </property>
  <property fmtid="{D5CDD505-2E9C-101B-9397-08002B2CF9AE}" pid="47" name="NOSE31">
    <vt:lpwstr>קטינים</vt:lpwstr>
  </property>
  <property fmtid="{D5CDD505-2E9C-101B-9397-08002B2CF9AE}" pid="48" name="NOSE310">
    <vt:lpwstr/>
  </property>
  <property fmtid="{D5CDD505-2E9C-101B-9397-08002B2CF9AE}" pid="49" name="NOSE32">
    <vt:lpwstr>שיקום</vt:lpwstr>
  </property>
  <property fmtid="{D5CDD505-2E9C-101B-9397-08002B2CF9AE}" pid="50" name="NOSE33">
    <vt:lpwstr>מדיניות ענישה: עבירות מין בקטינים</vt:lpwstr>
  </property>
  <property fmtid="{D5CDD505-2E9C-101B-9397-08002B2CF9AE}" pid="51" name="NOSE34">
    <vt:lpwstr/>
  </property>
  <property fmtid="{D5CDD505-2E9C-101B-9397-08002B2CF9AE}" pid="52" name="NOSE35">
    <vt:lpwstr/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14248;17420;16970</vt:lpwstr>
  </property>
  <property fmtid="{D5CDD505-2E9C-101B-9397-08002B2CF9AE}" pid="58" name="PADIDATE">
    <vt:lpwstr>20230115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עפ;עפ</vt:lpwstr>
  </property>
  <property fmtid="{D5CDD505-2E9C-101B-9397-08002B2CF9AE}" pid="63" name="PROCNUM">
    <vt:lpwstr>3582;7105</vt:lpwstr>
  </property>
  <property fmtid="{D5CDD505-2E9C-101B-9397-08002B2CF9AE}" pid="64" name="PROCYEAR">
    <vt:lpwstr>22;22</vt:lpwstr>
  </property>
  <property fmtid="{D5CDD505-2E9C-101B-9397-08002B2CF9AE}" pid="65" name="PSAKDIN">
    <vt:lpwstr>פסק-דין</vt:lpwstr>
  </property>
  <property fmtid="{D5CDD505-2E9C-101B-9397-08002B2CF9AE}" pid="66" name="TYPE">
    <vt:lpwstr>1</vt:lpwstr>
  </property>
  <property fmtid="{D5CDD505-2E9C-101B-9397-08002B2CF9AE}" pid="67" name="TYPE_ABS_DATE">
    <vt:lpwstr>410120230112</vt:lpwstr>
  </property>
  <property fmtid="{D5CDD505-2E9C-101B-9397-08002B2CF9AE}" pid="68" name="TYPE_N_DATE">
    <vt:lpwstr>41020230112</vt:lpwstr>
  </property>
  <property fmtid="{D5CDD505-2E9C-101B-9397-08002B2CF9AE}" pid="69" name="VOLUME">
    <vt:lpwstr/>
  </property>
  <property fmtid="{D5CDD505-2E9C-101B-9397-08002B2CF9AE}" pid="70" name="WORDNUMPAGES">
    <vt:lpwstr>11</vt:lpwstr>
  </property>
</Properties>
</file>