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4"/>
          <w:szCs w:val="8"/>
        </w:rPr>
      </w:pPr>
      <w:r>
        <w:rPr>
          <w:rFonts w:cs="Miriam"/>
          <w:b/>
          <w:bCs/>
          <w:sz w:val="4"/>
          <w:szCs w:val="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3613/17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40"/>
          <w:szCs w:val="44"/>
        </w:rPr>
      </w:pPr>
      <w:r>
        <w:rPr>
          <w:rFonts w:cs="Miriam"/>
          <w:b/>
          <w:bCs/>
          <w:sz w:val="40"/>
          <w:szCs w:val="4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34"/>
        </w:rPr>
      </w:pPr>
      <w:r>
        <w:rPr>
          <w:rFonts w:cs="Miriam"/>
          <w:b/>
          <w:bCs/>
          <w:sz w:val="28"/>
          <w:szCs w:val="34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זייבלד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4"/>
          <w:szCs w:val="30"/>
        </w:rPr>
      </w:pPr>
      <w:r>
        <w:rPr>
          <w:sz w:val="24"/>
          <w:szCs w:val="30"/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17443-05-16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16.03.2017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12.09.2018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אורנג</w:t>
            </w:r>
            <w:r>
              <w:rPr>
                <w:rtl w:val="true"/>
              </w:rPr>
              <w:t xml:space="preserve">';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מרטין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פדר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רייך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אבניאל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שאול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4"/>
        </w:rPr>
      </w:pPr>
      <w:r>
        <w:rPr>
          <w:rFonts w:cs="FrankRuehl" w:ascii="FrankRuehl" w:hAnsi="FrankRuehl"/>
          <w:sz w:val="24"/>
          <w:szCs w:val="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"/>
          <w:szCs w:val="4"/>
        </w:rPr>
      </w:pPr>
      <w:r>
        <w:rPr>
          <w:rFonts w:cs="FrankRuehl" w:ascii="FrankRuehl" w:hAnsi="FrankRuehl"/>
          <w:sz w:val="2"/>
          <w:szCs w:val="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המוטיבציה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מהתמכרות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השתלבות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מוצלחת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אינדיקציות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אמפתיה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ותיבחן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כפשוטו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שהונחו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המוטיבציה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מהתמכרות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השתלבות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מוצלחת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אינדיקציות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אמפתיה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ומסתמן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הלקחים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מהתנהלותו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מרוצים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שגיבש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"/>
          <w:szCs w:val="4"/>
        </w:rPr>
      </w:pPr>
      <w:r>
        <w:rPr>
          <w:rFonts w:cs="FrankRuehl"/>
          <w:sz w:val="2"/>
          <w:szCs w:val="4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30"/>
          <w:szCs w:val="34"/>
        </w:rPr>
      </w:pPr>
      <w:r>
        <w:rPr>
          <w:sz w:val="30"/>
          <w:szCs w:val="3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דינו וגזר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17443-05-16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שניתנו בתאריכים</w:t>
      </w:r>
      <w:r>
        <w:rPr>
          <w:rtl w:val="true"/>
        </w:rPr>
        <w:t xml:space="preserve">: </w:t>
      </w:r>
      <w:r>
        <w:rPr/>
        <w:t>06.10.2016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16.03.2017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 xml:space="preserve">בגדרה של הכרעת הדין </w:t>
      </w:r>
      <w:r>
        <w:rPr>
          <w:rtl w:val="true"/>
        </w:rPr>
        <w:t>–</w:t>
      </w:r>
      <w:r>
        <w:rPr>
          <w:rtl w:val="true"/>
        </w:rPr>
        <w:t xml:space="preserve"> המערער הורשע</w:t>
      </w:r>
      <w:r>
        <w:rPr>
          <w:rtl w:val="true"/>
        </w:rPr>
        <w:t xml:space="preserve">, </w:t>
      </w:r>
      <w:r>
        <w:rPr>
          <w:rtl w:val="true"/>
        </w:rPr>
        <w:t>על סמך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סיכון דרכים</w:t>
      </w:r>
      <w:r>
        <w:rPr>
          <w:rtl w:val="true"/>
        </w:rPr>
        <w:t xml:space="preserve">, </w:t>
      </w:r>
      <w:r>
        <w:rPr>
          <w:rtl w:val="true"/>
        </w:rPr>
        <w:t xml:space="preserve">וזאת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ובעבירת התפרעות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 xml:space="preserve">בגין הרשעות אלה נגזרו על המערער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ימים של מאסר בפועל לריצוי בדרך של עבודות שירות </w:t>
      </w:r>
      <w:r>
        <w:rPr>
          <w:rtl w:val="true"/>
        </w:rPr>
        <w:t>(</w:t>
      </w:r>
      <w:r>
        <w:rPr>
          <w:rtl w:val="true"/>
        </w:rPr>
        <w:t xml:space="preserve">בניכוי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 מעצרו</w:t>
      </w:r>
      <w:r>
        <w:rPr>
          <w:rtl w:val="true"/>
        </w:rPr>
        <w:t xml:space="preserve">), </w:t>
      </w:r>
      <w:r>
        <w:rPr>
          <w:rtl w:val="true"/>
        </w:rPr>
        <w:t>וארבעה חודשי מאסר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כשהתנאי הוא שהמערער לא יעבור עבירות לפי סעיפים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  <w:color w:val="0000FF"/>
            <w:u w:val="single"/>
          </w:rPr>
          <w:t>332</w:t>
        </w:r>
      </w:hyperlink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344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05.10.2016</w:t>
      </w:r>
      <w:r>
        <w:rPr>
          <w:rtl w:val="true"/>
        </w:rPr>
        <w:t xml:space="preserve"> </w:t>
      </w:r>
      <w:r>
        <w:rPr>
          <w:rtl w:val="true"/>
        </w:rPr>
        <w:t>הוגש כתב אישום מתוקן כנגד המערער במסגרתו של הסדר טיעון</w:t>
      </w:r>
      <w:r>
        <w:rPr>
          <w:rtl w:val="true"/>
        </w:rPr>
        <w:t xml:space="preserve">. </w:t>
      </w:r>
      <w:r>
        <w:rPr>
          <w:rtl w:val="true"/>
        </w:rPr>
        <w:t>לפי המפורט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השתתף בהתפרעות שבמהלכה משך פח אשפה גדול למרכז צומת הרחובות רבנו גרשום ויחזקאל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כך שפח האשפה חסם את נתיב הנסיעה למכוניות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מעשה זה יוחסו למערער עבירה של סיכון דרכים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ועבירה של התפרעות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במסגרת הסדר הטיעון הודה המערער במיוחס לו בכתב האישום המתוקן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06.10.2016</w:t>
      </w:r>
      <w:r>
        <w:rPr>
          <w:rtl w:val="true"/>
        </w:rPr>
        <w:t xml:space="preserve"> </w:t>
      </w:r>
      <w:r>
        <w:rPr>
          <w:rtl w:val="true"/>
        </w:rPr>
        <w:t>בית המשפט המחוזי הנכבד הרשיע את המערער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בעבירות שפורטו 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שהוגש תסקיר בעניינו של המערער </w:t>
      </w:r>
      <w:r>
        <w:rPr>
          <w:rtl w:val="true"/>
        </w:rPr>
        <w:t>–</w:t>
      </w:r>
      <w:r>
        <w:rPr>
          <w:rtl w:val="true"/>
        </w:rPr>
        <w:t xml:space="preserve"> בית המשפט המחוזי גזר בתאריך </w:t>
      </w:r>
      <w:r>
        <w:rPr/>
        <w:t>16.03.2017</w:t>
      </w:r>
      <w:r>
        <w:rPr>
          <w:rtl w:val="true"/>
        </w:rPr>
        <w:t xml:space="preserve"> </w:t>
      </w:r>
      <w:r>
        <w:rPr>
          <w:rtl w:val="true"/>
        </w:rPr>
        <w:t>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בית המשפט ציין את התסקיר החיובי שהוגש בעניינו של המערער</w:t>
      </w:r>
      <w:r>
        <w:rPr>
          <w:rtl w:val="true"/>
        </w:rPr>
        <w:t xml:space="preserve">, </w:t>
      </w:r>
      <w:r>
        <w:rPr>
          <w:rtl w:val="true"/>
        </w:rPr>
        <w:t>את העובדה שלקח אחריות על מעשיו</w:t>
      </w:r>
      <w:r>
        <w:rPr>
          <w:rtl w:val="true"/>
        </w:rPr>
        <w:t xml:space="preserve">, </w:t>
      </w:r>
      <w:r>
        <w:rPr>
          <w:rtl w:val="true"/>
        </w:rPr>
        <w:t>הביע חרטה ושהוא נטול עבר פלילי</w:t>
      </w:r>
      <w:r>
        <w:rPr>
          <w:rtl w:val="true"/>
        </w:rPr>
        <w:t xml:space="preserve">. </w:t>
      </w:r>
      <w:r>
        <w:rPr>
          <w:rtl w:val="true"/>
        </w:rPr>
        <w:t>בתוך כך הוסף כי מעשיו של המערער נבעו</w:t>
      </w:r>
      <w:r>
        <w:rPr>
          <w:rtl w:val="true"/>
        </w:rPr>
        <w:t xml:space="preserve">, </w:t>
      </w:r>
      <w:r>
        <w:rPr>
          <w:rtl w:val="true"/>
        </w:rPr>
        <w:t>כך נראה</w:t>
      </w:r>
      <w:r>
        <w:rPr>
          <w:rtl w:val="true"/>
        </w:rPr>
        <w:t xml:space="preserve">, </w:t>
      </w:r>
      <w:r>
        <w:rPr>
          <w:rtl w:val="true"/>
        </w:rPr>
        <w:t>מתוך היסחפות ורצון להרשים ולא בשל נטיות אלימות</w:t>
      </w:r>
      <w:r>
        <w:rPr>
          <w:rtl w:val="true"/>
        </w:rPr>
        <w:t xml:space="preserve">, </w:t>
      </w:r>
      <w:r>
        <w:rPr>
          <w:rtl w:val="true"/>
        </w:rPr>
        <w:t>או אנטי</w:t>
      </w:r>
      <w:r>
        <w:rPr>
          <w:rtl w:val="true"/>
        </w:rPr>
        <w:t>-</w:t>
      </w:r>
      <w:r>
        <w:rPr>
          <w:rtl w:val="true"/>
        </w:rPr>
        <w:t>חברתיות</w:t>
      </w:r>
      <w:r>
        <w:rPr>
          <w:rtl w:val="true"/>
        </w:rPr>
        <w:t xml:space="preserve">. </w:t>
      </w:r>
      <w:r>
        <w:rPr>
          <w:rtl w:val="true"/>
        </w:rPr>
        <w:t>מנגד צוין כי אמנם אין מדובר בעבירות מהסוג הקשה</w:t>
      </w:r>
      <w:r>
        <w:rPr>
          <w:rtl w:val="true"/>
        </w:rPr>
        <w:t xml:space="preserve">, </w:t>
      </w:r>
      <w:r>
        <w:rPr>
          <w:rtl w:val="true"/>
        </w:rPr>
        <w:t xml:space="preserve">אולם בהתחשב בכך שעבירות אלו נעשו מתוך מניע אידיאולוגי </w:t>
      </w:r>
      <w:r>
        <w:rPr>
          <w:rtl w:val="true"/>
        </w:rPr>
        <w:t>–</w:t>
      </w:r>
      <w:r>
        <w:rPr>
          <w:rtl w:val="true"/>
        </w:rPr>
        <w:t xml:space="preserve"> הדבר מהווה נסיבה לחומרה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נוכח כל האמור </w:t>
      </w:r>
      <w:r>
        <w:rPr>
          <w:rtl w:val="true"/>
        </w:rPr>
        <w:t>–</w:t>
      </w:r>
      <w:r>
        <w:rPr>
          <w:rtl w:val="true"/>
        </w:rPr>
        <w:t xml:space="preserve"> בית המשפט המחוזי הנכבד קבע כי מתחם הענישה ההולם בנסיבות הוא בין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לצד שירות לתועלת הציבור</w:t>
      </w:r>
      <w:r>
        <w:rPr>
          <w:rtl w:val="true"/>
        </w:rPr>
        <w:t xml:space="preserve">, </w:t>
      </w:r>
      <w:r>
        <w:rPr>
          <w:rtl w:val="true"/>
        </w:rPr>
        <w:t>לבין מאסר בפועל למשך תשעה חודשים</w:t>
      </w:r>
      <w:r>
        <w:rPr>
          <w:rtl w:val="true"/>
        </w:rPr>
        <w:t xml:space="preserve">. </w:t>
      </w:r>
      <w:r>
        <w:rPr>
          <w:rtl w:val="true"/>
        </w:rPr>
        <w:t xml:space="preserve">בהמשך צוין כי באותם ימים התקיימו הפרות סדר רבות במגזר החרדי </w:t>
      </w:r>
      <w:r>
        <w:rPr>
          <w:rtl w:val="true"/>
        </w:rPr>
        <w:t>(</w:t>
      </w:r>
      <w:r>
        <w:rPr>
          <w:rtl w:val="true"/>
        </w:rPr>
        <w:t>על רקע דומה לזה שבו נטל המערער חלק</w:t>
      </w:r>
      <w:r>
        <w:rPr>
          <w:rtl w:val="true"/>
        </w:rPr>
        <w:t xml:space="preserve">) </w:t>
      </w:r>
      <w:r>
        <w:rPr>
          <w:rtl w:val="true"/>
        </w:rPr>
        <w:t xml:space="preserve">ובשל כך קיים צורך בהחמרה בענישה כדי להרתיע את הרבים </w:t>
      </w:r>
      <w:r>
        <w:rPr>
          <w:rtl w:val="true"/>
        </w:rPr>
        <w:t>(</w:t>
      </w:r>
      <w:r>
        <w:rPr>
          <w:rtl w:val="true"/>
        </w:rPr>
        <w:t xml:space="preserve">בהתאם </w:t>
      </w:r>
      <w:hyperlink r:id="rId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בשים לב לכל אלה </w:t>
      </w:r>
      <w:r>
        <w:rPr>
          <w:rtl w:val="true"/>
        </w:rPr>
        <w:t>–</w:t>
      </w:r>
      <w:r>
        <w:rPr>
          <w:rtl w:val="true"/>
        </w:rPr>
        <w:t xml:space="preserve"> בית המשפט המחוזי הנכבד גזר את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כפי שפורט בפיסקה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12.09.2018</w:t>
      </w:r>
      <w:r>
        <w:rPr>
          <w:rtl w:val="true"/>
        </w:rPr>
        <w:t xml:space="preserve"> </w:t>
      </w:r>
      <w:r>
        <w:rPr>
          <w:rtl w:val="true"/>
        </w:rPr>
        <w:t>נערך בפנינו דיון בערעור</w:t>
      </w:r>
      <w:r>
        <w:rPr>
          <w:rtl w:val="true"/>
        </w:rPr>
        <w:t xml:space="preserve">. </w:t>
      </w:r>
      <w:r>
        <w:rPr>
          <w:rtl w:val="true"/>
        </w:rPr>
        <w:t>לאחר שנשמעו טיעונים מצד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 xml:space="preserve">וכן דברים מפי המערער עצמו ומפי נציגת שירות המבחן למבוגרים </w:t>
      </w:r>
      <w:r>
        <w:rPr>
          <w:rtl w:val="true"/>
        </w:rPr>
        <w:t>–</w:t>
      </w:r>
      <w:r>
        <w:rPr>
          <w:rtl w:val="true"/>
        </w:rPr>
        <w:t xml:space="preserve"> המערער הסכים להצעתנו שלפיה הוא יחזור בו מערעורו על ההרשעה ויבקש כי נבחן אפשרות להשית עליו שירות לתועלת הציבור </w:t>
      </w:r>
      <w:r>
        <w:rPr>
          <w:rtl w:val="true"/>
        </w:rPr>
        <w:t>(</w:t>
      </w:r>
      <w:r>
        <w:rPr>
          <w:rtl w:val="true"/>
        </w:rPr>
        <w:t>עם הרשעה</w:t>
      </w:r>
      <w:r>
        <w:rPr>
          <w:rtl w:val="true"/>
        </w:rPr>
        <w:t xml:space="preserve">), </w:t>
      </w:r>
      <w:r>
        <w:rPr>
          <w:rtl w:val="true"/>
        </w:rPr>
        <w:t>במקום מאסר לביצוע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בעקבות האמור החלטנו על דחיית חלקו של הערעור שנוגע להרשעה והורינו לשירות המבחן לגבש תכנית אפשרית עבור המערער </w:t>
      </w:r>
      <w:r>
        <w:rPr>
          <w:rtl w:val="true"/>
        </w:rPr>
        <w:t>–</w:t>
      </w:r>
      <w:r>
        <w:rPr>
          <w:rtl w:val="true"/>
        </w:rPr>
        <w:t xml:space="preserve"> לשירות לתועלת הציבור בהיקף של </w:t>
      </w:r>
      <w:r>
        <w:rPr/>
        <w:t>300-250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14.10.2018</w:t>
      </w:r>
      <w:r>
        <w:rPr>
          <w:rtl w:val="true"/>
        </w:rPr>
        <w:t xml:space="preserve"> </w:t>
      </w:r>
      <w:r>
        <w:rPr>
          <w:rtl w:val="true"/>
        </w:rPr>
        <w:t>שירות המבחן הגיש לנו תכנית כאמור</w:t>
      </w:r>
      <w:r>
        <w:rPr>
          <w:rtl w:val="true"/>
        </w:rPr>
        <w:t xml:space="preserve">, </w:t>
      </w:r>
      <w:r>
        <w:rPr>
          <w:rtl w:val="true"/>
        </w:rPr>
        <w:t>וכן העביר אותה לעיון הצדדים</w:t>
      </w:r>
      <w:r>
        <w:rPr>
          <w:rtl w:val="true"/>
        </w:rPr>
        <w:t xml:space="preserve">, </w:t>
      </w:r>
      <w:r>
        <w:rPr>
          <w:rtl w:val="true"/>
        </w:rPr>
        <w:t>כדי שאלה יוכלו להגיב עליה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הרשות שנתנו להם בהחלטתנו מתאריך </w:t>
      </w:r>
      <w:r>
        <w:rPr/>
        <w:t>12.09.2018</w:t>
      </w:r>
      <w:r>
        <w:rPr>
          <w:rtl w:val="true"/>
        </w:rPr>
        <w:t xml:space="preserve"> </w:t>
      </w:r>
      <w:r>
        <w:rPr>
          <w:rtl w:val="true"/>
        </w:rPr>
        <w:t>לעשות כן</w:t>
      </w:r>
      <w:r>
        <w:rPr>
          <w:rtl w:val="true"/>
        </w:rPr>
        <w:t xml:space="preserve">, </w:t>
      </w:r>
      <w:r>
        <w:rPr>
          <w:rtl w:val="true"/>
        </w:rPr>
        <w:t>אם ירצו בכך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18.10.2018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הודיע לנו כי התכנית מקובלת על שולחו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08.01.2019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הודיע לנו כי ייתכן שהתכנית האמורה כלל לא הועברה לידי המשיבה</w:t>
      </w:r>
      <w:r>
        <w:rPr>
          <w:rtl w:val="true"/>
        </w:rPr>
        <w:t xml:space="preserve">, </w:t>
      </w:r>
      <w:r>
        <w:rPr>
          <w:rtl w:val="true"/>
        </w:rPr>
        <w:t>וביקש לקבלהּ כדי לבחון האם יש צורך בתגובה מטעמה של המשיבה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08.01.2019</w:t>
      </w:r>
      <w:r>
        <w:rPr>
          <w:rtl w:val="true"/>
        </w:rPr>
        <w:t xml:space="preserve"> </w:t>
      </w:r>
      <w:r>
        <w:rPr>
          <w:rtl w:val="true"/>
        </w:rPr>
        <w:t>הוחלט להורות לשירות המבחן להעביר לבא</w:t>
      </w:r>
      <w:r>
        <w:rPr>
          <w:rtl w:val="true"/>
        </w:rPr>
        <w:t>-</w:t>
      </w:r>
      <w:r>
        <w:rPr>
          <w:rtl w:val="true"/>
        </w:rPr>
        <w:t>כוח המשיבה את התכנית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לא יאוחר מתאריך </w:t>
      </w:r>
      <w:r>
        <w:rPr/>
        <w:t>10.01.2019</w:t>
      </w:r>
      <w:r>
        <w:rPr>
          <w:rtl w:val="true"/>
        </w:rPr>
        <w:t xml:space="preserve">, </w:t>
      </w:r>
      <w:r>
        <w:rPr>
          <w:rtl w:val="true"/>
        </w:rPr>
        <w:t>ולהעניק רשות למשיבה להגיב לתכנית</w:t>
      </w:r>
      <w:r>
        <w:rPr>
          <w:rtl w:val="true"/>
        </w:rPr>
        <w:t xml:space="preserve">, </w:t>
      </w:r>
      <w:r>
        <w:rPr>
          <w:rtl w:val="true"/>
        </w:rPr>
        <w:t>אם רצונה בכך</w:t>
      </w:r>
      <w:r>
        <w:rPr>
          <w:rtl w:val="true"/>
        </w:rPr>
        <w:t xml:space="preserve">, </w:t>
      </w:r>
      <w:r>
        <w:rPr>
          <w:rtl w:val="true"/>
        </w:rPr>
        <w:t xml:space="preserve">עד לתאריך </w:t>
      </w:r>
      <w:r>
        <w:rPr/>
        <w:t>15.01.2019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בתאריך </w:t>
      </w:r>
      <w:r>
        <w:rPr/>
        <w:t>10.01.2019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הודיע לנו</w:t>
      </w:r>
      <w:r>
        <w:rPr>
          <w:rtl w:val="true"/>
        </w:rPr>
        <w:t xml:space="preserve">, </w:t>
      </w:r>
      <w:r>
        <w:rPr>
          <w:rtl w:val="true"/>
        </w:rPr>
        <w:t>לאחר שעיין בתכנית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 הוא אינו רואה להוסיף התייחסות נוספת מטעם המשיבה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בהודעת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הערעור ובדיון שהתקיים בפנינו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טען כי בית המשפט המחוזי הנכבד החמיר עם המערער יתר על המידה בקביעת מתחם העונש ההולם לעבירות שבהן הורשע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הוסיף כי בית המשפט המחוזי הנכבד שגה כשלא מיקם את העונש שנגזר עליו ברף הנמוך של מתחם העונש ההולם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נוכח הנסיבות המקלות הבאות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גילו הצעיר של המערער בעת 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העובדה שלקח אחריות על מעשיו והביע חרטה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הנתון שלמערער אין עבר פלילי או נטיות אלימות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וקיומו של תסקיר מבחן חיובי שהמליץ על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הרשעה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טען כי בית המשפט המחוזי הנכבד שגה גם בקביעתו כי יש להחמיר את עונשו של המערער בשל הצורך להרתעת הרבים במגזר החרדי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Miriam"/>
          <w:sz w:val="22"/>
        </w:rPr>
      </w:pPr>
      <w:r>
        <w:rPr>
          <w:rFonts w:cs="Miriam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סמכה מנגד את ידיה  על פסק דינו של בית המשפט המחוזי הנכבד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הדגישה בדיון שהתקיים בפנינו כי ההרשעה מצדיקה את העונש שהושת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היה מקום לקחת בחשבון במסגרת הענישה אף את יסוד הרתעת הרבים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לאחר שעיינו בגזר הדין של בית המשפט המחוזי הנכבד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בהודעת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בתסקיר שירות המבחן ובתסקיר המשלים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היה בפני בית המשפט המחוזי הנכבד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ובעקבות שמיעת טענות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מצאנו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שחלף עונש המאסר לביצוע בדרך של עבודות שירות שהוטל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יוטל עליו שירות לתועלת הציבור בהתאם להמלצת שירות המבחן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הטעמים לקביעה זו יובאו מיד בסמוך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ההלכה היא כי ככלל ערכאת הערעור תתערב בגזר הדין שקבעה הערכאה הדיונית רק במקרים חריגים שבהם נפלה בגזר הדין טעות מהותית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העונש שנגזר סוטה סטייה של ממש מרמת הענישה הראויה או המקובלת לנסיבות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837/17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ascii="Century" w:hAnsi="Century" w:cs="Century"/>
          <w:sz w:val="22"/>
          <w:sz w:val="22"/>
          <w:rtl w:val="true"/>
        </w:rPr>
        <w:t xml:space="preserve">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25.10.2017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פיסקאות </w:t>
      </w:r>
      <w:r>
        <w:rPr/>
        <w:t>17-16</w:t>
      </w:r>
      <w:r>
        <w:rPr>
          <w:rtl w:val="true"/>
        </w:rPr>
        <w:t xml:space="preserve"> (</w:t>
      </w:r>
      <w:r>
        <w:rPr/>
        <w:t>13.05.2013</w:t>
      </w:r>
      <w:r>
        <w:rPr>
          <w:rtl w:val="true"/>
        </w:rPr>
        <w:t xml:space="preserve">)). </w:t>
      </w:r>
      <w:r>
        <w:rPr>
          <w:rtl w:val="true"/>
        </w:rPr>
        <w:t>איננו סבורים כי מקרה זה בא כפשוטו בגדרם של אותם מקרים חריגים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בהתחשב בנסיבותיו האישיות של המערער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ובמיוחד נוכח תסקירי שירות המבחן החיוביים שהונחו לפנינו והיעדר של כל עבר פלילי למערער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סברנו</w:t>
      </w:r>
      <w:r>
        <w:rPr>
          <w:rFonts w:ascii="Century" w:hAnsi="Century" w:cs="Century"/>
          <w:sz w:val="22"/>
          <w:sz w:val="22"/>
          <w:rtl w:val="true"/>
        </w:rPr>
        <w:t xml:space="preserve"> כי יש מקום להקלה מסוימת עמו</w:t>
      </w:r>
      <w:r>
        <w:rPr>
          <w:rFonts w:ascii="Century" w:hAnsi="Century" w:cs="Century"/>
          <w:sz w:val="22"/>
          <w:sz w:val="22"/>
          <w:rtl w:val="true"/>
        </w:rPr>
        <w:t xml:space="preserve"> מהטעמים שיפורטו להלן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קובע כי בית המשפט רשאי </w:t>
      </w:r>
      <w:r>
        <w:rPr>
          <w:rtl w:val="true"/>
        </w:rPr>
        <w:t>לסטות</w:t>
      </w:r>
      <w:r>
        <w:rPr>
          <w:rtl w:val="true"/>
        </w:rPr>
        <w:t xml:space="preserve">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 כי הנאשם השתקם או כי יש סיכוי של ממש שישתקם</w:t>
      </w:r>
      <w:r>
        <w:rPr>
          <w:rtl w:val="true"/>
        </w:rPr>
        <w:t xml:space="preserve">". </w:t>
      </w:r>
      <w:r>
        <w:rPr>
          <w:rtl w:val="true"/>
        </w:rPr>
        <w:t xml:space="preserve">סעיף זה מבטא את עמדת המחוקק </w:t>
      </w:r>
      <w:r>
        <w:rPr>
          <w:rtl w:val="true"/>
        </w:rPr>
        <w:t>כי</w:t>
      </w:r>
      <w:r>
        <w:rPr>
          <w:rtl w:val="true"/>
        </w:rPr>
        <w:t xml:space="preserve"> יש ליתן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מעמד בכורה לשיקול השיקומי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חשבון</w:t>
      </w:r>
      <w:r>
        <w:rPr>
          <w:rtl w:val="true"/>
        </w:rPr>
        <w:t xml:space="preserve"> העיקרון המנחה בענישה</w:t>
      </w:r>
      <w:r>
        <w:rPr>
          <w:rtl w:val="true"/>
        </w:rPr>
        <w:t xml:space="preserve">, </w:t>
      </w:r>
      <w:r>
        <w:rPr>
          <w:rtl w:val="true"/>
        </w:rPr>
        <w:t>הוא עיקרון ההלימה</w:t>
      </w:r>
      <w:r>
        <w:rPr>
          <w:rtl w:val="true"/>
        </w:rPr>
        <w:t xml:space="preserve">, </w:t>
      </w:r>
      <w:r>
        <w:rPr>
          <w:rtl w:val="true"/>
        </w:rPr>
        <w:t>והכל במקרים המתאימים לכך</w:t>
      </w:r>
      <w:r>
        <w:rPr>
          <w:rtl w:val="true"/>
        </w:rPr>
        <w:t xml:space="preserve">. </w:t>
      </w:r>
      <w:r>
        <w:rPr>
          <w:rtl w:val="true"/>
        </w:rPr>
        <w:t>השיקולים שניתן לשקול בהקשר זה הם</w:t>
      </w:r>
      <w:r>
        <w:rPr>
          <w:rtl w:val="true"/>
        </w:rPr>
        <w:t xml:space="preserve">, </w:t>
      </w:r>
      <w:r>
        <w:rPr>
          <w:rtl w:val="true"/>
        </w:rPr>
        <w:t>בן היתר</w:t>
      </w:r>
      <w:r>
        <w:rPr>
          <w:rtl w:val="true"/>
        </w:rPr>
        <w:t>: "...</w:t>
      </w:r>
      <w:r>
        <w:rPr>
          <w:rtl w:val="true"/>
        </w:rPr>
        <w:t>המוטיבציה שהפגין האדם שהורשע להשתקם</w:t>
      </w:r>
      <w:r>
        <w:rPr>
          <w:rtl w:val="true"/>
        </w:rPr>
        <w:t xml:space="preserve">; </w:t>
      </w:r>
      <w:r>
        <w:rPr>
          <w:rtl w:val="true"/>
        </w:rPr>
        <w:t>הליך של גמילה מהתמכרות שהוא עובר</w:t>
      </w:r>
      <w:r>
        <w:rPr>
          <w:rtl w:val="true"/>
        </w:rPr>
        <w:t xml:space="preserve">; </w:t>
      </w:r>
      <w:r>
        <w:rPr>
          <w:rtl w:val="true"/>
        </w:rPr>
        <w:t>השתלבות מוצלחת בהליכים טיפוליים שונים</w:t>
      </w:r>
      <w:r>
        <w:rPr>
          <w:rtl w:val="true"/>
        </w:rPr>
        <w:t xml:space="preserve">; </w:t>
      </w:r>
      <w:r>
        <w:rPr>
          <w:rtl w:val="true"/>
        </w:rPr>
        <w:t>אינדיקציות לשינוי עמוק בהתנהגות ובדרך החשיבה</w:t>
      </w:r>
      <w:r>
        <w:rPr>
          <w:rtl w:val="true"/>
        </w:rPr>
        <w:t xml:space="preserve">; </w:t>
      </w:r>
      <w:r>
        <w:rPr>
          <w:rtl w:val="true"/>
        </w:rPr>
        <w:t>הבעת חרטה כנה על המעשים והפגנת אמפתיה כלפי נפגעי העבירה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פיסקה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18.04.2018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8"/>
          <w:szCs w:val="14"/>
        </w:rPr>
      </w:pPr>
      <w:r>
        <w:rPr>
          <w:rFonts w:cs="Century" w:ascii="Century" w:hAnsi="Century"/>
          <w:sz w:val="8"/>
          <w:szCs w:val="1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 המערער נעדר עבר פלילי ומסתמן כי למעט האירוע</w:t>
      </w:r>
      <w:r>
        <w:rPr>
          <w:rtl w:val="true"/>
        </w:rPr>
        <w:t xml:space="preserve">, </w:t>
      </w:r>
      <w:r>
        <w:rPr>
          <w:rtl w:val="true"/>
        </w:rPr>
        <w:t>מושא הערעור</w:t>
      </w:r>
      <w:r>
        <w:rPr>
          <w:rtl w:val="true"/>
        </w:rPr>
        <w:t xml:space="preserve">, </w:t>
      </w:r>
      <w:r>
        <w:rPr>
          <w:rtl w:val="true"/>
        </w:rPr>
        <w:t>שבגדרו עבר את העבירות שהורשע בהן</w:t>
      </w:r>
      <w:r>
        <w:rPr>
          <w:rtl w:val="true"/>
        </w:rPr>
        <w:t xml:space="preserve">, </w:t>
      </w:r>
      <w:r>
        <w:rPr>
          <w:rtl w:val="true"/>
        </w:rPr>
        <w:t>הוא ניהל ומנהל אורח חיים נורמטיבי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הכיר בחומרת מעשיו והביע חרטה וצער עליהם</w:t>
      </w:r>
      <w:r>
        <w:rPr>
          <w:rtl w:val="true"/>
        </w:rPr>
        <w:t xml:space="preserve">. </w:t>
      </w:r>
      <w:r>
        <w:rPr>
          <w:rtl w:val="true"/>
        </w:rPr>
        <w:t>תסקירי שירות המבחן בעניינו</w:t>
      </w:r>
      <w:r>
        <w:rPr>
          <w:rtl w:val="true"/>
        </w:rPr>
        <w:t xml:space="preserve"> הם</w:t>
      </w:r>
      <w:r>
        <w:rPr>
          <w:rtl w:val="true"/>
        </w:rPr>
        <w:t xml:space="preserve"> חיוביים ומציגים עמדה </w:t>
      </w:r>
      <w:r>
        <w:rPr>
          <w:rtl w:val="true"/>
        </w:rPr>
        <w:t>ש</w:t>
      </w:r>
      <w:r>
        <w:rPr>
          <w:rtl w:val="true"/>
        </w:rPr>
        <w:t xml:space="preserve">לפיה </w:t>
      </w:r>
      <w:r>
        <w:rPr>
          <w:rFonts w:ascii="Century" w:hAnsi="Century" w:cs="Century"/>
          <w:sz w:val="22"/>
          <w:sz w:val="22"/>
          <w:rtl w:val="true"/>
        </w:rPr>
        <w:t xml:space="preserve">ההליך הפלילי היווה גורם מרתיע עבורו וכי הוא </w:t>
      </w:r>
      <w:r>
        <w:rPr>
          <w:rtl w:val="true"/>
        </w:rPr>
        <w:t>הפיק את הלקחים הנדרשים</w:t>
      </w:r>
      <w:r>
        <w:rPr>
          <w:rtl w:val="true"/>
        </w:rPr>
        <w:t xml:space="preserve">. </w:t>
      </w:r>
      <w:r>
        <w:rPr>
          <w:rtl w:val="true"/>
        </w:rPr>
        <w:t>ניכר איפוא כי התנהגותו הפלילית של המערער היתה חד פעמית</w:t>
      </w:r>
      <w:r>
        <w:rPr>
          <w:rtl w:val="true"/>
        </w:rPr>
        <w:t xml:space="preserve">, </w:t>
      </w:r>
      <w:r>
        <w:rPr>
          <w:rtl w:val="true"/>
        </w:rPr>
        <w:t>ושונה מאד מהתנהלותו בדרך כלל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ומבלי שיהיה בכך להקל ממידת החומרה של מעשי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אנו מקבלים</w:t>
      </w:r>
      <w:r>
        <w:rPr>
          <w:rFonts w:ascii="Century" w:hAnsi="Century" w:cs="Century"/>
          <w:sz w:val="22"/>
          <w:sz w:val="22"/>
          <w:rtl w:val="true"/>
        </w:rPr>
        <w:t xml:space="preserve"> את הערעור</w:t>
      </w:r>
      <w:r>
        <w:rPr>
          <w:rFonts w:ascii="Century" w:hAnsi="Century" w:cs="Century"/>
          <w:sz w:val="22"/>
          <w:sz w:val="22"/>
          <w:rtl w:val="true"/>
        </w:rPr>
        <w:t xml:space="preserve"> המתייחס לגזר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כך שתאומץ </w:t>
      </w:r>
      <w:r>
        <w:rPr>
          <w:rFonts w:ascii="Century" w:hAnsi="Century" w:cs="Century"/>
          <w:sz w:val="22"/>
          <w:sz w:val="22"/>
          <w:rtl w:val="true"/>
        </w:rPr>
        <w:t>המלצת שירות המבחן</w:t>
      </w:r>
      <w:r>
        <w:rPr>
          <w:rFonts w:ascii="Century" w:hAnsi="Century" w:cs="Century"/>
          <w:sz w:val="22"/>
          <w:sz w:val="22"/>
          <w:rtl w:val="true"/>
        </w:rPr>
        <w:t xml:space="preserve"> לגביו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ויוקל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עונש שנגזר על המערער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בהתאם לכך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חלף</w:t>
      </w:r>
      <w:r>
        <w:rPr>
          <w:rFonts w:ascii="Century" w:hAnsi="Century" w:cs="Century"/>
          <w:sz w:val="22"/>
          <w:sz w:val="22"/>
          <w:rtl w:val="true"/>
        </w:rPr>
        <w:t xml:space="preserve"> העונש של 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ימים של מאסר בפועל</w:t>
      </w:r>
      <w:r>
        <w:rPr>
          <w:rFonts w:ascii="Century" w:hAnsi="Century" w:cs="Century"/>
          <w:sz w:val="22"/>
          <w:sz w:val="22"/>
          <w:rtl w:val="true"/>
        </w:rPr>
        <w:t xml:space="preserve"> שהטיל בית המשפט המחוזי הנכבד על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בניכוי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ימי מעצרו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שאמורים היו להיות מרוצים על דרך של עבודות שירות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המערער יבצע שירות לתועלת הציבור בהיקף של </w:t>
      </w:r>
      <w:r>
        <w:rPr>
          <w:rFonts w:cs="Century" w:ascii="Century" w:hAnsi="Century"/>
          <w:sz w:val="22"/>
        </w:rPr>
        <w:t>300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שעות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לתכנית שגובשה על ידי שירות המבחן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יתר מרכיבי גזר הדין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יישארו על כנם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ממילא אין עוד צורך בעיכוב הביצוע שהוצא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והוא יתבטל עם תחילת השירות לתועלת הציבור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17.1.2019</w:t>
      </w:r>
      <w:r>
        <w:rPr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17036130</w:t>
      </w:r>
      <w:r>
        <w:rPr>
          <w:sz w:val="16"/>
          <w:rtl w:val="true"/>
        </w:rPr>
        <w:t>_</w:t>
      </w:r>
      <w:r>
        <w:rPr>
          <w:sz w:val="16"/>
        </w:rPr>
        <w:t>K05.docx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עד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מינץ </w:t>
      </w:r>
      <w:r>
        <w:rPr>
          <w:rFonts w:cs="David;Times New Roman" w:ascii="David;Times New Roman" w:hAnsi="David;Times New Roman"/>
          <w:color w:val="000000"/>
          <w:szCs w:val="22"/>
        </w:rPr>
        <w:t>54678313-3613/17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3613/17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אריה זייבלד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817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332" TargetMode="External"/><Relationship Id="rId8" Type="http://schemas.openxmlformats.org/officeDocument/2006/relationships/hyperlink" Target="http://www.nevo.co.il/law/70301/332a" TargetMode="External"/><Relationship Id="rId9" Type="http://schemas.openxmlformats.org/officeDocument/2006/relationships/hyperlink" Target="http://www.nevo.co.il/law/70301/344" TargetMode="External"/><Relationship Id="rId10" Type="http://schemas.openxmlformats.org/officeDocument/2006/relationships/hyperlink" Target="http://www.nevo.co.il/law/70301/40d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681789" TargetMode="External"/><Relationship Id="rId13" Type="http://schemas.openxmlformats.org/officeDocument/2006/relationships/hyperlink" Target="http://www.nevo.co.il/law/70301/3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52" TargetMode="External"/><Relationship Id="rId16" Type="http://schemas.openxmlformats.org/officeDocument/2006/relationships/hyperlink" Target="http://www.nevo.co.il/law/70301/152" TargetMode="External"/><Relationship Id="rId17" Type="http://schemas.openxmlformats.org/officeDocument/2006/relationships/hyperlink" Target="http://www.nevo.co.il/law/70301/332" TargetMode="External"/><Relationship Id="rId18" Type="http://schemas.openxmlformats.org/officeDocument/2006/relationships/hyperlink" Target="http://www.nevo.co.il/law/70301/332a" TargetMode="External"/><Relationship Id="rId19" Type="http://schemas.openxmlformats.org/officeDocument/2006/relationships/hyperlink" Target="http://www.nevo.co.il/law/70301/3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law/70301/40g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2195685" TargetMode="External"/><Relationship Id="rId27" Type="http://schemas.openxmlformats.org/officeDocument/2006/relationships/hyperlink" Target="http://www.nevo.co.il/case/5594306" TargetMode="External"/><Relationship Id="rId28" Type="http://schemas.openxmlformats.org/officeDocument/2006/relationships/hyperlink" Target="http://www.nevo.co.il/law/70301/40d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2938500" TargetMode="External"/><Relationship Id="rId31" Type="http://schemas.openxmlformats.org/officeDocument/2006/relationships/hyperlink" Target="http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2019-01-20T12:51:00Z</dcterms:created>
  <dc:creator>h3</dc:creator>
  <dc:description/>
  <cp:keywords/>
  <dc:language>en-IL</dc:language>
  <cp:lastModifiedBy>orly</cp:lastModifiedBy>
  <cp:lastPrinted>2019-01-17T13:19:00Z</cp:lastPrinted>
  <dcterms:modified xsi:type="dcterms:W3CDTF">2019-01-20T12:51:00Z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אריה זייבלד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ProcID=213&amp;PartA=17&amp;PartC=16</vt:lpwstr>
  </property>
  <property fmtid="{D5CDD505-2E9C-101B-9397-08002B2CF9AE}" pid="9" name="CASESLISTTMP1">
    <vt:lpwstr>21681789:2;22195685;5594306;22938500</vt:lpwstr>
  </property>
  <property fmtid="{D5CDD505-2E9C-101B-9397-08002B2CF9AE}" pid="10" name="CITY">
    <vt:lpwstr/>
  </property>
  <property fmtid="{D5CDD505-2E9C-101B-9397-08002B2CF9AE}" pid="11" name="DATE">
    <vt:lpwstr>20190117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ד' מינץ;י' וילנר;ח' מלצר</vt:lpwstr>
  </property>
  <property fmtid="{D5CDD505-2E9C-101B-9397-08002B2CF9AE}" pid="15" name="LAWLISTTMP1">
    <vt:lpwstr>70301/344:3;152:3;332;332a;040g;040d.a</vt:lpwstr>
  </property>
  <property fmtid="{D5CDD505-2E9C-101B-9397-08002B2CF9AE}" pid="16" name="LAWYER">
    <vt:lpwstr>שרית רייך אבניאל;שאול כהן;מוטי אורנג';מרטין פדר;ברכה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שיקום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15230;17420</vt:lpwstr>
  </property>
  <property fmtid="{D5CDD505-2E9C-101B-9397-08002B2CF9AE}" pid="60" name="PADIDATE">
    <vt:lpwstr>20190120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3613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410120190117</vt:lpwstr>
  </property>
  <property fmtid="{D5CDD505-2E9C-101B-9397-08002B2CF9AE}" pid="70" name="TYPE_N_DATE">
    <vt:lpwstr>41020190117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