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3619/18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בנימין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סביץ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4608-03-17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קולה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צרפתי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FrankRuehl;Times New Roman"/>
                <w:spacing w:val="10"/>
                <w:rtl w:val="true"/>
              </w:rPr>
              <w:t>ו</w:t>
            </w:r>
            <w:r>
              <w:rPr>
                <w:rFonts w:cs="FrankRuehl;Times New Roman" w:ascii="Century" w:hAnsi="Century"/>
                <w:spacing w:val="10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גלפז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מוקדי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10.12.2018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מוטי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חתוקה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2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329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334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עונשו של המערער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–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שנית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בעקבות הרשעתו בעבירות של גרימת חבלה בכוונה מחמירה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ופציעה בנסיבות מחמירות – הגם שאינו מן הקלים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הולם את חומרת המעשים ואת נסיבות ביצועם וכן את יתר הנסיבות אשר נדרש היה להביאן בחשבון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טענת המערער כי לא היה מקום לקבוע שני מתחמי ענישה נפרדים בגין העבירות שבהן הורשע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בשל הפגיעה בשתי מתלוננות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אף אם אינה נטולת טעם היא לבדה אין בה כדי להועיל למערער בהינתן העובדה שהעונש הכולל שהוטל עליו אינו מקים עילה להתערבות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אלימות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חומרת העונש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מדובר באירוע במהלכו דקר המערער את חמותו במזלג צליה ולאחר מכן בסכין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כאשר תוך כדי אותו האירוע דקר המערער גם את בת זוגו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הורשע בבימ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מחוזי בעבירות של גרימת חבלה בכוונה מחמירה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ופציעה בנסיבות מחמירות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על המערער נגזר 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42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לריצוי בפועל ובנוסף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הורה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על הפעלת מאסר מותנה בן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מחציתו במצטבר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כ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בנוסף הוטלו על המערער עונשי מאסר על תנאי ופיצוי כספי למתלוננות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מפי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הנשיאה 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כידוע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ככלל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אין ערכאת הערעור מתערבת בעונש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 שנקבע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 על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ידי הערכאה הדיונית אלא במקרים חריגים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ש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בהם נפלה טעות מהותית בגזר הדין או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כאשר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העונש שנגזר על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 חורג במידה משמעותית מרמת הענישה הנוהגת או הראויה במקרים דומים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המקרה דנן אינו נמנה עם אותם מקרים חריגים המצדיקים התערבות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זה עמד לא אחת על הצורך להדביר את תופעת הסכינאות בחברה הישראלית ולנקוט בענישה מחמירה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וזאת גם לשם הרתעת הרבים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כאמור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המערער נטל מזלג צלייה ממטבח המתלוננת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חמותו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הכה אותה ודקר אותה ומשהתעקם מזלג הצלייה נטל סכין והמשיך במסע הדקירות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כדי אותו האירוע דקר המערער גם את בת זוגו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חשוב לציין כי המערער הורשע שנים מועטות קודם לכן בחבלה חמורה בנסיבות מחמירות בגין מסכת אירועים דומה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 נטל סכין מטבח ודקר את אחיו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טענת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המערער כי שגה ביהמ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ש בכך שקבע שני מתחמי ענישה נפרדים בגין העבירות שבהן הורשע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בשל הפגיעה בשתי מתלוננות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אף אם אינה נטולת טעם היא לבדה אין בה כדי להועיל למערער בהינתן העובדה שהעונש הכולל שהוטל עליו אינו מקים עילה להתערבות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טענתו הנוספת של המערער לפיה שגה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קמא בשקילת הנסיבות הרלוונטיות לקביעת מתחם העונש ולקביעת העונש בתוך המתחם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אף היא דינה להידחות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עונשו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הגם שאינו מן הקלים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הולם את חומרת המעשים ואת נסיבות ביצועם וכן את יתר הנסיבות אשר נדרש היה להביאן בחשבון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גלפז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מוקדי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4608-03-17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ופציעה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, </w:t>
      </w:r>
      <w:hyperlink r:id="rId11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highlight w:val="yellow"/>
        </w:rPr>
      </w:pPr>
      <w:r>
        <w:rPr>
          <w:rtl w:val="true"/>
        </w:rPr>
        <w:tab/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ובהמלצתנו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ונותר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  <w:highlight w:val="yellow"/>
        </w:rPr>
      </w:pPr>
      <w:r>
        <w:rPr>
          <w:rFonts w:cs="Miriam" w:ascii="Century" w:hAnsi="Century"/>
          <w:b/>
          <w:spacing w:val="0"/>
          <w:szCs w:val="24"/>
          <w:highlight w:val="yellow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כתב אישום שהוגש נגד המערער ייחס לו עבירות של ניסיון רצח חמותו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 xml:space="preserve">וכן עבירות של חבלה חמורה בנסיבות מחמירות ופציעה בנסיבות מחמירות כלפי המתלוננת וכלפי זוגתו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tl w:val="true"/>
        </w:rPr>
        <w:t xml:space="preserve">) </w:t>
      </w:r>
      <w:r>
        <w:rPr>
          <w:rtl w:val="true"/>
        </w:rPr>
        <w:t xml:space="preserve">וזו תמצית העובדות הצריכה לעניין </w:t>
      </w:r>
      <w:r>
        <w:rPr>
          <w:rtl w:val="true"/>
        </w:rPr>
        <w:t>–</w:t>
      </w:r>
      <w:r>
        <w:rPr>
          <w:rtl w:val="true"/>
        </w:rPr>
        <w:t xml:space="preserve"> ביום </w:t>
      </w:r>
      <w:r>
        <w:rPr/>
        <w:t>17.2.2017</w:t>
      </w:r>
      <w:r>
        <w:rPr>
          <w:rtl w:val="true"/>
        </w:rPr>
        <w:t xml:space="preserve">, </w:t>
      </w:r>
      <w:r>
        <w:rPr>
          <w:rtl w:val="true"/>
        </w:rPr>
        <w:t>יום לפני התרחשות העבירות מושא הערעור</w:t>
      </w:r>
      <w:r>
        <w:rPr>
          <w:rtl w:val="true"/>
        </w:rPr>
        <w:t xml:space="preserve">, </w:t>
      </w:r>
      <w:r>
        <w:rPr>
          <w:rtl w:val="true"/>
        </w:rPr>
        <w:t>הגיעה ש</w:t>
      </w:r>
      <w:r>
        <w:rPr>
          <w:rtl w:val="true"/>
        </w:rPr>
        <w:t>"</w:t>
      </w:r>
      <w:r>
        <w:rPr>
          <w:rtl w:val="true"/>
        </w:rPr>
        <w:t xml:space="preserve">ס לבית המשותף למערער ולה </w:t>
      </w:r>
      <w:r>
        <w:rPr>
          <w:rtl w:val="true"/>
        </w:rPr>
        <w:t>(</w:t>
      </w:r>
      <w:r>
        <w:rPr>
          <w:rtl w:val="true"/>
        </w:rPr>
        <w:t>אותו עזבה מספר ימים קודם לכן בגין סכסוך</w:t>
      </w:r>
      <w:r>
        <w:rPr>
          <w:rtl w:val="true"/>
        </w:rPr>
        <w:t xml:space="preserve">) </w:t>
      </w:r>
      <w:r>
        <w:rPr>
          <w:rtl w:val="true"/>
        </w:rPr>
        <w:t>ונטלה</w:t>
      </w:r>
      <w:r>
        <w:rPr>
          <w:rtl w:val="true"/>
        </w:rPr>
        <w:t xml:space="preserve">, </w:t>
      </w:r>
      <w:r>
        <w:rPr>
          <w:rtl w:val="true"/>
        </w:rPr>
        <w:t>בהסכמת המערער</w:t>
      </w:r>
      <w:r>
        <w:rPr>
          <w:rtl w:val="true"/>
        </w:rPr>
        <w:t xml:space="preserve">, </w:t>
      </w:r>
      <w:r>
        <w:rPr>
          <w:rtl w:val="true"/>
        </w:rPr>
        <w:t>בגדים עבורה ועבור בתם התינוקת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נטלה ש</w:t>
      </w:r>
      <w:r>
        <w:rPr>
          <w:rtl w:val="true"/>
        </w:rPr>
        <w:t>"</w:t>
      </w:r>
      <w:r>
        <w:rPr>
          <w:rtl w:val="true"/>
        </w:rPr>
        <w:t>ס תלושי שכר של המערער ומסמכים נוספים ללא הסכמתו</w:t>
      </w:r>
      <w:r>
        <w:rPr>
          <w:rtl w:val="true"/>
        </w:rPr>
        <w:t xml:space="preserve">. </w:t>
      </w:r>
      <w:r>
        <w:rPr>
          <w:rtl w:val="true"/>
        </w:rPr>
        <w:t>משגילה זאת</w:t>
      </w:r>
      <w:r>
        <w:rPr>
          <w:rtl w:val="true"/>
        </w:rPr>
        <w:t xml:space="preserve">, </w:t>
      </w:r>
      <w:r>
        <w:rPr>
          <w:rtl w:val="true"/>
        </w:rPr>
        <w:t xml:space="preserve">נסע המערער לביתה של המתלוננת </w:t>
      </w:r>
      <w:r>
        <w:rPr>
          <w:rtl w:val="true"/>
        </w:rPr>
        <w:t>(</w:t>
      </w:r>
      <w:r>
        <w:rPr>
          <w:rtl w:val="true"/>
        </w:rPr>
        <w:t>בו שהתה 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 </w:t>
      </w:r>
      <w:r>
        <w:rPr>
          <w:rtl w:val="true"/>
        </w:rPr>
        <w:t>וביקש את המסמכים שנלקחו מהדירה</w:t>
      </w:r>
      <w:r>
        <w:rPr>
          <w:rtl w:val="true"/>
        </w:rPr>
        <w:t xml:space="preserve">. </w:t>
      </w:r>
      <w:r>
        <w:rPr>
          <w:rtl w:val="true"/>
        </w:rPr>
        <w:t>על רקע זה התפתח בין המערער למתלוננת ויכוח סוער אשר במהלכו נטל המערער מזלג צלייה ממטבחה של המתלוננת</w:t>
      </w:r>
      <w:r>
        <w:rPr>
          <w:rtl w:val="true"/>
        </w:rPr>
        <w:t xml:space="preserve">, </w:t>
      </w:r>
      <w:r>
        <w:rPr>
          <w:rtl w:val="true"/>
        </w:rPr>
        <w:t>דקר אותה באמצעות המזלג בעורפה</w:t>
      </w:r>
      <w:r>
        <w:rPr>
          <w:rtl w:val="true"/>
        </w:rPr>
        <w:t xml:space="preserve">, </w:t>
      </w:r>
      <w:r>
        <w:rPr>
          <w:rtl w:val="true"/>
        </w:rPr>
        <w:t>בפניה ובידיה והכה אותה בפניה באגרופיו</w:t>
      </w:r>
      <w:r>
        <w:rPr>
          <w:rtl w:val="true"/>
        </w:rPr>
        <w:t xml:space="preserve">. </w:t>
      </w:r>
      <w:r>
        <w:rPr>
          <w:rtl w:val="true"/>
        </w:rPr>
        <w:t>המערער דקר גם את ש</w:t>
      </w:r>
      <w:r>
        <w:rPr>
          <w:rtl w:val="true"/>
        </w:rPr>
        <w:t>"</w:t>
      </w:r>
      <w:r>
        <w:rPr>
          <w:rtl w:val="true"/>
        </w:rPr>
        <w:t>ס בצווארה באמצעות המזלג בעת שביקשה לסוכך על המתלוננת</w:t>
      </w:r>
      <w:r>
        <w:rPr>
          <w:rtl w:val="true"/>
        </w:rPr>
        <w:t xml:space="preserve">. </w:t>
      </w:r>
      <w:r>
        <w:rPr>
          <w:rtl w:val="true"/>
        </w:rPr>
        <w:t>לאחר שהתעקם המזלג</w:t>
      </w:r>
      <w:r>
        <w:rPr>
          <w:rtl w:val="true"/>
        </w:rPr>
        <w:t xml:space="preserve">, </w:t>
      </w:r>
      <w:r>
        <w:rPr>
          <w:rtl w:val="true"/>
        </w:rPr>
        <w:t>נטל המערער סכין מהמטבח ודקר את המתלוננת בעורפה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בפסק דינו זיכה בית המשפט קמא את המערער מעבירת הניסיון לרצח שיוחסה לו בכתב האישום כלפי המתלוננת</w:t>
      </w:r>
      <w:r>
        <w:rPr>
          <w:rtl w:val="true"/>
        </w:rPr>
        <w:t xml:space="preserve">. </w:t>
      </w:r>
      <w:r>
        <w:rPr>
          <w:rtl w:val="true"/>
        </w:rPr>
        <w:t>נקבע שהמדינה לא הרימה את הנטל להוכיח מעבר לכל ספק סביר כי גמלה בלב המערער כוונה להמית</w:t>
      </w:r>
      <w:r>
        <w:rPr>
          <w:rtl w:val="true"/>
        </w:rPr>
        <w:t xml:space="preserve">. </w:t>
      </w:r>
      <w:r>
        <w:rPr>
          <w:rtl w:val="true"/>
        </w:rPr>
        <w:t>חלף זאת</w:t>
      </w:r>
      <w:r>
        <w:rPr>
          <w:rtl w:val="true"/>
        </w:rPr>
        <w:t xml:space="preserve">, </w:t>
      </w:r>
      <w:r>
        <w:rPr>
          <w:rtl w:val="true"/>
        </w:rPr>
        <w:t>הרשיע בית המשפט קמא את המערער בעבירה של חבלה בכוונה מחמירה</w:t>
      </w:r>
      <w:r>
        <w:rPr>
          <w:rtl w:val="true"/>
        </w:rPr>
        <w:t xml:space="preserve">. </w:t>
      </w:r>
      <w:r>
        <w:rPr>
          <w:rtl w:val="true"/>
        </w:rPr>
        <w:t>המערער זוכה גם מעבירה של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>בהתייחס לפגיעה נוספת בחמותו</w:t>
      </w:r>
      <w:r>
        <w:rPr>
          <w:rtl w:val="true"/>
        </w:rPr>
        <w:t xml:space="preserve">, </w:t>
      </w:r>
      <w:r>
        <w:rPr>
          <w:rtl w:val="true"/>
        </w:rPr>
        <w:t>בגין חזרתה של המשיבה מבקשתה להרשיעו בעבירה זו ולאור הראיות שהוצגו במהלך המשפט מהן עלה כי מדובר בפציעה ישנה שנגרמה למתלוננת אשר אין לה קשר לאירוע נושא האישום</w:t>
      </w:r>
      <w:r>
        <w:rPr>
          <w:rtl w:val="true"/>
        </w:rPr>
        <w:t xml:space="preserve">. </w:t>
      </w:r>
      <w:r>
        <w:rPr>
          <w:rtl w:val="true"/>
        </w:rPr>
        <w:t>עוד הורשע המערער בעבירה של פציעה בנסיבות מחמירות בגין דקירתה של ש</w:t>
      </w:r>
      <w:r>
        <w:rPr>
          <w:rtl w:val="true"/>
        </w:rPr>
        <w:t>"</w:t>
      </w:r>
      <w:r>
        <w:rPr>
          <w:rtl w:val="true"/>
        </w:rPr>
        <w:t>ס באמצעות המזלג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27.3.2018</w:t>
      </w:r>
      <w:r>
        <w:rPr>
          <w:rtl w:val="true"/>
        </w:rPr>
        <w:t xml:space="preserve"> </w:t>
      </w:r>
      <w:r>
        <w:rPr>
          <w:rtl w:val="true"/>
        </w:rPr>
        <w:t>גזר בית המשפט קמא את דינו של המערער</w:t>
      </w:r>
      <w:r>
        <w:rPr>
          <w:rtl w:val="true"/>
        </w:rPr>
        <w:t xml:space="preserve">. </w:t>
      </w:r>
      <w:r>
        <w:rPr>
          <w:rtl w:val="true"/>
        </w:rPr>
        <w:t>בית המשפט ציין כי יש לקבוע מתחם עונש לכל עבירה בנפרד</w:t>
      </w:r>
      <w:r>
        <w:rPr>
          <w:rtl w:val="true"/>
        </w:rPr>
        <w:t xml:space="preserve">, </w:t>
      </w:r>
      <w:r>
        <w:rPr>
          <w:rtl w:val="true"/>
        </w:rPr>
        <w:t>היות והמערער הורשע בעבירות שונות כלפי מתלוננות שונות</w:t>
      </w:r>
      <w:r>
        <w:rPr>
          <w:rtl w:val="true"/>
        </w:rPr>
        <w:t xml:space="preserve">, </w:t>
      </w:r>
      <w:r>
        <w:rPr>
          <w:rtl w:val="true"/>
        </w:rPr>
        <w:t xml:space="preserve">אך ראה לנכון לגזור עונש אחד כולל בהתאם </w:t>
      </w:r>
      <w:hyperlink r:id="rId13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באשר לדקירת המתלוננת</w:t>
      </w:r>
      <w:r>
        <w:rPr>
          <w:rtl w:val="true"/>
        </w:rPr>
        <w:t xml:space="preserve">, </w:t>
      </w:r>
      <w:r>
        <w:rPr>
          <w:rtl w:val="true"/>
        </w:rPr>
        <w:t>בית המשפט עמד על הערכים המוגנים שנפגעו כתוצאה מהעבירה</w:t>
      </w:r>
      <w:r>
        <w:rPr>
          <w:rtl w:val="true"/>
        </w:rPr>
        <w:t xml:space="preserve">, </w:t>
      </w:r>
      <w:r>
        <w:rPr>
          <w:rtl w:val="true"/>
        </w:rPr>
        <w:t>בראש ובראשונה ערך שמירת החיים ושלמות הגוף וכן ההגנה על שלום הציבור ובטחונו</w:t>
      </w:r>
      <w:r>
        <w:rPr>
          <w:rtl w:val="true"/>
        </w:rPr>
        <w:t xml:space="preserve">. </w:t>
      </w:r>
      <w:r>
        <w:rPr>
          <w:rtl w:val="true"/>
        </w:rPr>
        <w:t>עוד הדגיש בית המשפט את המאבק החיוני באלימות ובפרט אלימות תוך שימוש בנשק קר</w:t>
      </w:r>
      <w:r>
        <w:rPr>
          <w:rtl w:val="true"/>
        </w:rPr>
        <w:t xml:space="preserve">. </w:t>
      </w:r>
      <w:r>
        <w:rPr>
          <w:rtl w:val="true"/>
        </w:rPr>
        <w:t>בית המשפט ציין כי מדיניות הענישה בנסיבות כאלה היא מחמירה אך הוסיף שניתן למצוא קשת רחבה של עונשים בהתאם לנסיבות המעשה ולאופיו של המבצע</w:t>
      </w:r>
      <w:r>
        <w:rPr>
          <w:rtl w:val="true"/>
        </w:rPr>
        <w:t xml:space="preserve">. </w:t>
      </w:r>
      <w:r>
        <w:rPr>
          <w:rtl w:val="true"/>
        </w:rPr>
        <w:t>באשר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נקבע כי יש להתחשב בהיעדרו של תכנון מוקדם כנסיבה לקולה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הודגש הנזק החמור שהיה צפוי מדקירת המתלוננת בידיה</w:t>
      </w:r>
      <w:r>
        <w:rPr>
          <w:rtl w:val="true"/>
        </w:rPr>
        <w:t xml:space="preserve">, </w:t>
      </w:r>
      <w:r>
        <w:rPr>
          <w:rtl w:val="true"/>
        </w:rPr>
        <w:t xml:space="preserve">בפניה ובעורפה </w:t>
      </w:r>
      <w:r>
        <w:rPr>
          <w:rtl w:val="true"/>
        </w:rPr>
        <w:t>(</w:t>
      </w:r>
      <w:r>
        <w:rPr>
          <w:rtl w:val="true"/>
        </w:rPr>
        <w:t>אף שבענייננ</w:t>
      </w:r>
      <w:r>
        <w:rPr>
          <w:rtl w:val="true"/>
        </w:rPr>
        <w:t>ו</w:t>
      </w:r>
      <w:r>
        <w:rPr>
          <w:rtl w:val="true"/>
        </w:rPr>
        <w:t xml:space="preserve"> הנזק הפיזי שנגרם לה היה קטן יחסית</w:t>
      </w:r>
      <w:r>
        <w:rPr>
          <w:rtl w:val="true"/>
        </w:rPr>
        <w:t xml:space="preserve">) </w:t>
      </w:r>
      <w:r>
        <w:rPr>
          <w:rtl w:val="true"/>
        </w:rPr>
        <w:t>וכן הודגשו הנזקים הנפשיים אשר נגרמו למתלוננת כעולה מתסקיר נפגעות העבירה שהוגש</w:t>
      </w:r>
      <w:r>
        <w:rPr>
          <w:rtl w:val="true"/>
        </w:rPr>
        <w:t xml:space="preserve">. </w:t>
      </w:r>
      <w:r>
        <w:rPr>
          <w:rtl w:val="true"/>
        </w:rPr>
        <w:t>בית המשפט עמד על כך שאין כל הצדקה למעשים שביצע המערער אך קבע כי הרקע להתפתחות העימות בין המערער לחמותו מקורו בסירובה להחזיר לו את מסמכיו</w:t>
      </w:r>
      <w:r>
        <w:rPr>
          <w:rtl w:val="true"/>
        </w:rPr>
        <w:t xml:space="preserve">. </w:t>
      </w:r>
      <w:r>
        <w:rPr>
          <w:rtl w:val="true"/>
        </w:rPr>
        <w:t>בהקשר זה ציין בית המשפט קמא את התרשמותו לפיה למערער קשיים בוויסות דחפים ותוקפנות במצבים עמוסים רגשית ובהינתן מכלול השיקולים שצוינו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קמא כי מתחם העונש ההולם עבור העבירה כלפי המתלוננת עומד על טווח שבין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הספונטאניות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שהפציעות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שטחיות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.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40301-09-13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המותנה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מחציתו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מעלה טענות הן כנגד מתחם העונש ההולם שנקבע בעניינו והן כנגד קביעת העונש במסגרתו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סבור המערער כי שגה בית המשפט קמא משקבע מתחם ענישה נפרד לכל אחת מהעבירות הואיל ומדובר באירוע אחד שהתרחש במקום אחד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לעניין מתחם העונש סבור המערער כי היה על בית המשפט להתחשב בכך שקדמה לעבירה התגרות מצד המתלוננת</w:t>
      </w:r>
      <w:r>
        <w:rPr>
          <w:rtl w:val="true"/>
        </w:rPr>
        <w:t xml:space="preserve">, </w:t>
      </w:r>
      <w:r>
        <w:rPr>
          <w:rtl w:val="true"/>
        </w:rPr>
        <w:t>בכך שהמעשה לא היה מתוכנן ובכך שנגרמו למתלוננת ולש</w:t>
      </w:r>
      <w:r>
        <w:rPr>
          <w:rtl w:val="true"/>
        </w:rPr>
        <w:t>"</w:t>
      </w:r>
      <w:r>
        <w:rPr>
          <w:rtl w:val="true"/>
        </w:rPr>
        <w:t>ס פציעות מינוריות בלבד</w:t>
      </w:r>
      <w:r>
        <w:rPr>
          <w:rtl w:val="true"/>
        </w:rPr>
        <w:t xml:space="preserve">. </w:t>
      </w:r>
      <w:r>
        <w:rPr>
          <w:rtl w:val="true"/>
        </w:rPr>
        <w:t>באשר לעונש שנקבע בתוך המתחם</w:t>
      </w:r>
      <w:r>
        <w:rPr>
          <w:rtl w:val="true"/>
        </w:rPr>
        <w:t xml:space="preserve">, </w:t>
      </w:r>
      <w:r>
        <w:rPr>
          <w:rtl w:val="true"/>
        </w:rPr>
        <w:t>טוען המערער כי יש להתחשב בנסיבות חייו הקשות</w:t>
      </w:r>
      <w:r>
        <w:rPr>
          <w:rtl w:val="true"/>
        </w:rPr>
        <w:t xml:space="preserve">, </w:t>
      </w:r>
      <w:r>
        <w:rPr>
          <w:rtl w:val="true"/>
        </w:rPr>
        <w:t xml:space="preserve">בעובדה כי המתלוננת ניסתה </w:t>
      </w:r>
      <w:r>
        <w:rPr>
          <w:rtl w:val="true"/>
        </w:rPr>
        <w:t>"</w:t>
      </w:r>
      <w:r>
        <w:rPr>
          <w:rtl w:val="true"/>
        </w:rPr>
        <w:t>להלביש</w:t>
      </w:r>
      <w:r>
        <w:rPr>
          <w:rtl w:val="true"/>
        </w:rPr>
        <w:t xml:space="preserve">" </w:t>
      </w:r>
      <w:r>
        <w:rPr>
          <w:rtl w:val="true"/>
        </w:rPr>
        <w:t xml:space="preserve">עליו פציעה קודמת שנגרמה לה </w:t>
      </w:r>
      <w:r>
        <w:rPr>
          <w:rtl w:val="true"/>
        </w:rPr>
        <w:t>(</w:t>
      </w:r>
      <w:r>
        <w:rPr>
          <w:rtl w:val="true"/>
        </w:rPr>
        <w:t>ואשר מגרימתה כאמור לעיל</w:t>
      </w:r>
      <w:r>
        <w:rPr>
          <w:rtl w:val="true"/>
        </w:rPr>
        <w:t xml:space="preserve">, </w:t>
      </w:r>
      <w:r>
        <w:rPr>
          <w:rtl w:val="true"/>
        </w:rPr>
        <w:t>הוא זוכה בהסכמת המשיבה</w:t>
      </w:r>
      <w:r>
        <w:rPr>
          <w:rtl w:val="true"/>
        </w:rPr>
        <w:t xml:space="preserve">), </w:t>
      </w:r>
      <w:r>
        <w:rPr>
          <w:rtl w:val="true"/>
        </w:rPr>
        <w:t>ובכך שניהול ההליך היה מוצדק והוביל לזיכויו החלקי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 המערער כי מן הראוי שעונש המאסר המותנה שהופעל בעניינו יחפוף במלואו למאסר שהוטל עליו בתיק דנן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המדינה מצידה סומכת ידיה על גזר דינו של בית המשפט המחוזי וטוענת כי אין להתערב בו שכן העונש ראוי בנסיבות העניין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מציינת המדינה את הרשעתו הקודמת של המערער ואת הטיפול שעבר שלא הרתיע אותו מלשוב ולבצע עבירות דומות</w:t>
      </w:r>
      <w:r>
        <w:rPr>
          <w:rtl w:val="true"/>
        </w:rPr>
        <w:t xml:space="preserve">. </w:t>
      </w:r>
      <w:r>
        <w:rPr>
          <w:rtl w:val="true"/>
        </w:rPr>
        <w:t>לקראת הדיון בערעור הוגש לעיון בית המשפט תסקיר משלים מטעם שירות המבחן למבוגרים</w:t>
      </w:r>
      <w:r>
        <w:rPr>
          <w:rtl w:val="true"/>
        </w:rPr>
        <w:t xml:space="preserve">, </w:t>
      </w:r>
      <w:r>
        <w:rPr>
          <w:rtl w:val="true"/>
        </w:rPr>
        <w:t>אשר ממנו עולה בין היתר כי המערער מתנגד להמשך טיפול למניעת אלימות במשפחה</w:t>
      </w:r>
      <w:r>
        <w:rPr>
          <w:rtl w:val="true"/>
        </w:rPr>
        <w:t xml:space="preserve">, </w:t>
      </w:r>
      <w:r>
        <w:rPr>
          <w:rtl w:val="true"/>
        </w:rPr>
        <w:t>מטיל את האשמה לקרות האירוע על המתלוננת ועל ש</w:t>
      </w:r>
      <w:r>
        <w:rPr>
          <w:rtl w:val="true"/>
        </w:rPr>
        <w:t>"</w:t>
      </w:r>
      <w:r>
        <w:rPr>
          <w:rtl w:val="true"/>
        </w:rPr>
        <w:t>ס וטרם שילם את הפיצויים שנפסקו לטובתן על ידי בית המשפט קמא</w:t>
      </w:r>
      <w:r>
        <w:rPr>
          <w:rtl w:val="true"/>
        </w:rPr>
        <w:t xml:space="preserve">. </w:t>
      </w:r>
      <w:r>
        <w:rPr>
          <w:rtl w:val="true"/>
        </w:rPr>
        <w:t>המדינה סבורה כי התמונה העולה מהתסקיר מצדיקה אף היא את דחיית הערעור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שבחנתי את טענות הצדדים בכתב ובעל</w:t>
      </w:r>
      <w:r>
        <w:rPr>
          <w:rtl w:val="true"/>
        </w:rPr>
        <w:t>-</w:t>
      </w:r>
      <w:r>
        <w:rPr>
          <w:rtl w:val="true"/>
        </w:rPr>
        <w:t>פה הגעתי למסקנה כי דין הערעור להידחות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ככלל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אין ערכאת הערעור מתערבת בעונש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שנקבע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על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-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ידי הערכאה הדיונית אלא במקרים חריגים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בהם נפלה טעות מהותית בגזר הדין או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כאשר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העונש שנגזר על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המערער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חורג במידה משמעותית מרמת הענישה הנוהגת או הראויה במקרים דומים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hyperlink r:id="rId15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258/17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סלאח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פסקה </w:t>
      </w:r>
      <w:r>
        <w:rPr>
          <w:rFonts w:cs="Century" w:ascii="Century" w:hAnsi="Century"/>
          <w:sz w:val="22"/>
          <w:shd w:fill="FFFFFF" w:val="clear"/>
        </w:rPr>
        <w:t>14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 (</w:t>
      </w:r>
      <w:r>
        <w:rPr>
          <w:rFonts w:cs="Century" w:ascii="Century" w:hAnsi="Century"/>
          <w:sz w:val="22"/>
          <w:shd w:fill="FFFFFF" w:val="clear"/>
        </w:rPr>
        <w:t>10.8.2017</w:t>
      </w:r>
      <w:r>
        <w:rPr>
          <w:rFonts w:cs="Century" w:ascii="Century" w:hAnsi="Century"/>
          <w:sz w:val="22"/>
          <w:shd w:fill="FFFFFF" w:val="clear"/>
          <w:rtl w:val="true"/>
        </w:rPr>
        <w:t>)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המקרה דנן אינו נמנה עם אותם מקרים חריגים המצדיקים התערבות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משפט זה עמד לא אחת על הצורך להדביר את תופעת הסכינאות בחברה הישראלית ולנקוט בענישה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וזאת גם לשם הרתעת הרבים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1552/08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21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29.10.2008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6910/09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9.5.2010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נטל מזלג צלייה ממטבח המתלוננת </w:t>
      </w:r>
      <w:r>
        <w:rPr>
          <w:rtl w:val="true"/>
        </w:rPr>
        <w:t>–</w:t>
      </w:r>
      <w:r>
        <w:rPr>
          <w:rtl w:val="true"/>
        </w:rPr>
        <w:t xml:space="preserve"> חמותו </w:t>
      </w:r>
      <w:r>
        <w:rPr>
          <w:rtl w:val="true"/>
        </w:rPr>
        <w:t>–</w:t>
      </w:r>
      <w:r>
        <w:rPr>
          <w:rtl w:val="true"/>
        </w:rPr>
        <w:t xml:space="preserve"> הכה אותה ודקר אותה ומשהתעקם מזלג הצלייה נטל סכין והמשיך במסע הדקירות</w:t>
      </w:r>
      <w:r>
        <w:rPr>
          <w:rtl w:val="true"/>
        </w:rPr>
        <w:t xml:space="preserve">. </w:t>
      </w:r>
      <w:r>
        <w:rPr>
          <w:rtl w:val="true"/>
        </w:rPr>
        <w:t>תוך כדי אותו האירוע דקר המערער גם את 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חשוב לציין כי המערער הורשע שנים מועטות קודם לכן בחבלה חמורה בנסיבות מחמירות בגין מסכת אירועים דומה</w:t>
      </w:r>
      <w:r>
        <w:rPr>
          <w:rtl w:val="true"/>
        </w:rPr>
        <w:t xml:space="preserve">, </w:t>
      </w:r>
      <w:r>
        <w:rPr>
          <w:rtl w:val="true"/>
        </w:rPr>
        <w:t>בה נטל סכין מטבח ודקר את אחיו</w:t>
      </w:r>
      <w:r>
        <w:rPr>
          <w:rtl w:val="true"/>
        </w:rPr>
        <w:t xml:space="preserve">. </w:t>
      </w:r>
      <w:r>
        <w:rPr>
          <w:rtl w:val="true"/>
        </w:rPr>
        <w:t xml:space="preserve">טענת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המערער כי שגה בית המשפט בכך שקבע שני מתחמי ענישה נפרדים בגין העבירות שבהן הורשע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בשל הפגיעה בשתי מתלוננות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אף אם אינה נטולת טעם היא לבדה אין בה כדי להועיל למערער בהינתן העובדה שהעונש הכולל שהוטל עליו אינו מקים עילה להתערבות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hyperlink r:id="rId18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6820/16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פסקה </w:t>
      </w:r>
      <w:r>
        <w:rPr>
          <w:rFonts w:cs="Century" w:ascii="Century" w:hAnsi="Century"/>
          <w:sz w:val="22"/>
          <w:shd w:fill="FFFFFF" w:val="clear"/>
        </w:rPr>
        <w:t>18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 (</w:t>
      </w:r>
      <w:r>
        <w:rPr>
          <w:rFonts w:cs="Century" w:ascii="Century" w:hAnsi="Century"/>
          <w:sz w:val="22"/>
          <w:shd w:fill="FFFFFF" w:val="clear"/>
        </w:rPr>
        <w:t>5.2.2018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); </w:t>
      </w:r>
      <w:hyperlink r:id="rId1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shd w:fill="FFFFFF" w:val="clear"/>
          </w:rPr>
          <w:t>4701/16</w:t>
        </w:r>
      </w:hyperlink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סבלאן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פסקה </w:t>
      </w:r>
      <w:r>
        <w:rPr>
          <w:rFonts w:cs="Century" w:ascii="Century" w:hAnsi="Century"/>
          <w:sz w:val="22"/>
          <w:shd w:fill="FFFFFF" w:val="clear"/>
        </w:rPr>
        <w:t>6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 (</w:t>
      </w:r>
      <w:r>
        <w:rPr>
          <w:rFonts w:cs="Century" w:ascii="Century" w:hAnsi="Century"/>
          <w:sz w:val="22"/>
          <w:shd w:fill="FFFFFF" w:val="clear"/>
        </w:rPr>
        <w:t>25.10.2017</w:t>
      </w:r>
      <w:r>
        <w:rPr>
          <w:rFonts w:cs="Century" w:ascii="Century" w:hAnsi="Century"/>
          <w:sz w:val="22"/>
          <w:shd w:fill="FFFFFF" w:val="clear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 xml:space="preserve">טענתו הנוספת של המערער לפיה שגה בית המשפט קמא בשקילת הנסיבות הרלוונטיות לקביעת מתחם העונש ולקביעת העונש בתוך המתחם </w:t>
      </w:r>
      <w:r>
        <w:rPr>
          <w:rtl w:val="true"/>
        </w:rPr>
        <w:t>–</w:t>
      </w:r>
      <w:r>
        <w:rPr>
          <w:rtl w:val="true"/>
        </w:rPr>
        <w:t xml:space="preserve"> אף היא דינה להידחות</w:t>
      </w:r>
      <w:r>
        <w:rPr>
          <w:rtl w:val="true"/>
        </w:rPr>
        <w:t xml:space="preserve">. </w:t>
      </w:r>
      <w:r>
        <w:rPr>
          <w:rtl w:val="true"/>
        </w:rPr>
        <w:t>עיון בגזר דינו המפורט והמנומק של בית המשפט המחוזי מלמד כי הוא התייחס למכלול הנסיבות לקולה ולחומרה ונתן להן משקל ראוי</w:t>
      </w:r>
      <w:r>
        <w:rPr>
          <w:rtl w:val="true"/>
        </w:rPr>
        <w:t xml:space="preserve">, </w:t>
      </w:r>
      <w:r>
        <w:rPr>
          <w:rtl w:val="true"/>
        </w:rPr>
        <w:t>לרבות הטענה כי יש להקל בעונש היות שהמתלוננת ניסתה לייחס למערער פציעות קודמות וכן הטענה שניהול ההליך הפלילי בעניינו היה מוצדק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סיכומו של דבר </w:t>
      </w:r>
      <w:r>
        <w:rPr>
          <w:rtl w:val="true"/>
        </w:rPr>
        <w:t>–</w:t>
      </w:r>
      <w:r>
        <w:rPr>
          <w:rtl w:val="true"/>
        </w:rPr>
        <w:t xml:space="preserve"> עונשו של המערער</w:t>
      </w:r>
      <w:r>
        <w:rPr>
          <w:rtl w:val="true"/>
        </w:rPr>
        <w:t xml:space="preserve">, </w:t>
      </w:r>
      <w:r>
        <w:rPr>
          <w:rtl w:val="true"/>
        </w:rPr>
        <w:t>הגם שאינו מן הקלים</w:t>
      </w:r>
      <w:r>
        <w:rPr>
          <w:rtl w:val="true"/>
        </w:rPr>
        <w:t xml:space="preserve">, </w:t>
      </w:r>
      <w:r>
        <w:rPr>
          <w:rtl w:val="true"/>
        </w:rPr>
        <w:t>הולם את חומרת המעשים ואת נסיבות ביצועם וכן את יתר הנסיבות אשר נדרש היה להביאן בחשבון</w:t>
      </w:r>
      <w:r>
        <w:rPr>
          <w:rtl w:val="true"/>
        </w:rPr>
        <w:t xml:space="preserve">, </w:t>
      </w:r>
      <w:r>
        <w:rPr>
          <w:rtl w:val="true"/>
        </w:rPr>
        <w:t>ולא מצאנו עילה להתערב בו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9.1.2019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18036190</w:t>
      </w:r>
      <w:r>
        <w:rPr>
          <w:sz w:val="16"/>
          <w:rtl w:val="true"/>
        </w:rPr>
        <w:t>_</w:t>
      </w:r>
      <w:r>
        <w:rPr>
          <w:sz w:val="16"/>
        </w:rPr>
        <w:t>V01.docx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ברון </w:t>
      </w:r>
      <w:r>
        <w:rPr>
          <w:rFonts w:cs="David;Times New Roman" w:ascii="David;Times New Roman" w:hAnsi="David;Times New Roman"/>
          <w:color w:val="000000"/>
          <w:szCs w:val="22"/>
        </w:rPr>
        <w:t>54678313-3619/18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Tahoma">
    <w:altName w:val="Arial Narrow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8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3619/18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בנימין סביץ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ascii="Garamond" w:hAnsi="Garamond" w:cs="FrankRuehl;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Garamond" w:hAnsi="Garamond" w:cs="FrankRuehl;Times New Roman"/>
      <w:sz w:val="28"/>
      <w:szCs w:val="28"/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Arial Narrow" w:hAnsi="Tahoma;Arial Narrow" w:cs="Tahoma;Arial Narrow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;Times New Roman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Arial Narrow" w:hAnsi="Tahoma;Arial Narrow" w:cs="Tahoma;Arial Narrow"/>
      <w:sz w:val="18"/>
      <w:szCs w:val="18"/>
    </w:rPr>
  </w:style>
  <w:style w:type="paragraph" w:styleId="Ruller43">
    <w:name w:val="Ruller 4 ממוספר"/>
    <w:basedOn w:val="Ruller42"/>
    <w:next w:val="Ruller42"/>
    <w:qFormat/>
    <w:pPr/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29" TargetMode="External"/><Relationship Id="rId4" Type="http://schemas.openxmlformats.org/officeDocument/2006/relationships/hyperlink" Target="http://www.nevo.co.il/law/70301/334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35.b.1" TargetMode="External"/><Relationship Id="rId7" Type="http://schemas.openxmlformats.org/officeDocument/2006/relationships/hyperlink" Target="http://www.nevo.co.il/law/70301/40jc.b" TargetMode="External"/><Relationship Id="rId8" Type="http://schemas.openxmlformats.org/officeDocument/2006/relationships/hyperlink" Target="http://www.nevo.co.il/law/70301/3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34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335.b.1" TargetMode="External"/><Relationship Id="rId13" Type="http://schemas.openxmlformats.org/officeDocument/2006/relationships/hyperlink" Target="http://www.nevo.co.il/law/70301/40jc.b" TargetMode="External"/><Relationship Id="rId14" Type="http://schemas.openxmlformats.org/officeDocument/2006/relationships/hyperlink" Target="http://www.nevo.co.il/case/10454161" TargetMode="External"/><Relationship Id="rId15" Type="http://schemas.openxmlformats.org/officeDocument/2006/relationships/hyperlink" Target="http://www.nevo.co.il/case/22303605" TargetMode="External"/><Relationship Id="rId16" Type="http://schemas.openxmlformats.org/officeDocument/2006/relationships/hyperlink" Target="http://www.nevo.co.il/case/5743421" TargetMode="External"/><Relationship Id="rId17" Type="http://schemas.openxmlformats.org/officeDocument/2006/relationships/hyperlink" Target="http://www.nevo.co.il/case/6089637" TargetMode="External"/><Relationship Id="rId18" Type="http://schemas.openxmlformats.org/officeDocument/2006/relationships/hyperlink" Target="http://www.nevo.co.il/case/21478844" TargetMode="External"/><Relationship Id="rId19" Type="http://schemas.openxmlformats.org/officeDocument/2006/relationships/hyperlink" Target="http://www.nevo.co.il/case/21475354" TargetMode="External"/><Relationship Id="rId20" Type="http://schemas.openxmlformats.org/officeDocument/2006/relationships/hyperlink" Target="http://supreme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2019-01-10T09:36:00Z</dcterms:created>
  <dc:creator>h3</dc:creator>
  <dc:description/>
  <cp:keywords/>
  <dc:language>en-IL</dc:language>
  <cp:lastModifiedBy>orly</cp:lastModifiedBy>
  <cp:lastPrinted>2019-01-09T09:03:00Z</cp:lastPrinted>
  <dcterms:modified xsi:type="dcterms:W3CDTF">2019-01-10T09:36:00Z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בנימין סביץ'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22287742:2;10454161;22303605;5743421;6089637;21478844;21475354</vt:lpwstr>
  </property>
  <property fmtid="{D5CDD505-2E9C-101B-9397-08002B2CF9AE}" pid="9" name="CITY">
    <vt:lpwstr/>
  </property>
  <property fmtid="{D5CDD505-2E9C-101B-9397-08002B2CF9AE}" pid="10" name="DATE">
    <vt:lpwstr>20190109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ברון;י' וילנר;א' חיות</vt:lpwstr>
  </property>
  <property fmtid="{D5CDD505-2E9C-101B-9397-08002B2CF9AE}" pid="14" name="LAWLISTTMP1">
    <vt:lpwstr>70301/329;334;335.a.1;335.b.1;40jc.b</vt:lpwstr>
  </property>
  <property fmtid="{D5CDD505-2E9C-101B-9397-08002B2CF9AE}" pid="15" name="LAWYER">
    <vt:lpwstr>שרית חתוקה;ברכה וייס;מוטי לוי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8984;8982</vt:lpwstr>
  </property>
  <property fmtid="{D5CDD505-2E9C-101B-9397-08002B2CF9AE}" pid="59" name="PADIDATE">
    <vt:lpwstr>20190110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3619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410120190109</vt:lpwstr>
  </property>
  <property fmtid="{D5CDD505-2E9C-101B-9397-08002B2CF9AE}" pid="69" name="TYPE_N_DATE">
    <vt:lpwstr>41020190109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