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3698/20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מחאמיד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23.4.2020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68021-11-19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ארז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פורת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33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513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    </w:t>
            </w:r>
            <w:r>
              <w:rPr>
                <w:rtl w:val="true"/>
              </w:rPr>
              <w:t>(</w:t>
            </w:r>
            <w:r>
              <w:rPr/>
              <w:t>19.10.2020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אסיל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מוצארוה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מקאלדה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סיגל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בלום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402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]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10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bookmarkStart w:id="8" w:name="ABSTRACT_START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textAlignment w:val="auto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מנעד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מגוונים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ונסיבותיהם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בחפץ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דמוי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אקדח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האוחזת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שכלפיו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ביכולתו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אמיתי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המשפיעים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שוד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רישיון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תקף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מנעד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מגוונים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ונסיבותיהם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בחפץ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דמוי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אקדח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האוחזת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שכלפיו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ביכולתו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אמיתי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שהציג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לבסס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בחפץ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דמוי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אקדח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textAlignment w:val="auto"/>
        <w:rPr/>
      </w:pP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ונהיגה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רישיון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בהיותן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9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40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יא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ג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הטענה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textAlignment w:val="auto"/>
        <w:rPr/>
      </w:pP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ראשית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לחרוג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מבוססת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10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40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ד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והחרטה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התעבורתי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המחייב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יוזכר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המשפיעים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כשבענייננו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מלמדות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מחשבה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ותכנון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מוקדם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הצטיידות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בקסדה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ובחפץ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דמוי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אקדח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כלכלית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לבטח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כנסיבה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פורת</w:t>
      </w:r>
      <w:r>
        <w:rPr>
          <w:rtl w:val="true"/>
        </w:rPr>
        <w:t xml:space="preserve">) </w:t>
      </w:r>
      <w:r>
        <w:rPr>
          <w:rtl w:val="true"/>
        </w:rPr>
        <w:t>בע</w:t>
      </w:r>
      <w:r>
        <w:rPr>
          <w:rtl w:val="true"/>
        </w:rPr>
        <w:t>"</w:t>
      </w:r>
      <w:hyperlink r:id="rId11"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68021-11-19</w:t>
        </w:r>
      </w:hyperlink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23.4.2020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ופיצוי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הורשע על פי הודאתו בכתב אישום מתוקן במסגרת הסדר טיעון</w:t>
      </w:r>
      <w:r>
        <w:rPr>
          <w:rtl w:val="true"/>
        </w:rPr>
        <w:t xml:space="preserve">, </w:t>
      </w:r>
      <w:r>
        <w:rPr>
          <w:rtl w:val="true"/>
        </w:rPr>
        <w:t>בעבירה של שוד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 </w:t>
      </w:r>
      <w:r>
        <w:rPr>
          <w:rtl w:val="true"/>
        </w:rPr>
        <w:t xml:space="preserve">ובעבירה של נהיגה ללא רישיון נהיגה תקף לפי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פי 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שרישיון הנהיגה שלו פקע</w:t>
      </w:r>
      <w:r>
        <w:rPr>
          <w:rtl w:val="true"/>
        </w:rPr>
        <w:t xml:space="preserve">, </w:t>
      </w:r>
      <w:r>
        <w:rPr>
          <w:rtl w:val="true"/>
        </w:rPr>
        <w:t>נהג ברכב</w:t>
      </w:r>
      <w:r>
        <w:rPr>
          <w:rtl w:val="true"/>
        </w:rPr>
        <w:t xml:space="preserve">, </w:t>
      </w:r>
      <w:r>
        <w:rPr>
          <w:rtl w:val="true"/>
        </w:rPr>
        <w:t>החנה אותו בקרבת סניף של בנק הדואר ויצא ממנו כשהוא חובש קסדת אופנוע שהסתירה את פניו באופן חלקי וניגש לסניף הדואר בכוונה לבצע שוד</w:t>
      </w:r>
      <w:r>
        <w:rPr>
          <w:rtl w:val="true"/>
        </w:rPr>
        <w:t xml:space="preserve">. </w:t>
      </w:r>
      <w:r>
        <w:rPr>
          <w:rtl w:val="true"/>
        </w:rPr>
        <w:t>המערער נכנס לסניף בנק הדואר כשהקסדה על ראשו ובידו חפץ הנחזה להיות אקדח ושקית</w:t>
      </w:r>
      <w:r>
        <w:rPr>
          <w:rtl w:val="true"/>
        </w:rPr>
        <w:t xml:space="preserve">. </w:t>
      </w:r>
      <w:r>
        <w:rPr>
          <w:rtl w:val="true"/>
        </w:rPr>
        <w:t>הוא ניגש לדלפק ודרש מן הפקידות</w:t>
      </w:r>
      <w:r>
        <w:rPr>
          <w:rtl w:val="true"/>
        </w:rPr>
        <w:t xml:space="preserve">, </w:t>
      </w:r>
      <w:r>
        <w:rPr>
          <w:rtl w:val="true"/>
        </w:rPr>
        <w:t>באיומי החפץ</w:t>
      </w:r>
      <w:r>
        <w:rPr>
          <w:rtl w:val="true"/>
        </w:rPr>
        <w:t xml:space="preserve">, </w:t>
      </w:r>
      <w:r>
        <w:rPr>
          <w:rtl w:val="true"/>
        </w:rPr>
        <w:t>למסור לו את הכסף שבקופות ויניחו אותו בשקית</w:t>
      </w:r>
      <w:r>
        <w:rPr>
          <w:rtl w:val="true"/>
        </w:rPr>
        <w:t xml:space="preserve">. </w:t>
      </w:r>
      <w:r>
        <w:rPr>
          <w:rtl w:val="true"/>
        </w:rPr>
        <w:t>בפחדן מן המערער</w:t>
      </w:r>
      <w:r>
        <w:rPr>
          <w:rtl w:val="true"/>
        </w:rPr>
        <w:t xml:space="preserve">, </w:t>
      </w:r>
      <w:r>
        <w:rPr>
          <w:rtl w:val="true"/>
        </w:rPr>
        <w:t>הוציאו הפקידות את הכסף מן הקופות</w:t>
      </w:r>
      <w:r>
        <w:rPr>
          <w:rtl w:val="true"/>
        </w:rPr>
        <w:t xml:space="preserve">, </w:t>
      </w:r>
      <w:r>
        <w:rPr>
          <w:rtl w:val="true"/>
        </w:rPr>
        <w:t xml:space="preserve">בסך של </w:t>
      </w:r>
      <w:r>
        <w:rPr/>
        <w:t>11,183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הכניסו אותו לשקית ומסרו לידי המערער</w:t>
      </w:r>
      <w:r>
        <w:rPr>
          <w:rtl w:val="true"/>
        </w:rPr>
        <w:t xml:space="preserve">. </w:t>
      </w:r>
      <w:r>
        <w:rPr>
          <w:rtl w:val="true"/>
        </w:rPr>
        <w:t>המערער יצא מיד מן הדואר</w:t>
      </w:r>
      <w:r>
        <w:rPr>
          <w:rtl w:val="true"/>
        </w:rPr>
        <w:t xml:space="preserve">, </w:t>
      </w:r>
      <w:r>
        <w:rPr>
          <w:rtl w:val="true"/>
        </w:rPr>
        <w:t>כשבידו השקית ובה הכסף</w:t>
      </w:r>
      <w:r>
        <w:rPr>
          <w:rtl w:val="true"/>
        </w:rPr>
        <w:t xml:space="preserve">, </w:t>
      </w:r>
      <w:r>
        <w:rPr>
          <w:rtl w:val="true"/>
        </w:rPr>
        <w:t>נכנס לרכב ונסע מן המקום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בהסדר הטיעון הוסכם כי המערער יופנה לשירות המבחן לצורך עריכת תסקיר בעניינו</w:t>
      </w:r>
      <w:r>
        <w:rPr>
          <w:rtl w:val="true"/>
        </w:rPr>
        <w:t xml:space="preserve">, </w:t>
      </w:r>
      <w:r>
        <w:rPr>
          <w:rtl w:val="true"/>
        </w:rPr>
        <w:t>מבלי שהאמור בו יחייב את הצדדים</w:t>
      </w:r>
      <w:r>
        <w:rPr>
          <w:rtl w:val="true"/>
        </w:rPr>
        <w:t xml:space="preserve">, </w:t>
      </w:r>
      <w:r>
        <w:rPr>
          <w:rtl w:val="true"/>
        </w:rPr>
        <w:t>וכי כל צד יהא רשאי לטעון לעונש  כראות עיניו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בשל אילוצי משבר הקורונה</w:t>
      </w:r>
      <w:r>
        <w:rPr>
          <w:rtl w:val="true"/>
        </w:rPr>
        <w:t xml:space="preserve">, </w:t>
      </w:r>
      <w:r>
        <w:rPr>
          <w:rtl w:val="true"/>
        </w:rPr>
        <w:t>לא נערך תסקיר בעניינו של המערער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בדברו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פקידות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כשלדבריו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בגזר דינו עמד בית משפט המחוזי על הפגיעה בערכים המוגנים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Fonts w:ascii="Miriam" w:hAnsi="Miriam" w:cs="Miriam"/>
          <w:szCs w:val="24"/>
          <w:rtl w:val="true"/>
        </w:rPr>
        <w:t>לא היתה נמוכה</w:t>
      </w:r>
      <w:r>
        <w:rPr>
          <w:rtl w:val="true"/>
        </w:rPr>
        <w:t xml:space="preserve">", </w:t>
      </w:r>
      <w:r>
        <w:rPr>
          <w:rtl w:val="true"/>
        </w:rPr>
        <w:t>על נסיבות ביצוע העבירות ובכלל זה התכנון המקדים והעובדה כי לא נעשה שימוש בנשק ממשי ועל הצורך ב</w:t>
      </w:r>
      <w:r>
        <w:rPr>
          <w:rtl w:val="true"/>
        </w:rPr>
        <w:t>"</w:t>
      </w:r>
      <w:r>
        <w:rPr>
          <w:rFonts w:ascii="Miriam" w:hAnsi="Miriam" w:cs="Miriam"/>
          <w:szCs w:val="24"/>
          <w:rtl w:val="true"/>
        </w:rPr>
        <w:t>ענישה קפדנית</w:t>
      </w:r>
      <w:r>
        <w:rPr>
          <w:rtl w:val="true"/>
        </w:rPr>
        <w:t xml:space="preserve">" </w:t>
      </w:r>
      <w:r>
        <w:rPr>
          <w:rtl w:val="true"/>
        </w:rPr>
        <w:t>בגין מעשי שוד של נותני שירות</w:t>
      </w:r>
      <w:r>
        <w:rPr>
          <w:rtl w:val="true"/>
        </w:rPr>
        <w:t xml:space="preserve">. </w:t>
      </w:r>
      <w:r>
        <w:rPr>
          <w:rtl w:val="true"/>
        </w:rPr>
        <w:t>בית המשפט התייחס לרקע למעשה</w:t>
      </w:r>
      <w:r>
        <w:rPr>
          <w:rtl w:val="true"/>
        </w:rPr>
        <w:t xml:space="preserve">, </w:t>
      </w:r>
      <w:r>
        <w:rPr>
          <w:rtl w:val="true"/>
        </w:rPr>
        <w:t>כשלטענת המערער אולץ לשלם כספים בשל הסתבכות של אחיו בשוק האפור</w:t>
      </w:r>
      <w:r>
        <w:rPr>
          <w:rtl w:val="true"/>
        </w:rPr>
        <w:t xml:space="preserve">, </w:t>
      </w:r>
      <w:r>
        <w:rPr>
          <w:rtl w:val="true"/>
        </w:rPr>
        <w:t>וכן התייחס למדיניות הענישה הנוהגת</w:t>
      </w:r>
      <w:r>
        <w:rPr>
          <w:rtl w:val="true"/>
        </w:rPr>
        <w:t xml:space="preserve">. </w:t>
      </w:r>
      <w:r>
        <w:rPr>
          <w:rtl w:val="true"/>
        </w:rPr>
        <w:t xml:space="preserve">על רקע כל אלו העמיד בית המשפט את מתחם העונש ההולם על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 עד ארבע שנות מאסר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בקביעת העונש בתוך המתחם</w:t>
      </w:r>
      <w:r>
        <w:rPr>
          <w:rtl w:val="true"/>
        </w:rPr>
        <w:t xml:space="preserve">, </w:t>
      </w:r>
      <w:r>
        <w:rPr>
          <w:rtl w:val="true"/>
        </w:rPr>
        <w:t>עמד בית המשפט על כך שבעברו של המערער עבירות מועטות שהתיישנו ואשר אינן בתחום עבירות הרכוש</w:t>
      </w:r>
      <w:r>
        <w:rPr>
          <w:rtl w:val="true"/>
        </w:rPr>
        <w:t xml:space="preserve">, </w:t>
      </w:r>
      <w:r>
        <w:rPr>
          <w:rtl w:val="true"/>
        </w:rPr>
        <w:t>על מצבו הרפואי ועל נסיבותיו האישיות</w:t>
      </w:r>
      <w:r>
        <w:rPr>
          <w:rtl w:val="true"/>
        </w:rPr>
        <w:t xml:space="preserve">. </w:t>
      </w:r>
      <w:r>
        <w:rPr>
          <w:rtl w:val="true"/>
        </w:rPr>
        <w:t>עוד התחשב בית המשפט בהודאת המערער</w:t>
      </w:r>
      <w:r>
        <w:rPr>
          <w:rtl w:val="true"/>
        </w:rPr>
        <w:t xml:space="preserve">, </w:t>
      </w:r>
      <w:r>
        <w:rPr>
          <w:rtl w:val="true"/>
        </w:rPr>
        <w:t>שניתנה בהזדמנות הראשונה</w:t>
      </w:r>
      <w:r>
        <w:rPr>
          <w:rtl w:val="true"/>
        </w:rPr>
        <w:t xml:space="preserve">, </w:t>
      </w:r>
      <w:r>
        <w:rPr>
          <w:rtl w:val="true"/>
        </w:rPr>
        <w:t>בחרטה שהביע ובמצבו המשפחתי</w:t>
      </w:r>
      <w:r>
        <w:rPr>
          <w:rtl w:val="true"/>
        </w:rPr>
        <w:t xml:space="preserve">. </w:t>
      </w:r>
      <w:r>
        <w:rPr>
          <w:rtl w:val="true"/>
        </w:rPr>
        <w:t>על רקע זה דן בית המשפט את המערער לעונשים שפורטו לעיל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טיעוני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 מופנה כלפי חומרת העונש בגדרו עותר המערער להקלה משמעותית בעונש המאסר בפועל שהוטל עליו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מתחם העונש שנקבע חורג לחומרה במידה ניכרת ממתחם העונש הראוי</w:t>
      </w:r>
      <w:r>
        <w:rPr>
          <w:rtl w:val="true"/>
        </w:rPr>
        <w:t xml:space="preserve">, </w:t>
      </w:r>
      <w:r>
        <w:rPr>
          <w:rtl w:val="true"/>
        </w:rPr>
        <w:t>ולחילופין</w:t>
      </w:r>
      <w:r>
        <w:rPr>
          <w:rtl w:val="true"/>
        </w:rPr>
        <w:t xml:space="preserve">, </w:t>
      </w:r>
      <w:r>
        <w:rPr>
          <w:rtl w:val="true"/>
        </w:rPr>
        <w:t>היה על בית המשפט המחוזי לחרוג לקולא ממתחם הענישה שקבע ולכל הפחות</w:t>
      </w:r>
      <w:r>
        <w:rPr>
          <w:rtl w:val="true"/>
        </w:rPr>
        <w:t xml:space="preserve">, </w:t>
      </w:r>
      <w:r>
        <w:rPr>
          <w:rtl w:val="true"/>
        </w:rPr>
        <w:t>להעמיד את עונשו ברף הנמוך של המתחם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קיבלו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ובהן</w:t>
      </w:r>
      <w:r>
        <w:rPr>
          <w:rtl w:val="true"/>
        </w:rPr>
        <w:t xml:space="preserve">: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בתחכום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מילולית</w:t>
      </w:r>
      <w:r>
        <w:rPr>
          <w:rtl w:val="true"/>
        </w:rPr>
        <w:t xml:space="preserve">; </w:t>
      </w:r>
      <w:r>
        <w:rPr>
          <w:rtl w:val="true"/>
        </w:rPr>
        <w:t>המניע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: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הפעוט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שהתיישן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לחסכון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שהביע</w:t>
      </w:r>
      <w:r>
        <w:rPr>
          <w:rtl w:val="true"/>
        </w:rPr>
        <w:t xml:space="preserve">.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דופי</w:t>
      </w:r>
      <w:r>
        <w:rPr>
          <w:rtl w:val="true"/>
        </w:rPr>
        <w:t>.</w:t>
      </w:r>
    </w:p>
    <w:p>
      <w:pPr>
        <w:pStyle w:val="Normal"/>
        <w:ind w:end="0"/>
        <w:jc w:val="both"/>
        <w:textAlignment w:val="auto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התעבורתי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צפוי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רלוונטית</w:t>
      </w:r>
      <w:r>
        <w:rPr>
          <w:rtl w:val="true"/>
        </w:rPr>
        <w:t>.</w:t>
      </w:r>
    </w:p>
    <w:p>
      <w:pPr>
        <w:pStyle w:val="Normal"/>
        <w:ind w:end="0"/>
        <w:jc w:val="both"/>
        <w:textAlignment w:val="auto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Normal"/>
        <w:ind w:end="0"/>
        <w:jc w:val="both"/>
        <w:textAlignment w:val="auto"/>
        <w:rPr>
          <w:rFonts w:cs="Miriam"/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דיון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Century"/>
          <w:b/>
          <w:sz w:val="22"/>
        </w:rPr>
      </w:pPr>
      <w:r>
        <w:rPr>
          <w:rFonts w:cs="Century" w:ascii="Century" w:hAnsi="Century"/>
          <w:b/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  <w:highlight w:val="yellow"/>
        </w:rPr>
      </w:pP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שעיינתי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ושקלתי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נימוקי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  <w:highlight w:val="yellow"/>
        </w:rPr>
      </w:pPr>
      <w:r>
        <w:rPr>
          <w:rFonts w:cs="FrankRuehl" w:ascii="Century" w:hAnsi="Century"/>
          <w:spacing w:val="10"/>
          <w:sz w:val="22"/>
          <w:szCs w:val="28"/>
          <w:highlight w:val="yellow"/>
          <w:rtl w:val="true"/>
        </w:rPr>
      </w:r>
    </w:p>
    <w:p>
      <w:pPr>
        <w:pStyle w:val="Normal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כידוע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חריגים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קיצוני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1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55/20</w:t>
        </w:r>
      </w:hyperlink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Miriam" w:hAnsi="Miriam" w:cs="Miriam"/>
          <w:sz w:val="24"/>
          <w:sz w:val="24"/>
          <w:rtl w:val="true"/>
        </w:rPr>
        <w:t>רושרוש נ</w:t>
      </w:r>
      <w:r>
        <w:rPr>
          <w:rFonts w:cs="Miriam" w:ascii="Miriam" w:hAnsi="Miriam"/>
          <w:sz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rtl w:val="true"/>
        </w:rPr>
        <w:t>מדינת 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19.7.2020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רחב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ונסיבותיהם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1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2420/15</w:t>
        </w:r>
      </w:hyperlink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Miriam" w:hAnsi="Miriam" w:cs="Miriam"/>
          <w:sz w:val="24"/>
          <w:sz w:val="24"/>
          <w:rtl w:val="true"/>
        </w:rPr>
        <w:t>אבטליון נ</w:t>
      </w:r>
      <w:r>
        <w:rPr>
          <w:rFonts w:cs="Miriam" w:ascii="Miriam" w:hAnsi="Miriam"/>
          <w:sz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rtl w:val="true"/>
        </w:rPr>
        <w:t>מדינת 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29.11.2015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hyperlink r:id="rId1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4125/14</w:t>
        </w:r>
      </w:hyperlink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Miriam" w:hAnsi="Miriam" w:cs="Miriam"/>
          <w:sz w:val="24"/>
          <w:sz w:val="24"/>
          <w:rtl w:val="true"/>
        </w:rPr>
        <w:t>חרב נ</w:t>
      </w:r>
      <w:r>
        <w:rPr>
          <w:rFonts w:cs="Miriam" w:ascii="Miriam" w:hAnsi="Miriam"/>
          <w:sz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rtl w:val="true"/>
        </w:rPr>
        <w:t>מדינת 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6.1.2015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בחפץ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דמוי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לחומרה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האוחזת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ביכולתו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1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9079/16</w:t>
        </w:r>
      </w:hyperlink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Miriam" w:hAnsi="Miriam" w:cs="Miriam"/>
          <w:sz w:val="24"/>
          <w:sz w:val="24"/>
          <w:rtl w:val="true"/>
        </w:rPr>
        <w:t>מיארה נ</w:t>
      </w:r>
      <w:r>
        <w:rPr>
          <w:rFonts w:cs="Miriam" w:ascii="Miriam" w:hAnsi="Miriam"/>
          <w:sz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rtl w:val="true"/>
        </w:rPr>
        <w:t>מדינת ישראל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9.3.2017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Miriam" w:hAnsi="Miriam" w:cs="Miriam"/>
          <w:sz w:val="24"/>
          <w:sz w:val="24"/>
          <w:rtl w:val="true"/>
        </w:rPr>
        <w:t>עניין מיארה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עיינתי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בפסיקת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שהוצגה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השתכנעתי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לחומרה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בחפץ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דמוי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כשתחב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לבגדיו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2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9094/12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rtl w:val="true"/>
        </w:rPr>
        <w:t>טאספי נ</w:t>
      </w:r>
      <w:r>
        <w:rPr>
          <w:rFonts w:cs="Miriam" w:ascii="Miriam" w:hAnsi="Miriam"/>
          <w:sz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rtl w:val="true"/>
        </w:rPr>
        <w:t>מדינת ישראל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24.8.2013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הודגשו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שהשוד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פתק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שהתריע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2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3929/15</w:t>
        </w:r>
      </w:hyperlink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Miriam" w:hAnsi="Miriam" w:cs="Miriam"/>
          <w:sz w:val="24"/>
          <w:sz w:val="24"/>
          <w:rtl w:val="true"/>
        </w:rPr>
        <w:t>יצחק נ</w:t>
      </w:r>
      <w:r>
        <w:rPr>
          <w:rFonts w:cs="Miriam" w:ascii="Miriam" w:hAnsi="Miriam"/>
          <w:sz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rtl w:val="true"/>
        </w:rPr>
        <w:t>מדינת ישראל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2.11.2015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rtl w:val="true"/>
        </w:rPr>
        <w:t>יצחק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אזכור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לקיומו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2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6752/10</w:t>
        </w:r>
      </w:hyperlink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Miriam" w:hAnsi="Miriam" w:cs="Miriam"/>
          <w:sz w:val="24"/>
          <w:sz w:val="24"/>
          <w:rtl w:val="true"/>
        </w:rPr>
        <w:t>טטרואשוילי נ</w:t>
      </w:r>
      <w:r>
        <w:rPr>
          <w:rFonts w:cs="Miriam" w:ascii="Miriam" w:hAnsi="Miriam"/>
          <w:sz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rtl w:val="true"/>
        </w:rPr>
        <w:t>מדינת ישראל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3.4.2011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2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2193/12</w:t>
        </w:r>
      </w:hyperlink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Miriam" w:hAnsi="Miriam" w:cs="Miriam"/>
          <w:sz w:val="24"/>
          <w:sz w:val="24"/>
          <w:rtl w:val="true"/>
        </w:rPr>
        <w:t>ממסטבלוב נ</w:t>
      </w:r>
      <w:r>
        <w:rPr>
          <w:rFonts w:cs="Miriam" w:ascii="Miriam" w:hAnsi="Miriam"/>
          <w:sz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rtl w:val="true"/>
        </w:rPr>
        <w:t>מדינת ישראל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18.6.2012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הפנתה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צעצוע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שבמסגרתו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במשותף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textAlignment w:val="auto"/>
        <w:rPr>
          <w:rFonts w:ascii="Arial TUR;Arial" w:hAnsi="Arial TUR;Arial" w:cs="Arial TUR;Arial"/>
          <w:sz w:val="22"/>
        </w:rPr>
      </w:pP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ונהיגה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רישיון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4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40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יא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ג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ניכרת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לחרוג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מבוססת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5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40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ד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והחרטה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התעבורתי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קיצונית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הראויה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המחייב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התערבותנו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אזכיר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המשפיעים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כשבענייננו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מחשבה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ותכנון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מוקדם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הצטיידות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בקסדה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ובחפץ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דמוי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לקיומה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כלכלית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לבטח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כנסיבה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spacing w:val="10"/>
          <w:sz w:val="22"/>
          <w:szCs w:val="28"/>
        </w:rPr>
      </w:pPr>
      <w:r>
        <w:rPr>
          <w:rFonts w:cs="Century" w:ascii="Century" w:hAnsi="Century"/>
          <w:spacing w:val="10"/>
          <w:sz w:val="22"/>
          <w:szCs w:val="28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סוף 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הערעור על חומרת העונש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נדחה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bookmarkStart w:id="17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ט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בחשון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3.11.2020</w:t>
      </w:r>
      <w:r>
        <w:rPr>
          <w:rFonts w:cs="Century" w:ascii="Century" w:hAnsi="Century"/>
          <w:rtl w:val="true"/>
        </w:rPr>
        <w:t xml:space="preserve">). </w:t>
      </w:r>
      <w:bookmarkEnd w:id="17"/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20036980</w:t>
      </w:r>
      <w:r>
        <w:rPr>
          <w:sz w:val="16"/>
          <w:rtl w:val="true"/>
        </w:rPr>
        <w:t>_</w:t>
      </w:r>
      <w:r>
        <w:rPr>
          <w:sz w:val="16"/>
        </w:rPr>
        <w:t>Q02.docx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6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מ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מזוז </w:t>
      </w:r>
      <w:r>
        <w:rPr>
          <w:rFonts w:cs="David;Times New Roman" w:ascii="David;Times New Roman" w:hAnsi="David;Times New Roman"/>
          <w:color w:val="000000"/>
          <w:szCs w:val="22"/>
        </w:rPr>
        <w:t>54678313-3698/20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8"/>
      <w:footerReference w:type="default" r:id="rId2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3698/20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עלי מחאמיד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28"/>
        <w:szCs w:val="28"/>
        <w:rFonts w:ascii="FrankRuehl" w:hAnsi="FrankRuehl" w:cs="FrankRueh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FrankRuehl" w:hAnsi="FrankRuehl" w:cs="FrankRuehl"/>
      <w:sz w:val="28"/>
      <w:szCs w:val="28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22759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d.a" TargetMode="External"/><Relationship Id="rId5" Type="http://schemas.openxmlformats.org/officeDocument/2006/relationships/hyperlink" Target="http://www.nevo.co.il/law/70301/402.a" TargetMode="External"/><Relationship Id="rId6" Type="http://schemas.openxmlformats.org/officeDocument/2006/relationships/hyperlink" Target="http://www.nevo.co.il/law/70301/40ja.c" TargetMode="External"/><Relationship Id="rId7" Type="http://schemas.openxmlformats.org/officeDocument/2006/relationships/hyperlink" Target="http://www.nevo.co.il/law/5227" TargetMode="External"/><Relationship Id="rId8" Type="http://schemas.openxmlformats.org/officeDocument/2006/relationships/hyperlink" Target="http://www.nevo.co.il/law/5227/10.a" TargetMode="External"/><Relationship Id="rId9" Type="http://schemas.openxmlformats.org/officeDocument/2006/relationships/hyperlink" Target="http://www.nevo.co.il/law/70301/40ja.c" TargetMode="External"/><Relationship Id="rId10" Type="http://schemas.openxmlformats.org/officeDocument/2006/relationships/hyperlink" Target="http://www.nevo.co.il/law/70301/40d.a" TargetMode="External"/><Relationship Id="rId11" Type="http://schemas.openxmlformats.org/officeDocument/2006/relationships/hyperlink" Target="http://www.nevo.co.il/case/26227595" TargetMode="External"/><Relationship Id="rId12" Type="http://schemas.openxmlformats.org/officeDocument/2006/relationships/hyperlink" Target="http://www.nevo.co.il/law/70301/402.a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5227/10.a" TargetMode="External"/><Relationship Id="rId15" Type="http://schemas.openxmlformats.org/officeDocument/2006/relationships/hyperlink" Target="http://www.nevo.co.il/law/5227" TargetMode="External"/><Relationship Id="rId16" Type="http://schemas.openxmlformats.org/officeDocument/2006/relationships/hyperlink" Target="http://www.nevo.co.il/case/26329687" TargetMode="External"/><Relationship Id="rId17" Type="http://schemas.openxmlformats.org/officeDocument/2006/relationships/hyperlink" Target="http://www.nevo.co.il/case/20157961" TargetMode="External"/><Relationship Id="rId18" Type="http://schemas.openxmlformats.org/officeDocument/2006/relationships/hyperlink" Target="http://www.nevo.co.il/case/16987351" TargetMode="External"/><Relationship Id="rId19" Type="http://schemas.openxmlformats.org/officeDocument/2006/relationships/hyperlink" Target="http://www.nevo.co.il/case/21664419" TargetMode="External"/><Relationship Id="rId20" Type="http://schemas.openxmlformats.org/officeDocument/2006/relationships/hyperlink" Target="http://www.nevo.co.il/case/5610818" TargetMode="External"/><Relationship Id="rId21" Type="http://schemas.openxmlformats.org/officeDocument/2006/relationships/hyperlink" Target="http://www.nevo.co.il/case/20687346" TargetMode="External"/><Relationship Id="rId22" Type="http://schemas.openxmlformats.org/officeDocument/2006/relationships/hyperlink" Target="http://www.nevo.co.il/case/6081397" TargetMode="External"/><Relationship Id="rId23" Type="http://schemas.openxmlformats.org/officeDocument/2006/relationships/hyperlink" Target="http://www.nevo.co.il/case/5578902" TargetMode="External"/><Relationship Id="rId24" Type="http://schemas.openxmlformats.org/officeDocument/2006/relationships/hyperlink" Target="http://www.nevo.co.il/law/70301/40ja.c" TargetMode="External"/><Relationship Id="rId25" Type="http://schemas.openxmlformats.org/officeDocument/2006/relationships/hyperlink" Target="http://www.nevo.co.il/law/70301/40d.a" TargetMode="External"/><Relationship Id="rId26" Type="http://schemas.openxmlformats.org/officeDocument/2006/relationships/hyperlink" Target="http://supreme.court.gov.il/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2020-11-04T12:33:00Z</dcterms:created>
  <dc:creator>h4</dc:creator>
  <dc:description/>
  <cp:keywords/>
  <dc:language>en-IL</dc:language>
  <cp:lastModifiedBy>orly</cp:lastModifiedBy>
  <cp:lastPrinted>2020-11-03T15:07:00Z</cp:lastPrinted>
  <dcterms:modified xsi:type="dcterms:W3CDTF">2020-11-04T12:33:00Z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עלי מחאמיד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ProcID=133&amp;PartA=68021&amp;PartB=11&amp;PartC=19</vt:lpwstr>
  </property>
  <property fmtid="{D5CDD505-2E9C-101B-9397-08002B2CF9AE}" pid="9" name="CASESLISTTMP1">
    <vt:lpwstr>26227595:2;26329687;20157961;16987351;21664419;5610818;20687346;6081397;5578902</vt:lpwstr>
  </property>
  <property fmtid="{D5CDD505-2E9C-101B-9397-08002B2CF9AE}" pid="10" name="CITY">
    <vt:lpwstr/>
  </property>
  <property fmtid="{D5CDD505-2E9C-101B-9397-08002B2CF9AE}" pid="11" name="DATE">
    <vt:lpwstr>20201103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מ' מזוז;ג' קרא;א' שטיין</vt:lpwstr>
  </property>
  <property fmtid="{D5CDD505-2E9C-101B-9397-08002B2CF9AE}" pid="15" name="LAWLISTTMP1">
    <vt:lpwstr>70301/402.a;40ja.c;040d.a</vt:lpwstr>
  </property>
  <property fmtid="{D5CDD505-2E9C-101B-9397-08002B2CF9AE}" pid="16" name="LAWLISTTMP2">
    <vt:lpwstr>5227/010.a</vt:lpwstr>
  </property>
  <property fmtid="{D5CDD505-2E9C-101B-9397-08002B2CF9AE}" pid="17" name="LAWYER">
    <vt:lpwstr>סיגל בלום;אסיל מוצארוה מקאלדה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קרן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ערעור</vt:lpwstr>
  </property>
  <property fmtid="{D5CDD505-2E9C-101B-9397-08002B2CF9AE}" pid="42" name="NOSE23">
    <vt:lpwstr>ענישה</vt:lpwstr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1446;15235;1446</vt:lpwstr>
  </property>
  <property fmtid="{D5CDD505-2E9C-101B-9397-08002B2CF9AE}" pid="50" name="NOSE31">
    <vt:lpwstr>מדיניות ענישה: שוד</vt:lpwstr>
  </property>
  <property fmtid="{D5CDD505-2E9C-101B-9397-08002B2CF9AE}" pid="51" name="NOSE310">
    <vt:lpwstr/>
  </property>
  <property fmtid="{D5CDD505-2E9C-101B-9397-08002B2CF9AE}" pid="52" name="NOSE32">
    <vt:lpwstr>אי התערבות במידת העונש</vt:lpwstr>
  </property>
  <property fmtid="{D5CDD505-2E9C-101B-9397-08002B2CF9AE}" pid="53" name="NOSE33">
    <vt:lpwstr>מתחם הענישה</vt:lpwstr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15019;17647;14985</vt:lpwstr>
  </property>
  <property fmtid="{D5CDD505-2E9C-101B-9397-08002B2CF9AE}" pid="61" name="PADIDATE">
    <vt:lpwstr>20201104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3698</vt:lpwstr>
  </property>
  <property fmtid="{D5CDD505-2E9C-101B-9397-08002B2CF9AE}" pid="67" name="PROCYEAR">
    <vt:lpwstr>20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410120201103</vt:lpwstr>
  </property>
  <property fmtid="{D5CDD505-2E9C-101B-9397-08002B2CF9AE}" pid="71" name="TYPE_N_DATE">
    <vt:lpwstr>41020201103</vt:lpwstr>
  </property>
  <property fmtid="{D5CDD505-2E9C-101B-9397-08002B2CF9AE}" pid="72" name="VOLUME">
    <vt:lpwstr/>
  </property>
  <property fmtid="{D5CDD505-2E9C-101B-9397-08002B2CF9AE}" pid="73" name="WORDNUMPAGES">
    <vt:lpwstr>6</vt:lpwstr>
  </property>
</Properties>
</file>