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3705/17</w:t>
            </w:r>
          </w:p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4133/17</w:t>
            </w:r>
            <w:r>
              <w:rPr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3705/17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4133/17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דיאב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עראר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3705/17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4133/17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נגדי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36420-09-12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לורך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צ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דותן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וינברג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נוטוביץ</w:t>
            </w:r>
            <w:r>
              <w:rPr>
                <w:sz w:val="24"/>
                <w:szCs w:val="24"/>
                <w:rtl w:val="true"/>
              </w:rPr>
              <w:t>.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3705/17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4133/17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אביגדור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פלדמן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ימימה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אברמוביץ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3705/17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4133/17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חלאוה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נפגע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העבירה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ועקנין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5" w:name="ABSTRACT_START"/>
      <w:bookmarkEnd w:id="5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לבימ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המברר סמכות רחבה בקביעת העדויות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רשאי הוא להעדיף גרסה אחת של עד על פני גרסאות אחרות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 כלל לפיו ריבוי גרסאות מוביל לשלילת כל אחת מהן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ראיות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זיהוי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מהימנות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ראיות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עדות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מהימנות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עונשין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ענישה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הכרעת דין וגז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 בגדרם הורשע המערער בעבירות של ניסיון לרצח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נשיאת 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קשירת קשר לביצוע פשע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חבלה חמורה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וחבלה במזיד לרכב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המערער נגזרו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ופיצוי למתלונן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ובנו בסך </w:t>
      </w:r>
      <w:r>
        <w:rPr>
          <w:rFonts w:cs="Times New Roman" w:ascii="Times New Roman" w:hAnsi="Times New Roman"/>
          <w:spacing w:val="0"/>
          <w:szCs w:val="26"/>
        </w:rPr>
        <w:t>100,000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ברקע לכתב האישום מצוי סכסוך בין משפחת המערער והמתלונן אשר מקורו בתקרית אלימה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 נהרג בן דודו של המערער ואחיו של המערער נפצע קשה ונותר נכה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במוקד הערעור ניצבת סוגית זיהויו של המערער כמבצע הירי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נ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הנדל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בהסכמת השופטות 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ברון 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וילנר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הכרעת הדין מבוססת על זיהוי המערער על ידי המתלונן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אשתו ובנו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הנוסעים ברכב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כאשר ישנן ראיות נוספות המחזקות את המסקנה כי המערער אכן נכח בזירת הירי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איכוני הטלפון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ושרידי הירי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במישור הרחב יותר ישנן ראיות נוספות התומכות במסקנה כי המערער הוא שביצע את הירי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האיומים על בנו של המתלונן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המניע עקב הסכסוך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שקריו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ושתיקתו לאחר הכרעת הדין הראשונה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הראיות הנוספות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ברי כי עדויות הראיה הישירות הן המפתח המרכזי להרשעה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אם כי לא לבדן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לטענת המערער עדויות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יחד ולחוד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אינן מספיקות לצורך קשירת המערער לביצוע הירי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טענותיו של המערער אינן משוללות כל יסוד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ישנם קשיים מסוימים אשר עולים מעדויות המתלונן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– אשר מסר </w:t>
      </w:r>
      <w:r>
        <w:rPr>
          <w:rFonts w:cs="Times New Roman" w:ascii="Times New Roman" w:hAnsi="Times New Roman"/>
          <w:spacing w:val="0"/>
          <w:szCs w:val="26"/>
        </w:rPr>
        <w:t>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גרסאות שונות בנוגע לאירוע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אשתו ובנו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עדויות הנוסעים ברכב 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מדובר בקשיים המצדיקים את התערבותה של ערכאת ערעור במסקנתה של הערכאה המבררת במקרה זה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לבימ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המברר סמכות רחבה בקביעת העדויות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רשאי הוא להעדיף גרסה אחת של עד על פני גרסאות אחרות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 כלל לפיו ריבוי גרסאות מוביל לשלילת כל אחת מהן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מכאן המסקנה כי על אף חוסר העקביות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לעדותו של המתלונן עדיין קיים משקל בלתי מבוטל התומך בהרשעת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בחינת התפתחות גרסאותיו של המתלונן מלמדת כי ישנם הסברים בעלי משקל להבדלים ביניהן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הסברים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שהובהר בפסה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מצביעים על כך שהגרסאות השנייה והשלישית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ההבדלים ביניהם זניחים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תומכות בזיהויו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וניתן על פי דין להעניק לגרסאות אלו משקל עיקרי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עולה כי כך התרשם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והעניין על פניו אינו מגלה טעות בדין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בהקשר זה הוזכר 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אין אנו עוסקים במצב בו עד מזגזג בין גרסאות הלוך ושוב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בהתפתחות סדורה בעלת היגיון פנימי משלה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תחילה המתלונן הכחיש כי ידע מי היורה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מכן זיהה אותו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ורק בהמשך לאחר הסולחה שינה את דעתו שוב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וחזר להיעדר היכולת לזהות את היורה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כן לא נמצא מקום להתערב במסקנותיו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קמא ביחס לעדויות יתר הנוסעים ברכב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האישה והבן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כמזהות את המערער בזירת האירוע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שישנם קשיים בעדויות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הרשעת המערער מבוססת גם על 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הראיות הנוספות הקושרות את המערער במידה זו או אחרת לביצוע הירי ומצביעות מעל לספק סביר כי המערער ביצע את הירי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 דין הערעור על הכרעת הדין להידחות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כן לא נמצא להתערב בגזה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בניגוד לטענת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נתן את המשקל הראוי לנסיבות הדורשות הקלה בעונש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לאור חומרתו של המעשה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ניסיון לרצח תוך גרימת חבלות חמורות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יחד עם העבירות הנוספות בהן הורשע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עולה כי יש להתערב בגזר דינו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תקופה המאסר אכן ארוכה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תואמת את המעשה ואף את נסיבות העושה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נקמת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דם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החליט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לעצמו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וניסה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ומסוכנות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רמיסת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החברתי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מתוקנת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התופעה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בעיניו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בשלטון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פוטנציאלים</w:t>
      </w:r>
      <w:r>
        <w:rPr>
          <w:rFonts w:cs="FrankRuehl"/>
          <w:sz w:val="24"/>
          <w:szCs w:val="26"/>
          <w:rtl w:val="true"/>
        </w:rPr>
        <w:t>.</w:t>
      </w:r>
      <w:bookmarkStart w:id="6" w:name="ABSTRACT_END"/>
      <w:bookmarkEnd w:id="6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7" w:name="PsakDin"/>
            <w:bookmarkStart w:id="8" w:name="BeginProtocol"/>
            <w:bookmarkStart w:id="9" w:name="secretary"/>
            <w:bookmarkEnd w:id="7"/>
            <w:bookmarkEnd w:id="8"/>
            <w:bookmarkEnd w:id="9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0" w:name="Writer_Name"/>
      <w:bookmarkEnd w:id="10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1" w:name="Start_Write"/>
      <w:bookmarkStart w:id="12" w:name="Start_Write"/>
      <w:bookmarkEnd w:id="12"/>
    </w:p>
    <w:p>
      <w:pPr>
        <w:pStyle w:val="Ruller41"/>
        <w:numPr>
          <w:ilvl w:val="0"/>
          <w:numId w:val="1"/>
        </w:numPr>
        <w:ind w:end="0"/>
        <w:jc w:val="both"/>
        <w:rPr>
          <w:sz w:val="22"/>
        </w:rPr>
      </w:pPr>
      <w:r>
        <w:rPr>
          <w:rtl w:val="true"/>
        </w:rPr>
        <w:t xml:space="preserve">מונח לפנינו ערעור מטעם המערער על הכרעת דינו וגזר דינו של בית המשפט המחוזי מרכז </w:t>
      </w:r>
      <w:r>
        <w:rPr>
          <w:rtl w:val="true"/>
        </w:rPr>
        <w:t>(</w:t>
      </w:r>
      <w:hyperlink r:id="rId3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36420-09-12</w:t>
        </w:r>
      </w:hyperlink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כבוד השופטות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לורך</w:t>
      </w:r>
      <w:r>
        <w:rPr>
          <w:rtl w:val="true"/>
        </w:rPr>
        <w:t xml:space="preserve">,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צ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דותן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וינברג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נוטוביץ</w:t>
      </w:r>
      <w:r>
        <w:rPr>
          <w:rtl w:val="true"/>
        </w:rPr>
        <w:t xml:space="preserve">), </w:t>
      </w:r>
      <w:r>
        <w:rPr>
          <w:rtl w:val="true"/>
        </w:rPr>
        <w:t>בגדרו הורשע המערער בעבירות של ניסיון לרצח</w:t>
      </w:r>
      <w:r>
        <w:rPr>
          <w:rtl w:val="true"/>
        </w:rPr>
        <w:t xml:space="preserve">, </w:t>
      </w:r>
      <w:r>
        <w:rPr>
          <w:rtl w:val="true"/>
        </w:rPr>
        <w:t>נשיאת נשק</w:t>
      </w:r>
      <w:r>
        <w:rPr>
          <w:rtl w:val="true"/>
        </w:rPr>
        <w:t xml:space="preserve">, </w:t>
      </w:r>
      <w:r>
        <w:rPr>
          <w:rtl w:val="true"/>
        </w:rPr>
        <w:t>קשירת קשר לביצוע פשע</w:t>
      </w:r>
      <w:r>
        <w:rPr>
          <w:rtl w:val="true"/>
        </w:rPr>
        <w:t xml:space="preserve">, </w:t>
      </w:r>
      <w:r>
        <w:rPr>
          <w:rtl w:val="true"/>
        </w:rPr>
        <w:t>חבלה חמורה בנסיבות מחמירות</w:t>
      </w:r>
      <w:r>
        <w:rPr>
          <w:rtl w:val="true"/>
        </w:rPr>
        <w:t xml:space="preserve">, </w:t>
      </w:r>
      <w:r>
        <w:rPr>
          <w:rtl w:val="true"/>
        </w:rPr>
        <w:t>וחבלה במזיד לרכב</w:t>
      </w:r>
      <w:r>
        <w:rPr>
          <w:rtl w:val="true"/>
        </w:rPr>
        <w:t xml:space="preserve">. </w:t>
      </w:r>
      <w:r>
        <w:rPr>
          <w:rtl w:val="true"/>
        </w:rPr>
        <w:t xml:space="preserve">על המערער נגזרו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>ופיצוי למתלונן</w:t>
      </w:r>
      <w:r>
        <w:rPr>
          <w:rtl w:val="true"/>
        </w:rPr>
        <w:t xml:space="preserve">,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 xml:space="preserve">ובנו בסך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sz w:val="22"/>
          <w:sz w:val="22"/>
          <w:rtl w:val="true"/>
        </w:rPr>
        <w:t>יצוין כי הוגש ערעור מטעם המשיבה כנגד גזר הדין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אשר נמחק בעקבות הדיון שנערך בפני המותב והמלצתנו </w:t>
      </w:r>
      <w:r>
        <w:rPr>
          <w:sz w:val="22"/>
          <w:rtl w:val="true"/>
        </w:rPr>
        <w:t>(</w:t>
      </w:r>
      <w:hyperlink r:id="rId4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4133/17</w:t>
        </w:r>
      </w:hyperlink>
      <w:r>
        <w:rPr>
          <w:sz w:val="22"/>
          <w:rtl w:val="true"/>
        </w:rPr>
        <w:t xml:space="preserve">)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]</w:t>
      </w:r>
      <w:r>
        <w:rPr>
          <w:sz w:val="22"/>
          <w:rtl w:val="true"/>
        </w:rPr>
        <w:t xml:space="preserve">. </w:t>
      </w:r>
    </w:p>
    <w:p>
      <w:pPr>
        <w:pStyle w:val="Ruller4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ברקע לכתב האישום מצוי סכסוך אשר מקורו בתקרית אלימה</w:t>
      </w:r>
      <w:r>
        <w:rPr>
          <w:rtl w:val="true"/>
        </w:rPr>
        <w:t xml:space="preserve">, </w:t>
      </w:r>
      <w:r>
        <w:rPr>
          <w:rtl w:val="true"/>
        </w:rPr>
        <w:t>בה נהרג בן דודו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ואחיו של המערער נפצע קשה והפך למשותק בידיו ורגליו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תקרית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הסופרמרקט</w:t>
      </w:r>
      <w:r>
        <w:rPr>
          <w:rtl w:val="true"/>
        </w:rPr>
        <w:t xml:space="preserve">). </w:t>
      </w:r>
      <w:r>
        <w:rPr>
          <w:rtl w:val="true"/>
        </w:rPr>
        <w:t>בגין תקרית זו הוגש כתב אישום אחר</w:t>
      </w:r>
      <w:r>
        <w:rPr>
          <w:rtl w:val="true"/>
        </w:rPr>
        <w:t xml:space="preserve">, </w:t>
      </w:r>
      <w:r>
        <w:rPr>
          <w:rtl w:val="true"/>
        </w:rPr>
        <w:t>נגד אחדים ממשפחתו של המתלונן</w:t>
      </w:r>
      <w:r>
        <w:rPr>
          <w:rtl w:val="true"/>
        </w:rPr>
        <w:t xml:space="preserve">, </w:t>
      </w:r>
      <w:r>
        <w:rPr>
          <w:rtl w:val="true"/>
        </w:rPr>
        <w:t>וביניהם גם חלק מבניו</w:t>
      </w:r>
      <w:r>
        <w:rPr>
          <w:rtl w:val="true"/>
        </w:rPr>
        <w:t xml:space="preserve">. </w:t>
      </w:r>
      <w:r>
        <w:rPr>
          <w:rtl w:val="true"/>
        </w:rPr>
        <w:t>על פי עובדות כתב האישום בענייננו</w:t>
      </w:r>
      <w:r>
        <w:rPr>
          <w:rtl w:val="true"/>
        </w:rPr>
        <w:t xml:space="preserve">, </w:t>
      </w:r>
      <w:r>
        <w:rPr>
          <w:rtl w:val="true"/>
        </w:rPr>
        <w:t>כעשרה ימים לפני מועד האירוע בו עסקינן</w:t>
      </w:r>
      <w:r>
        <w:rPr>
          <w:rtl w:val="true"/>
        </w:rPr>
        <w:t xml:space="preserve">, </w:t>
      </w:r>
      <w:r>
        <w:rPr>
          <w:rtl w:val="true"/>
        </w:rPr>
        <w:t>איים המערער על בנו של המתלונן בדבריו</w:t>
      </w:r>
      <w:r>
        <w:rPr>
          <w:rtl w:val="true"/>
        </w:rPr>
        <w:t>: "</w:t>
      </w:r>
      <w:r>
        <w:rPr>
          <w:rtl w:val="true"/>
        </w:rPr>
        <w:t>אני יהרוג מישהו ממכם</w:t>
      </w:r>
      <w:r>
        <w:rPr>
          <w:rtl w:val="true"/>
        </w:rPr>
        <w:t xml:space="preserve">, </w:t>
      </w:r>
      <w:r>
        <w:rPr>
          <w:rtl w:val="true"/>
        </w:rPr>
        <w:t>אל תדאג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המערער ואחרים הצטיידו בכלי נשק וברכב</w:t>
      </w:r>
      <w:r>
        <w:rPr>
          <w:rtl w:val="true"/>
        </w:rPr>
        <w:t xml:space="preserve">, </w:t>
      </w:r>
      <w:r>
        <w:rPr>
          <w:rtl w:val="true"/>
        </w:rPr>
        <w:t>תוך החלטה לגרום למותו של המתלונן או אחרים מבני משפחתו</w:t>
      </w:r>
      <w:r>
        <w:rPr>
          <w:rtl w:val="true"/>
        </w:rPr>
        <w:t xml:space="preserve">. </w:t>
      </w:r>
      <w:r>
        <w:rPr>
          <w:rtl w:val="true"/>
        </w:rPr>
        <w:t>ביום האירוע</w:t>
      </w:r>
      <w:r>
        <w:rPr>
          <w:rtl w:val="true"/>
        </w:rPr>
        <w:t xml:space="preserve">, </w:t>
      </w:r>
      <w:r>
        <w:rPr>
          <w:rtl w:val="true"/>
        </w:rPr>
        <w:t>נסע המתלונן יחד עם בנו טלאל</w:t>
      </w:r>
      <w:r>
        <w:rPr>
          <w:rtl w:val="true"/>
        </w:rPr>
        <w:t xml:space="preserve">, </w:t>
      </w:r>
      <w:r>
        <w:rPr>
          <w:rtl w:val="true"/>
        </w:rPr>
        <w:t>ואשתו סארה ברכבם</w:t>
      </w:r>
      <w:r>
        <w:rPr>
          <w:rtl w:val="true"/>
        </w:rPr>
        <w:t xml:space="preserve">. </w:t>
      </w:r>
      <w:r>
        <w:rPr>
          <w:rtl w:val="true"/>
        </w:rPr>
        <w:t>המערער ושניים אחרים עקבו אחרי המתלונן ומשפחתו</w:t>
      </w:r>
      <w:r>
        <w:rPr>
          <w:rtl w:val="true"/>
        </w:rPr>
        <w:t xml:space="preserve">, </w:t>
      </w:r>
      <w:r>
        <w:rPr>
          <w:rtl w:val="true"/>
        </w:rPr>
        <w:t xml:space="preserve">עד שהאחרונים עצרו ברמזור אדום בצומת כפר יונה מזרח על כביש </w:t>
      </w:r>
      <w:r>
        <w:rPr/>
        <w:t>57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הצומת</w:t>
      </w:r>
      <w:r>
        <w:rPr>
          <w:rtl w:val="true"/>
        </w:rPr>
        <w:t xml:space="preserve">). </w:t>
      </w:r>
      <w:r>
        <w:rPr>
          <w:rtl w:val="true"/>
        </w:rPr>
        <w:t>בשלב זה ירדו המערער והאחרים מרכבם</w:t>
      </w:r>
      <w:r>
        <w:rPr>
          <w:rtl w:val="true"/>
        </w:rPr>
        <w:t xml:space="preserve">, </w:t>
      </w:r>
      <w:r>
        <w:rPr>
          <w:rtl w:val="true"/>
        </w:rPr>
        <w:t>תוך שהם אוחזים בכלי נשק</w:t>
      </w:r>
      <w:r>
        <w:rPr>
          <w:rtl w:val="true"/>
        </w:rPr>
        <w:t xml:space="preserve">, </w:t>
      </w:r>
      <w:r>
        <w:rPr>
          <w:rtl w:val="true"/>
        </w:rPr>
        <w:t xml:space="preserve">וביצעו ירי של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כדורים לפחות מטווח קרוב לעבר רכב המתלונן ומשפחתו</w:t>
      </w:r>
      <w:r>
        <w:rPr>
          <w:rtl w:val="true"/>
        </w:rPr>
        <w:t xml:space="preserve">. </w:t>
      </w:r>
      <w:r>
        <w:rPr>
          <w:rtl w:val="true"/>
        </w:rPr>
        <w:t>כתוצאה מהירי נפצעו המתלונן ובנו ופונו לבית חולים</w:t>
      </w:r>
      <w:r>
        <w:rPr>
          <w:rtl w:val="true"/>
        </w:rPr>
        <w:t xml:space="preserve">. </w:t>
      </w:r>
      <w:r>
        <w:rPr>
          <w:rtl w:val="true"/>
        </w:rPr>
        <w:t>אשתו של המתלונן אובחנה כסובלת מסיוטים</w:t>
      </w:r>
      <w:r>
        <w:rPr>
          <w:rtl w:val="true"/>
        </w:rPr>
        <w:t xml:space="preserve">, </w:t>
      </w:r>
      <w:r>
        <w:rPr>
          <w:rtl w:val="true"/>
        </w:rPr>
        <w:t>חרדות ודיכאון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בהליך קמא הכחיש המערער את כל המיוחס לו בכתב האישום</w:t>
      </w:r>
      <w:r>
        <w:rPr>
          <w:rtl w:val="true"/>
        </w:rPr>
        <w:t xml:space="preserve">, </w:t>
      </w:r>
      <w:r>
        <w:rPr>
          <w:rtl w:val="true"/>
        </w:rPr>
        <w:t>למעט העובדה שאכן קיים סכסוך בין משפחתו למשפחת המתלונן</w:t>
      </w:r>
      <w:r>
        <w:rPr>
          <w:rtl w:val="true"/>
        </w:rPr>
        <w:t xml:space="preserve">. </w:t>
      </w:r>
      <w:r>
        <w:rPr>
          <w:rtl w:val="true"/>
        </w:rPr>
        <w:t>יריעת המחלוקת בין התביעה להגנה התמקדה בשאלת זיהויו של המערער כמבצע הירי</w:t>
      </w:r>
      <w:r>
        <w:rPr>
          <w:rtl w:val="true"/>
        </w:rPr>
        <w:t xml:space="preserve">. </w:t>
      </w:r>
      <w:r>
        <w:rPr>
          <w:rtl w:val="true"/>
        </w:rPr>
        <w:t>המערער תחילה הכחיש בחקירתו שהיה באזור הזירה בזמן האירוע</w:t>
      </w:r>
      <w:r>
        <w:rPr>
          <w:rtl w:val="true"/>
        </w:rPr>
        <w:t xml:space="preserve">, </w:t>
      </w:r>
      <w:r>
        <w:rPr>
          <w:rtl w:val="true"/>
        </w:rPr>
        <w:t>ומסר ששהה בבאר שבע באותה עת</w:t>
      </w:r>
      <w:r>
        <w:rPr>
          <w:rtl w:val="true"/>
        </w:rPr>
        <w:t xml:space="preserve">. </w:t>
      </w:r>
      <w:r>
        <w:rPr>
          <w:rtl w:val="true"/>
        </w:rPr>
        <w:t>בהמשך הודה בעדותו כי היה באזור הזירה</w:t>
      </w:r>
      <w:r>
        <w:rPr>
          <w:rtl w:val="true"/>
        </w:rPr>
        <w:t xml:space="preserve">, </w:t>
      </w:r>
      <w:r>
        <w:rPr>
          <w:rtl w:val="true"/>
        </w:rPr>
        <w:t xml:space="preserve">על כביש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 xml:space="preserve">אך לא בזירה עצמה בצומת שעל כביש </w:t>
      </w:r>
      <w:r>
        <w:rPr/>
        <w:t>57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וחלקן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נסיבתיות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: </w:t>
      </w:r>
      <w:r>
        <w:rPr>
          <w:rtl w:val="true"/>
        </w:rPr>
        <w:t>הסכסוך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; </w:t>
      </w:r>
      <w:r>
        <w:rPr>
          <w:rtl w:val="true"/>
        </w:rPr>
        <w:t>שקריו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בסיטואציה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נפצע</w:t>
      </w:r>
      <w:r>
        <w:rPr>
          <w:rtl w:val="true"/>
        </w:rPr>
        <w:t xml:space="preserve">; </w:t>
      </w:r>
      <w:r>
        <w:rPr>
          <w:rtl w:val="true"/>
        </w:rPr>
        <w:t>איומו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;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;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;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; </w:t>
      </w:r>
      <w:r>
        <w:rPr>
          <w:rtl w:val="true"/>
        </w:rPr>
        <w:t>עדותם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; </w:t>
      </w:r>
      <w:r>
        <w:rPr>
          <w:rtl w:val="true"/>
        </w:rPr>
        <w:t>איכוני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הסלולרי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כביש</w:t>
      </w:r>
      <w:r>
        <w:rPr>
          <w:rFonts w:eastAsia="Arial TUR;Arial" w:cs="Arial TUR;Arial"/>
          <w:rtl w:val="true"/>
        </w:rPr>
        <w:t xml:space="preserve"> </w:t>
      </w:r>
      <w:r>
        <w:rPr/>
        <w:t>57</w:t>
      </w:r>
      <w:r>
        <w:rPr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; </w:t>
      </w:r>
      <w:r>
        <w:rPr>
          <w:rtl w:val="true"/>
        </w:rPr>
        <w:t>שרידי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ושקרי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המשלימה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שניתנה הכרעת דינו המרשיעה של בית משפט קמא</w:t>
      </w:r>
      <w:r>
        <w:rPr>
          <w:rtl w:val="true"/>
        </w:rPr>
        <w:t xml:space="preserve">, </w:t>
      </w:r>
      <w:r>
        <w:rPr>
          <w:rtl w:val="true"/>
        </w:rPr>
        <w:t>נערכה סולחה בין משפחת המערער למשפחת המתלונן</w:t>
      </w:r>
      <w:r>
        <w:rPr>
          <w:rtl w:val="true"/>
        </w:rPr>
        <w:t xml:space="preserve">. </w:t>
      </w:r>
      <w:r>
        <w:rPr>
          <w:rtl w:val="true"/>
        </w:rPr>
        <w:t>כארבעה ימים לאחר מכן פנה המתלונן למשטרה ומסר כי המערער אינו היורה</w:t>
      </w:r>
      <w:r>
        <w:rPr>
          <w:rtl w:val="true"/>
        </w:rPr>
        <w:t xml:space="preserve">. </w:t>
      </w:r>
      <w:r>
        <w:rPr>
          <w:rtl w:val="true"/>
        </w:rPr>
        <w:t>בעקבות אמרתו זו הגיש המערער בקשה להחזרת המתלונן למתן עדות נוספת בפני בית 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בקשה זו התקבלה בהסכמת המשיבה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החדשה</w:t>
      </w:r>
      <w:r>
        <w:rPr>
          <w:rtl w:val="true"/>
        </w:rPr>
        <w:t xml:space="preserve">). </w:t>
      </w:r>
      <w:r>
        <w:rPr>
          <w:rtl w:val="true"/>
        </w:rPr>
        <w:t xml:space="preserve">בעדותו החדשה מסר המתלונן כי טעה בזיהוי המערער כמבצע הירי וכי אדם אחר הוא שביצע את הירי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יאסין</w:t>
      </w:r>
      <w:r>
        <w:rPr>
          <w:rtl w:val="true"/>
        </w:rPr>
        <w:t xml:space="preserve">), </w:t>
      </w:r>
      <w:r>
        <w:rPr>
          <w:rtl w:val="true"/>
        </w:rPr>
        <w:t>וכן כי נחתם הסכם סולחה בין המשפחות אשר סיים את הסכסוך</w:t>
      </w:r>
      <w:r>
        <w:rPr>
          <w:rtl w:val="true"/>
        </w:rPr>
        <w:t xml:space="preserve">. </w:t>
      </w:r>
      <w:r>
        <w:rPr>
          <w:rtl w:val="true"/>
        </w:rPr>
        <w:t xml:space="preserve">באחד משני נוסחי הסכם הסולחה שהובאו בפני בית </w:t>
      </w:r>
      <w:r>
        <w:rPr>
          <w:rtl w:val="true"/>
        </w:rPr>
        <w:t>משפט קמא</w:t>
      </w:r>
      <w:r>
        <w:rPr>
          <w:rtl w:val="true"/>
        </w:rPr>
        <w:t xml:space="preserve">, </w:t>
      </w:r>
      <w:r>
        <w:rPr>
          <w:rtl w:val="true"/>
        </w:rPr>
        <w:t>פורטו התנאים שהוסכמו</w:t>
      </w:r>
      <w:r>
        <w:rPr>
          <w:rtl w:val="true"/>
        </w:rPr>
        <w:t xml:space="preserve">, </w:t>
      </w:r>
      <w:r>
        <w:rPr>
          <w:rtl w:val="true"/>
        </w:rPr>
        <w:t>וביניהם התחייבות המתלונן לעשות ככל הנדרש בסיוע ובעזרה למערער בפני בית המשפט והחקירות המשטרתיות</w:t>
      </w:r>
      <w:r>
        <w:rPr>
          <w:rtl w:val="true"/>
        </w:rPr>
        <w:t xml:space="preserve">. </w:t>
      </w:r>
      <w:r>
        <w:rPr>
          <w:rtl w:val="true"/>
        </w:rPr>
        <w:t>לאחר שהתברר למשיבה כי המתלונן פנה למשטרה לאחר הכרעת הדין המרשיעה</w:t>
      </w:r>
      <w:r>
        <w:rPr>
          <w:rtl w:val="true"/>
        </w:rPr>
        <w:t xml:space="preserve">, </w:t>
      </w:r>
      <w:r>
        <w:rPr>
          <w:rtl w:val="true"/>
        </w:rPr>
        <w:t>והתלונן כי קיבל שיחות טלפון בהן איימו על חייו</w:t>
      </w:r>
      <w:r>
        <w:rPr>
          <w:rtl w:val="true"/>
        </w:rPr>
        <w:t xml:space="preserve">, </w:t>
      </w:r>
      <w:r>
        <w:rPr>
          <w:rtl w:val="true"/>
        </w:rPr>
        <w:t>ובהן חזר על זיהויו את המערער כמי שביצע את הירי</w:t>
      </w:r>
      <w:r>
        <w:rPr>
          <w:rtl w:val="true"/>
        </w:rPr>
        <w:t xml:space="preserve">, </w:t>
      </w:r>
      <w:r>
        <w:rPr>
          <w:rtl w:val="true"/>
        </w:rPr>
        <w:t xml:space="preserve">ביקשה לזמן אותו לעדות נוספת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החדשה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הנוספת</w:t>
      </w:r>
      <w:r>
        <w:rPr>
          <w:rtl w:val="true"/>
        </w:rPr>
        <w:t xml:space="preserve">). </w:t>
      </w:r>
      <w:r>
        <w:rPr>
          <w:rtl w:val="true"/>
        </w:rPr>
        <w:t>לאחר שנשמעה עדות המתלונן פעם נוספת</w:t>
      </w:r>
      <w:r>
        <w:rPr>
          <w:rtl w:val="true"/>
        </w:rPr>
        <w:t xml:space="preserve">, </w:t>
      </w:r>
      <w:r>
        <w:rPr>
          <w:rtl w:val="true"/>
        </w:rPr>
        <w:t>לבקשת המשיבה</w:t>
      </w:r>
      <w:r>
        <w:rPr>
          <w:rtl w:val="true"/>
        </w:rPr>
        <w:t xml:space="preserve">, </w:t>
      </w:r>
      <w:r>
        <w:rPr>
          <w:rtl w:val="true"/>
        </w:rPr>
        <w:t xml:space="preserve">וכן העיד השייח אשר היה מעורב בעריכת הסכם הסולחה </w:t>
      </w:r>
      <w:r>
        <w:rPr>
          <w:rtl w:val="true"/>
        </w:rPr>
        <w:t>–</w:t>
      </w:r>
      <w:r>
        <w:rPr>
          <w:rtl w:val="true"/>
        </w:rPr>
        <w:t xml:space="preserve"> עתר המערער לזכותו מאשמה לאור גרסתו המאוחרת של המתלונן העומדת בסתירה לגרסותיו הקודמות אשר עמדו בבסיס ההרשעה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משלימה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עיתוי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השבט</w:t>
      </w:r>
      <w:r>
        <w:rPr>
          <w:rtl w:val="true"/>
        </w:rPr>
        <w:t xml:space="preserve">, </w:t>
      </w:r>
      <w:r>
        <w:rPr>
          <w:rtl w:val="true"/>
        </w:rPr>
        <w:t>והוכחות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150,000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שנפסק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בסופרמרקט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לסכסוך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ויתור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להתחייבות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. </w:t>
      </w:r>
      <w:r>
        <w:rPr>
          <w:rtl w:val="true"/>
        </w:rPr>
        <w:t>הימנעותו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מלהעיד</w:t>
      </w:r>
      <w:r>
        <w:rPr>
          <w:rtl w:val="true"/>
        </w:rPr>
        <w:t xml:space="preserve">, </w:t>
      </w:r>
      <w:r>
        <w:rPr>
          <w:rtl w:val="true"/>
        </w:rPr>
        <w:t>כתגובה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חיזקה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, </w:t>
      </w:r>
      <w:r>
        <w:rPr>
          <w:rtl w:val="true"/>
        </w:rPr>
        <w:t>ובכללן</w:t>
      </w:r>
      <w:r>
        <w:rPr>
          <w:rtl w:val="true"/>
        </w:rPr>
        <w:t xml:space="preserve">: </w:t>
      </w:r>
      <w:r>
        <w:rPr>
          <w:rtl w:val="true"/>
        </w:rPr>
        <w:t>המניע</w:t>
      </w:r>
      <w:r>
        <w:rPr>
          <w:rtl w:val="true"/>
        </w:rPr>
        <w:t xml:space="preserve">, </w:t>
      </w:r>
      <w:r>
        <w:rPr>
          <w:rtl w:val="true"/>
        </w:rPr>
        <w:t>האיומים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הזיהוי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וטלאל</w:t>
      </w:r>
      <w:r>
        <w:rPr>
          <w:rtl w:val="true"/>
        </w:rPr>
        <w:t xml:space="preserve">, </w:t>
      </w:r>
      <w:r>
        <w:rPr>
          <w:rtl w:val="true"/>
        </w:rPr>
        <w:t>איכון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שרידי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ושקריו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גזר דינו של בית משפט קמא קבע מתחם עונש אחד לכל העבירות</w:t>
      </w:r>
      <w:r>
        <w:rPr>
          <w:rtl w:val="true"/>
        </w:rPr>
        <w:t xml:space="preserve">, </w:t>
      </w:r>
      <w:r>
        <w:rPr>
          <w:rtl w:val="true"/>
        </w:rPr>
        <w:t>מאחר שמדובר באירוע אחד</w:t>
      </w:r>
      <w:r>
        <w:rPr>
          <w:rtl w:val="true"/>
        </w:rPr>
        <w:t xml:space="preserve">. </w:t>
      </w:r>
      <w:r>
        <w:rPr>
          <w:rtl w:val="true"/>
        </w:rPr>
        <w:t xml:space="preserve">מתחם העונש שנקבע הינו בין </w:t>
      </w:r>
      <w:r>
        <w:rPr/>
        <w:t>14-9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העונש נגזר בהתחשב בנסיבות ביצוע העבירות שכללו תכנון מוקדם</w:t>
      </w:r>
      <w:r>
        <w:rPr>
          <w:rtl w:val="true"/>
        </w:rPr>
        <w:t xml:space="preserve">, </w:t>
      </w:r>
      <w:r>
        <w:rPr>
          <w:rtl w:val="true"/>
        </w:rPr>
        <w:t>תעוזה וקור רוח</w:t>
      </w:r>
      <w:r>
        <w:rPr>
          <w:rtl w:val="true"/>
        </w:rPr>
        <w:t xml:space="preserve">; </w:t>
      </w:r>
      <w:r>
        <w:rPr>
          <w:rtl w:val="true"/>
        </w:rPr>
        <w:t>בהצהרות נפגעי העבירות</w:t>
      </w:r>
      <w:r>
        <w:rPr>
          <w:rtl w:val="true"/>
        </w:rPr>
        <w:t xml:space="preserve">; </w:t>
      </w:r>
      <w:r>
        <w:rPr>
          <w:rtl w:val="true"/>
        </w:rPr>
        <w:t>ובעובדה שהמערער לא נטל אחריות למעשיו</w:t>
      </w:r>
      <w:r>
        <w:rPr>
          <w:rtl w:val="true"/>
        </w:rPr>
        <w:t xml:space="preserve">. </w:t>
      </w:r>
      <w:r>
        <w:rPr>
          <w:rtl w:val="true"/>
        </w:rPr>
        <w:t>כמו כן ניתן משקל לקולה לעובדה שהמערער הוא היחיד שהועמד לדין בגין העבירות</w:t>
      </w:r>
      <w:r>
        <w:rPr>
          <w:rtl w:val="true"/>
        </w:rPr>
        <w:t xml:space="preserve">; </w:t>
      </w:r>
      <w:r>
        <w:rPr>
          <w:rtl w:val="true"/>
        </w:rPr>
        <w:t>להסכם הסולחה</w:t>
      </w:r>
      <w:r>
        <w:rPr>
          <w:rtl w:val="true"/>
        </w:rPr>
        <w:t xml:space="preserve">; </w:t>
      </w:r>
      <w:r>
        <w:rPr>
          <w:rtl w:val="true"/>
        </w:rPr>
        <w:t>לפגיעת העונש במשפחתו של המערער</w:t>
      </w:r>
      <w:r>
        <w:rPr>
          <w:rtl w:val="true"/>
        </w:rPr>
        <w:t xml:space="preserve">; </w:t>
      </w:r>
      <w:r>
        <w:rPr>
          <w:rtl w:val="true"/>
        </w:rPr>
        <w:t>ולהתנהגותו החיובית של המערער ותרומתו לחברה</w:t>
      </w:r>
      <w:r>
        <w:rPr>
          <w:rtl w:val="true"/>
        </w:rPr>
        <w:t xml:space="preserve">. </w:t>
      </w:r>
      <w:r>
        <w:rPr>
          <w:rtl w:val="true"/>
        </w:rPr>
        <w:t>בהתחשב בשיקולים לקולה שצוינו</w:t>
      </w:r>
      <w:r>
        <w:rPr>
          <w:rtl w:val="true"/>
        </w:rPr>
        <w:t xml:space="preserve">, </w:t>
      </w:r>
      <w:r>
        <w:rPr>
          <w:rtl w:val="true"/>
        </w:rPr>
        <w:t>קבע בית משפט קמא את העונש ברף הנמוך של מתחם העונש</w:t>
      </w:r>
      <w:r>
        <w:rPr>
          <w:rtl w:val="true"/>
        </w:rPr>
        <w:t xml:space="preserve">, </w:t>
      </w:r>
      <w:r>
        <w:rPr>
          <w:rtl w:val="true"/>
        </w:rPr>
        <w:t xml:space="preserve">וגזר על המערער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>ופיצוי למתלונן</w:t>
      </w:r>
      <w:r>
        <w:rPr>
          <w:rtl w:val="true"/>
        </w:rPr>
        <w:t xml:space="preserve">,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 xml:space="preserve">ובנו בסך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טענותיו המרכזיות של המערער בערעור שלפנינו מופנות כלפי היעדר העקביות בגרסאותיו של המתלונן</w:t>
      </w:r>
      <w:r>
        <w:rPr>
          <w:rtl w:val="true"/>
        </w:rPr>
        <w:t xml:space="preserve">, </w:t>
      </w:r>
      <w:r>
        <w:rPr>
          <w:rtl w:val="true"/>
        </w:rPr>
        <w:t>בנוגע לזיהוי המערער כמבצע הירי</w:t>
      </w:r>
      <w:r>
        <w:rPr>
          <w:rtl w:val="true"/>
        </w:rPr>
        <w:t xml:space="preserve">. </w:t>
      </w:r>
      <w:r>
        <w:rPr>
          <w:rtl w:val="true"/>
        </w:rPr>
        <w:t>נטען כי לא ניתן לתת אמון כלל באף אחת מגרסאותיו של המתלונן</w:t>
      </w:r>
      <w:r>
        <w:rPr>
          <w:rtl w:val="true"/>
        </w:rPr>
        <w:t xml:space="preserve">, </w:t>
      </w:r>
      <w:r>
        <w:rPr>
          <w:rtl w:val="true"/>
        </w:rPr>
        <w:t>לאור ריבוי הסתירות ושינוי הגרסאות לאורך ההליך</w:t>
      </w:r>
      <w:r>
        <w:rPr>
          <w:rtl w:val="true"/>
        </w:rPr>
        <w:t xml:space="preserve">. </w:t>
      </w:r>
      <w:r>
        <w:rPr>
          <w:rtl w:val="true"/>
        </w:rPr>
        <w:t>לגישת המערער</w:t>
      </w:r>
      <w:r>
        <w:rPr>
          <w:rtl w:val="true"/>
        </w:rPr>
        <w:t xml:space="preserve">, </w:t>
      </w:r>
      <w:r>
        <w:rPr>
          <w:rtl w:val="true"/>
        </w:rPr>
        <w:t>עדותו של המתלונן היא הנדבך המרכזי והיחיד עליו התבססה הרשעתו</w:t>
      </w:r>
      <w:r>
        <w:rPr>
          <w:rtl w:val="true"/>
        </w:rPr>
        <w:t xml:space="preserve">, </w:t>
      </w:r>
      <w:r>
        <w:rPr>
          <w:rtl w:val="true"/>
        </w:rPr>
        <w:t>ומשהתגלו הפגמים בעדותו אין עוד מקום להרשעה</w:t>
      </w:r>
      <w:r>
        <w:rPr>
          <w:rtl w:val="true"/>
        </w:rPr>
        <w:t xml:space="preserve">. </w:t>
      </w:r>
      <w:r>
        <w:rPr>
          <w:rtl w:val="true"/>
        </w:rPr>
        <w:t>גם בנוגע לעדויות סארה</w:t>
      </w:r>
      <w:r>
        <w:rPr>
          <w:rtl w:val="true"/>
        </w:rPr>
        <w:t xml:space="preserve">, </w:t>
      </w:r>
      <w:r>
        <w:rPr>
          <w:rtl w:val="true"/>
        </w:rPr>
        <w:t>אשתו של המתלונן ובנו טלאל</w:t>
      </w:r>
      <w:r>
        <w:rPr>
          <w:rtl w:val="true"/>
        </w:rPr>
        <w:t xml:space="preserve">, </w:t>
      </w:r>
      <w:r>
        <w:rPr>
          <w:rtl w:val="true"/>
        </w:rPr>
        <w:t>טוען המערער כי לאור הסתירות שנפלו בהן</w:t>
      </w:r>
      <w:r>
        <w:rPr>
          <w:rtl w:val="true"/>
        </w:rPr>
        <w:t xml:space="preserve">, </w:t>
      </w:r>
      <w:r>
        <w:rPr>
          <w:rtl w:val="true"/>
        </w:rPr>
        <w:t xml:space="preserve">והחשש לזיהומן על ידי המתלונן </w:t>
      </w:r>
      <w:r>
        <w:rPr>
          <w:rtl w:val="true"/>
        </w:rPr>
        <w:t>–</w:t>
      </w:r>
      <w:r>
        <w:rPr>
          <w:rtl w:val="true"/>
        </w:rPr>
        <w:t xml:space="preserve"> הן אינן תומכות בהרשעה</w:t>
      </w:r>
      <w:r>
        <w:rPr>
          <w:rtl w:val="true"/>
        </w:rPr>
        <w:t xml:space="preserve">. </w:t>
      </w:r>
      <w:r>
        <w:rPr>
          <w:rtl w:val="true"/>
        </w:rPr>
        <w:t>עוד נטען כי אין בראיות הנסיבתיות כגון המניע</w:t>
      </w:r>
      <w:r>
        <w:rPr>
          <w:rtl w:val="true"/>
        </w:rPr>
        <w:t xml:space="preserve">, </w:t>
      </w:r>
      <w:r>
        <w:rPr>
          <w:rtl w:val="true"/>
        </w:rPr>
        <w:t>שרידי הירי</w:t>
      </w:r>
      <w:r>
        <w:rPr>
          <w:rtl w:val="true"/>
        </w:rPr>
        <w:t xml:space="preserve">, </w:t>
      </w:r>
      <w:r>
        <w:rPr>
          <w:rtl w:val="true"/>
        </w:rPr>
        <w:t>ואיכוני הטלפון כדי לבסס את ההרשעה</w:t>
      </w:r>
      <w:r>
        <w:rPr>
          <w:rtl w:val="true"/>
        </w:rPr>
        <w:t xml:space="preserve">, </w:t>
      </w:r>
      <w:r>
        <w:rPr>
          <w:rtl w:val="true"/>
        </w:rPr>
        <w:t>אלא רק לתמוך בעדויות הראייה המרכזיות</w:t>
      </w:r>
      <w:r>
        <w:rPr>
          <w:rtl w:val="true"/>
        </w:rPr>
        <w:t xml:space="preserve">. </w:t>
      </w:r>
      <w:r>
        <w:rPr>
          <w:rtl w:val="true"/>
        </w:rPr>
        <w:t>כמו כן המערער העלה שתי טענות הגנה נוספות בדבר הזמן בו בוצע האירוע והתרמילים שנמצאו בזירה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במוקד הערעור ניצבת סוגית זיהויו של המערער כמבצע הירי</w:t>
      </w:r>
      <w:r>
        <w:rPr>
          <w:rtl w:val="true"/>
        </w:rPr>
        <w:t xml:space="preserve">. </w:t>
      </w:r>
      <w:r>
        <w:rPr>
          <w:rtl w:val="true"/>
        </w:rPr>
        <w:t>הכרעת הדין מבוססת על זיהוי המערער על ידי המתלונן</w:t>
      </w:r>
      <w:r>
        <w:rPr>
          <w:rtl w:val="true"/>
        </w:rPr>
        <w:t xml:space="preserve">, </w:t>
      </w:r>
      <w:r>
        <w:rPr>
          <w:rtl w:val="true"/>
        </w:rPr>
        <w:t xml:space="preserve">אשתו ובנו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הנוסעים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ברכב</w:t>
      </w:r>
      <w:r>
        <w:rPr>
          <w:rtl w:val="true"/>
        </w:rPr>
        <w:t xml:space="preserve">), </w:t>
      </w:r>
      <w:r>
        <w:rPr>
          <w:rtl w:val="true"/>
        </w:rPr>
        <w:t xml:space="preserve">כאשר ישנן ראיות נוספות המחזקות את המסקנה כי המערער אכן נכח בזירת הירי </w:t>
      </w:r>
      <w:r>
        <w:rPr>
          <w:rtl w:val="true"/>
        </w:rPr>
        <w:t>–</w:t>
      </w:r>
      <w:r>
        <w:rPr>
          <w:rtl w:val="true"/>
        </w:rPr>
        <w:t xml:space="preserve"> איכוני הטלפון</w:t>
      </w:r>
      <w:r>
        <w:rPr>
          <w:rtl w:val="true"/>
        </w:rPr>
        <w:t xml:space="preserve">, </w:t>
      </w:r>
      <w:r>
        <w:rPr>
          <w:rtl w:val="true"/>
        </w:rPr>
        <w:t>ושרידי הירי</w:t>
      </w:r>
      <w:r>
        <w:rPr>
          <w:rtl w:val="true"/>
        </w:rPr>
        <w:t xml:space="preserve">. </w:t>
      </w:r>
      <w:r>
        <w:rPr>
          <w:rtl w:val="true"/>
        </w:rPr>
        <w:t xml:space="preserve">במישור הרחב יותר ישנן ראיות נוספות התומכות במסקנה כי המערער הוא שביצע את הירי </w:t>
      </w:r>
      <w:r>
        <w:rPr>
          <w:rtl w:val="true"/>
        </w:rPr>
        <w:t>–</w:t>
      </w:r>
      <w:r>
        <w:rPr>
          <w:rtl w:val="true"/>
        </w:rPr>
        <w:t xml:space="preserve"> האיומים על בנו של המתלונן</w:t>
      </w:r>
      <w:r>
        <w:rPr>
          <w:rtl w:val="true"/>
        </w:rPr>
        <w:t xml:space="preserve">, </w:t>
      </w:r>
      <w:r>
        <w:rPr>
          <w:rtl w:val="true"/>
        </w:rPr>
        <w:t>המניע עקב הסכסוך</w:t>
      </w:r>
      <w:r>
        <w:rPr>
          <w:rtl w:val="true"/>
        </w:rPr>
        <w:t xml:space="preserve">, </w:t>
      </w:r>
      <w:r>
        <w:rPr>
          <w:rtl w:val="true"/>
        </w:rPr>
        <w:t>שקריו של המערער</w:t>
      </w:r>
      <w:r>
        <w:rPr>
          <w:rtl w:val="true"/>
        </w:rPr>
        <w:t xml:space="preserve">, </w:t>
      </w:r>
      <w:r>
        <w:rPr>
          <w:rtl w:val="true"/>
        </w:rPr>
        <w:t>ושתיקתו לאחר הכרעת הדין הראשונה</w:t>
      </w:r>
      <w:r>
        <w:rPr>
          <w:rtl w:val="true"/>
        </w:rPr>
        <w:t xml:space="preserve">. </w:t>
      </w:r>
      <w:r>
        <w:rPr>
          <w:rtl w:val="true"/>
        </w:rPr>
        <w:t>ברי כי עדויות הראיה הישירות הן המפתח המרכזי להרשעה</w:t>
      </w:r>
      <w:r>
        <w:rPr>
          <w:rtl w:val="true"/>
        </w:rPr>
        <w:t xml:space="preserve">, </w:t>
      </w:r>
      <w:r>
        <w:rPr>
          <w:rtl w:val="true"/>
        </w:rPr>
        <w:t>אם כי לא לבדן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לטענת המערער עדויות אלו</w:t>
      </w:r>
      <w:r>
        <w:rPr>
          <w:rtl w:val="true"/>
        </w:rPr>
        <w:t xml:space="preserve">, </w:t>
      </w:r>
      <w:r>
        <w:rPr>
          <w:rtl w:val="true"/>
        </w:rPr>
        <w:t>יחד ולחוד</w:t>
      </w:r>
      <w:r>
        <w:rPr>
          <w:rtl w:val="true"/>
        </w:rPr>
        <w:t xml:space="preserve">, </w:t>
      </w:r>
      <w:r>
        <w:rPr>
          <w:rtl w:val="true"/>
        </w:rPr>
        <w:t>אינן מספיקות לצורך קשירת המערער לביצוע הירי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ישנם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במסקנתה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?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מתעוררים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המתלונן מסר מספר גרסאות בנוגע לאירוע כפי שנטען</w:t>
      </w:r>
      <w:r>
        <w:rPr>
          <w:rtl w:val="true"/>
        </w:rPr>
        <w:t xml:space="preserve">. </w:t>
      </w:r>
      <w:r>
        <w:rPr>
          <w:rtl w:val="true"/>
        </w:rPr>
        <w:t>ברגעים שמיד לאחר האירוע לא מסר המתלונן כי זיהה את המערער</w:t>
      </w:r>
      <w:r>
        <w:rPr>
          <w:rtl w:val="true"/>
        </w:rPr>
        <w:t xml:space="preserve">, </w:t>
      </w:r>
      <w:r>
        <w:rPr>
          <w:rtl w:val="true"/>
        </w:rPr>
        <w:t>אלא רק ציין את קיומו של הסכסוך עם משפחת המערער</w:t>
      </w:r>
      <w:r>
        <w:rPr>
          <w:rtl w:val="true"/>
        </w:rPr>
        <w:t xml:space="preserve">. </w:t>
      </w:r>
      <w:r>
        <w:rPr>
          <w:rtl w:val="true"/>
        </w:rPr>
        <w:t>טרם כניסתו לניתוח הרפואי</w:t>
      </w:r>
      <w:r>
        <w:rPr>
          <w:rtl w:val="true"/>
        </w:rPr>
        <w:t xml:space="preserve">, </w:t>
      </w:r>
      <w:r>
        <w:rPr>
          <w:rtl w:val="true"/>
        </w:rPr>
        <w:t>מספר ימים אחרי האירוע</w:t>
      </w:r>
      <w:r>
        <w:rPr>
          <w:rtl w:val="true"/>
        </w:rPr>
        <w:t xml:space="preserve">, </w:t>
      </w:r>
      <w:r>
        <w:rPr>
          <w:rtl w:val="true"/>
        </w:rPr>
        <w:t xml:space="preserve">חזר על גרסתו הראשונה ולא הצביע על המערער כמבצע הירי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הראשונה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בגרסה מאוחרת יותר</w:t>
      </w:r>
      <w:r>
        <w:rPr>
          <w:rtl w:val="true"/>
        </w:rPr>
        <w:t xml:space="preserve">, </w:t>
      </w:r>
      <w:r>
        <w:rPr>
          <w:rtl w:val="true"/>
        </w:rPr>
        <w:t>כחודש לאחר האירוע</w:t>
      </w:r>
      <w:r>
        <w:rPr>
          <w:rtl w:val="true"/>
        </w:rPr>
        <w:t xml:space="preserve">, </w:t>
      </w:r>
      <w:r>
        <w:rPr>
          <w:rtl w:val="true"/>
        </w:rPr>
        <w:t xml:space="preserve">מסר המתלונן כי באחד מכלי הרכב היה המערער אשר ירה לעברו מתוך הרכב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השנייה</w:t>
      </w:r>
      <w:r>
        <w:rPr>
          <w:rtl w:val="true"/>
        </w:rPr>
        <w:t xml:space="preserve">). </w:t>
      </w:r>
      <w:r>
        <w:rPr>
          <w:rtl w:val="true"/>
        </w:rPr>
        <w:t>כשנה לאחר האירוע</w:t>
      </w:r>
      <w:r>
        <w:rPr>
          <w:rtl w:val="true"/>
        </w:rPr>
        <w:t xml:space="preserve">, </w:t>
      </w:r>
      <w:r>
        <w:rPr>
          <w:rtl w:val="true"/>
        </w:rPr>
        <w:t>ולקראת עדותו בבית המשפט מסר המתלונן כי ראה את המערער ואדם נוסף יורדים מהרכב כשהם אוחזים בכלי נשק ויורים לכיוונו</w:t>
      </w:r>
      <w:r>
        <w:rPr>
          <w:rtl w:val="true"/>
        </w:rPr>
        <w:t xml:space="preserve">. </w:t>
      </w:r>
      <w:r>
        <w:rPr>
          <w:rtl w:val="true"/>
        </w:rPr>
        <w:t xml:space="preserve">בעדותו בבית המשפט מסר המתלונן שוב כי זיהה את המערער מבצע ירי לעברו כאשר הוא עומד מחוץ לרכב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השלישית</w:t>
      </w:r>
      <w:r>
        <w:rPr>
          <w:rFonts w:cs="Century" w:ascii="Century" w:hAnsi="Century"/>
          <w:sz w:val="22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מספר חודשים לאחר הכרעת הדין הראשונה בה הורשע המערער</w:t>
      </w:r>
      <w:r>
        <w:rPr>
          <w:rtl w:val="true"/>
        </w:rPr>
        <w:t xml:space="preserve">, </w:t>
      </w:r>
      <w:r>
        <w:rPr>
          <w:rtl w:val="true"/>
        </w:rPr>
        <w:t>וכארבעה ימים לאחר חתימת הסכם הסולחה בין המשפחות</w:t>
      </w:r>
      <w:r>
        <w:rPr>
          <w:rtl w:val="true"/>
        </w:rPr>
        <w:t xml:space="preserve">, </w:t>
      </w:r>
      <w:r>
        <w:rPr>
          <w:rtl w:val="true"/>
        </w:rPr>
        <w:t>ניגש המתלונן לתחנת המשטרה ומסר כי טעה בזיהוי</w:t>
      </w:r>
      <w:r>
        <w:rPr>
          <w:rtl w:val="true"/>
        </w:rPr>
        <w:t xml:space="preserve">, </w:t>
      </w:r>
      <w:r>
        <w:rPr>
          <w:rtl w:val="true"/>
        </w:rPr>
        <w:t>וכי המערער אינו היורה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המתלונן זומן להעיד בבית המשפט בעקבות אמרתו 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וחזר על דבריו לפיהם המערער לא ביצע את הירי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לאחר שהתגלה כי המתלונן פנה למשטרה ודיווח על איומים על חייו טרם כריתת הסכם הסולחה</w:t>
      </w:r>
      <w:r>
        <w:rPr>
          <w:rtl w:val="true"/>
        </w:rPr>
        <w:t xml:space="preserve">, </w:t>
      </w:r>
      <w:r>
        <w:rPr>
          <w:rtl w:val="true"/>
        </w:rPr>
        <w:t>הוא זומן לעדות נוספת בה חזר על טעותו בזיהוי המערער</w:t>
      </w:r>
      <w:r>
        <w:rPr>
          <w:rtl w:val="true"/>
        </w:rPr>
        <w:t xml:space="preserve">. </w:t>
      </w:r>
      <w:r>
        <w:rPr>
          <w:rtl w:val="true"/>
        </w:rPr>
        <w:t xml:space="preserve">בעדותו אף מסר המתלונן כי אדם אחר בשם יאסין הוא זה שירה בו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הרביעית</w:t>
      </w:r>
      <w:r>
        <w:rPr>
          <w:rFonts w:cs="Century" w:ascii="Century" w:hAnsi="Century"/>
          <w:sz w:val="22"/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לגישת המערער יש לבטל לחלוטין את עדותו של המתלונן לאור חוסר העקביות שבגרסותיו השונות</w:t>
      </w:r>
      <w:r>
        <w:rPr>
          <w:rtl w:val="true"/>
        </w:rPr>
        <w:t xml:space="preserve">. </w:t>
      </w:r>
      <w:r>
        <w:rPr>
          <w:rtl w:val="true"/>
        </w:rPr>
        <w:t>התשובה לכך היא כי המסגרת מחייבת</w:t>
      </w:r>
      <w:r>
        <w:rPr>
          <w:rtl w:val="true"/>
        </w:rPr>
        <w:t xml:space="preserve">. </w:t>
      </w:r>
      <w:r>
        <w:rPr>
          <w:rtl w:val="true"/>
        </w:rPr>
        <w:t>רוצה לומר כי בית משפט זה בוחן את המקרה בביקורת ערעורית עובדתית</w:t>
      </w:r>
      <w:r>
        <w:rPr>
          <w:rtl w:val="true"/>
        </w:rPr>
        <w:t xml:space="preserve">. </w:t>
      </w:r>
      <w:r>
        <w:rPr>
          <w:rtl w:val="true"/>
        </w:rPr>
        <w:t>אף במשפט הפלילי לערכאה המבררת יתרונות על פני ערכאת הערעור משום שהראשונה ראתה ושמעה את העדים והתרשמה מהם ישירות</w:t>
      </w:r>
      <w:r>
        <w:rPr>
          <w:rtl w:val="true"/>
        </w:rPr>
        <w:t xml:space="preserve">. </w:t>
      </w:r>
      <w:r>
        <w:rPr>
          <w:rtl w:val="true"/>
        </w:rPr>
        <w:t>בראיה זו השאלה היא האם נפלה טעות בדין במסקנה אליה הגיע בית המשפט המחוזי</w:t>
      </w:r>
      <w:r>
        <w:rPr>
          <w:rtl w:val="true"/>
        </w:rPr>
        <w:t xml:space="preserve">. </w:t>
      </w:r>
      <w:r>
        <w:rPr>
          <w:rtl w:val="true"/>
        </w:rPr>
        <w:t>האם לנוכח קיומן של גרסאותיו השונות של המתלונן אין להאמין לו</w:t>
      </w:r>
      <w:r>
        <w:rPr>
          <w:rtl w:val="true"/>
        </w:rPr>
        <w:t xml:space="preserve">, </w:t>
      </w:r>
      <w:r>
        <w:rPr>
          <w:rtl w:val="true"/>
        </w:rPr>
        <w:t>כאילו הגרסה האחת מבטלת את רעותה</w:t>
      </w:r>
      <w:r>
        <w:rPr>
          <w:rtl w:val="true"/>
        </w:rPr>
        <w:t xml:space="preserve">, </w:t>
      </w:r>
      <w:r>
        <w:rPr>
          <w:rtl w:val="true"/>
        </w:rPr>
        <w:t>וכן להיפך</w:t>
      </w:r>
      <w:r>
        <w:rPr>
          <w:rtl w:val="true"/>
        </w:rPr>
        <w:t xml:space="preserve">. </w:t>
      </w:r>
      <w:r>
        <w:rPr>
          <w:rtl w:val="true"/>
        </w:rPr>
        <w:t>אולם לבית משפט המברר סמכות רחבה בקביעת העדויות</w:t>
      </w:r>
      <w:r>
        <w:rPr>
          <w:rtl w:val="true"/>
        </w:rPr>
        <w:t xml:space="preserve">. </w:t>
      </w:r>
      <w:r>
        <w:rPr>
          <w:rtl w:val="true"/>
        </w:rPr>
        <w:t>רשאי הוא להעדיף גרסה אחת של עד על פני גרסאות אחרות</w:t>
      </w:r>
      <w:r>
        <w:rPr>
          <w:rtl w:val="true"/>
        </w:rPr>
        <w:t xml:space="preserve">, </w:t>
      </w:r>
      <w:r>
        <w:rPr>
          <w:rtl w:val="true"/>
        </w:rPr>
        <w:t>ואין כלל לפיו ריבוי גרסאות מוביל לשלילת כל אחת מהן</w:t>
      </w:r>
      <w:r>
        <w:rPr>
          <w:rtl w:val="true"/>
        </w:rPr>
        <w:t xml:space="preserve">. </w:t>
      </w:r>
      <w:r>
        <w:rPr>
          <w:rtl w:val="true"/>
        </w:rPr>
        <w:t>מכאן המסקנה כי על אף חוסר העקביות</w:t>
      </w:r>
      <w:r>
        <w:rPr>
          <w:rtl w:val="true"/>
        </w:rPr>
        <w:t xml:space="preserve">, </w:t>
      </w:r>
      <w:r>
        <w:rPr>
          <w:rtl w:val="true"/>
        </w:rPr>
        <w:t>לעדותו של המתלונן עדיין קיים משקל בלתי מבוטל התומך בהרשעת המערער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בחינת התפתחות גרסאותיו של המתלונן מלמדת כי ישנם הסברים בעלי משקל להבדלים ביניהן</w:t>
      </w:r>
      <w:r>
        <w:rPr>
          <w:rtl w:val="true"/>
        </w:rPr>
        <w:t xml:space="preserve">. </w:t>
      </w:r>
      <w:r>
        <w:rPr>
          <w:rtl w:val="true"/>
        </w:rPr>
        <w:t>הסברים אלו</w:t>
      </w:r>
      <w:r>
        <w:rPr>
          <w:rtl w:val="true"/>
        </w:rPr>
        <w:t xml:space="preserve">, </w:t>
      </w:r>
      <w:r>
        <w:rPr>
          <w:rtl w:val="true"/>
        </w:rPr>
        <w:t>כפי שיובהר</w:t>
      </w:r>
      <w:r>
        <w:rPr>
          <w:rtl w:val="true"/>
        </w:rPr>
        <w:t xml:space="preserve">, </w:t>
      </w:r>
      <w:r>
        <w:rPr>
          <w:rtl w:val="true"/>
        </w:rPr>
        <w:t>מצביעים על כך שהגרסאות השנייה והשלישית</w:t>
      </w:r>
      <w:r>
        <w:rPr>
          <w:rtl w:val="true"/>
        </w:rPr>
        <w:t xml:space="preserve">, </w:t>
      </w:r>
      <w:r>
        <w:rPr>
          <w:rtl w:val="true"/>
        </w:rPr>
        <w:t>אשר ההבדלים ביניהם זניחים</w:t>
      </w:r>
      <w:r>
        <w:rPr>
          <w:rtl w:val="true"/>
        </w:rPr>
        <w:t xml:space="preserve">, </w:t>
      </w:r>
      <w:r>
        <w:rPr>
          <w:rtl w:val="true"/>
        </w:rPr>
        <w:t>תומכות בזיהויו של המערער</w:t>
      </w:r>
      <w:r>
        <w:rPr>
          <w:rtl w:val="true"/>
        </w:rPr>
        <w:t xml:space="preserve">, </w:t>
      </w:r>
      <w:r>
        <w:rPr>
          <w:rtl w:val="true"/>
        </w:rPr>
        <w:t>וניתן על פי דין להעניק לגרסאות אלו משקל עיקרי</w:t>
      </w:r>
      <w:r>
        <w:rPr>
          <w:rtl w:val="true"/>
        </w:rPr>
        <w:t xml:space="preserve">. </w:t>
      </w:r>
      <w:r>
        <w:rPr>
          <w:rtl w:val="true"/>
        </w:rPr>
        <w:t>עולה כי כך התרשם בית המשפט המחוזי</w:t>
      </w:r>
      <w:r>
        <w:rPr>
          <w:rtl w:val="true"/>
        </w:rPr>
        <w:t xml:space="preserve">, </w:t>
      </w:r>
      <w:r>
        <w:rPr>
          <w:rtl w:val="true"/>
        </w:rPr>
        <w:t>והעניין על פניו אינו מגלה טעות בדין</w:t>
      </w:r>
      <w:r>
        <w:rPr>
          <w:rtl w:val="true"/>
        </w:rPr>
        <w:t xml:space="preserve">. </w:t>
      </w:r>
      <w:r>
        <w:rPr>
          <w:rtl w:val="true"/>
        </w:rPr>
        <w:t>בהקשר זה יוזכר כי אין אנו עוסקים במצב בו עד מזגזג בין גרסאות הלוך ושוב</w:t>
      </w:r>
      <w:r>
        <w:rPr>
          <w:rtl w:val="true"/>
        </w:rPr>
        <w:t xml:space="preserve">, </w:t>
      </w:r>
      <w:r>
        <w:rPr>
          <w:rtl w:val="true"/>
        </w:rPr>
        <w:t>אלא בהתפתחות סדורה בעלת היגיון פנימי משלה</w:t>
      </w:r>
      <w:r>
        <w:rPr>
          <w:rtl w:val="true"/>
        </w:rPr>
        <w:t xml:space="preserve">. </w:t>
      </w:r>
      <w:r>
        <w:rPr>
          <w:rtl w:val="true"/>
        </w:rPr>
        <w:t>תחילה המתלונן הכחיש כי ידע מי היורה</w:t>
      </w:r>
      <w:r>
        <w:rPr>
          <w:rtl w:val="true"/>
        </w:rPr>
        <w:t xml:space="preserve">. </w:t>
      </w:r>
      <w:r>
        <w:rPr>
          <w:rtl w:val="true"/>
        </w:rPr>
        <w:t>לאחר מכן זיהה אותו</w:t>
      </w:r>
      <w:r>
        <w:rPr>
          <w:rtl w:val="true"/>
        </w:rPr>
        <w:t xml:space="preserve">. </w:t>
      </w:r>
      <w:r>
        <w:rPr>
          <w:rtl w:val="true"/>
        </w:rPr>
        <w:t>ורק בהמשך לאחר הסולחה שינה את דעתו שוב</w:t>
      </w:r>
      <w:r>
        <w:rPr>
          <w:rtl w:val="true"/>
        </w:rPr>
        <w:t xml:space="preserve">, </w:t>
      </w:r>
      <w:r>
        <w:rPr>
          <w:rtl w:val="true"/>
        </w:rPr>
        <w:t>וחזר להיעדר היכולת לזהות את היורה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נרחיב על התפתחות הגרסאות שמסר המתלונן</w:t>
      </w:r>
      <w:r>
        <w:rPr>
          <w:rtl w:val="true"/>
        </w:rPr>
        <w:t xml:space="preserve">. </w:t>
      </w:r>
      <w:r>
        <w:rPr>
          <w:rtl w:val="true"/>
        </w:rPr>
        <w:t>בשלב הראשון בתקופה הסמוכה לאירוע המתלונן מסר</w:t>
      </w:r>
      <w:r>
        <w:rPr>
          <w:rtl w:val="true"/>
        </w:rPr>
        <w:t xml:space="preserve">, </w:t>
      </w:r>
      <w:r>
        <w:rPr>
          <w:rtl w:val="true"/>
        </w:rPr>
        <w:t>וזוהי גרסתו הראשונה</w:t>
      </w:r>
      <w:r>
        <w:rPr>
          <w:rtl w:val="true"/>
        </w:rPr>
        <w:t xml:space="preserve">, </w:t>
      </w:r>
      <w:r>
        <w:rPr>
          <w:rtl w:val="true"/>
        </w:rPr>
        <w:t>כי לא זיהה את היורים</w:t>
      </w:r>
      <w:r>
        <w:rPr>
          <w:rtl w:val="true"/>
        </w:rPr>
        <w:t xml:space="preserve">. </w:t>
      </w:r>
      <w:r>
        <w:rPr>
          <w:rtl w:val="true"/>
        </w:rPr>
        <w:t>בתקופה זו המתלונן עבר מספר ניתוחים משמעותיים כחלק מהטיפול בחבלות הירי</w:t>
      </w:r>
      <w:r>
        <w:rPr>
          <w:rtl w:val="true"/>
        </w:rPr>
        <w:t xml:space="preserve">, </w:t>
      </w:r>
      <w:r>
        <w:rPr>
          <w:rtl w:val="true"/>
        </w:rPr>
        <w:t>כאשר מצבו הגופני והבריאותי היה בכי רע</w:t>
      </w:r>
      <w:r>
        <w:rPr>
          <w:rtl w:val="true"/>
        </w:rPr>
        <w:t xml:space="preserve">. </w:t>
      </w:r>
      <w:r>
        <w:rPr>
          <w:rtl w:val="true"/>
        </w:rPr>
        <w:t>המתלונן נפצע מהירי בבטנו</w:t>
      </w:r>
      <w:r>
        <w:rPr>
          <w:rtl w:val="true"/>
        </w:rPr>
        <w:t xml:space="preserve">, </w:t>
      </w:r>
      <w:r>
        <w:rPr>
          <w:rtl w:val="true"/>
        </w:rPr>
        <w:t>בגבו ובאמתו</w:t>
      </w:r>
      <w:r>
        <w:rPr>
          <w:rtl w:val="true"/>
        </w:rPr>
        <w:t xml:space="preserve">, </w:t>
      </w:r>
      <w:r>
        <w:rPr>
          <w:rtl w:val="true"/>
        </w:rPr>
        <w:t>כאשר פציעות אלו הובילו לכריתת קטע מרכזי מהמעי הדק של המתלונן</w:t>
      </w:r>
      <w:r>
        <w:rPr>
          <w:rtl w:val="true"/>
        </w:rPr>
        <w:t xml:space="preserve">. </w:t>
      </w:r>
      <w:r>
        <w:rPr>
          <w:rtl w:val="true"/>
        </w:rPr>
        <w:t>הירי גרם למתלונן לשברים בעצם השכם</w:t>
      </w:r>
      <w:r>
        <w:rPr>
          <w:rtl w:val="true"/>
        </w:rPr>
        <w:t xml:space="preserve">, </w:t>
      </w:r>
      <w:r>
        <w:rPr>
          <w:rtl w:val="true"/>
        </w:rPr>
        <w:t>ובעמוד השדרה המותני</w:t>
      </w:r>
      <w:r>
        <w:rPr>
          <w:rtl w:val="true"/>
        </w:rPr>
        <w:t xml:space="preserve">. </w:t>
      </w:r>
      <w:r>
        <w:rPr>
          <w:rtl w:val="true"/>
        </w:rPr>
        <w:t>לאחר שהתאושש המתלונן במידה מסוימת מטראומת האירוע</w:t>
      </w:r>
      <w:r>
        <w:rPr>
          <w:rtl w:val="true"/>
        </w:rPr>
        <w:t xml:space="preserve">, </w:t>
      </w:r>
      <w:r>
        <w:rPr>
          <w:rtl w:val="true"/>
        </w:rPr>
        <w:t>דיווח על זיהוי היורים</w:t>
      </w:r>
      <w:r>
        <w:rPr>
          <w:rtl w:val="true"/>
        </w:rPr>
        <w:t xml:space="preserve">, </w:t>
      </w:r>
      <w:r>
        <w:rPr>
          <w:rtl w:val="true"/>
        </w:rPr>
        <w:t>זו גרסתו השנייה</w:t>
      </w:r>
      <w:r>
        <w:rPr>
          <w:rtl w:val="true"/>
        </w:rPr>
        <w:t xml:space="preserve">. </w:t>
      </w:r>
      <w:r>
        <w:rPr>
          <w:rtl w:val="true"/>
        </w:rPr>
        <w:t>אומנם הייתה התפתחות מסוימת גם בגרסה זו שכן תחילה דיווח כי הירי בוצע מתוך הרכב</w:t>
      </w:r>
      <w:r>
        <w:rPr>
          <w:rtl w:val="true"/>
        </w:rPr>
        <w:t xml:space="preserve">, </w:t>
      </w:r>
      <w:r>
        <w:rPr>
          <w:rtl w:val="true"/>
        </w:rPr>
        <w:t>ולאחר מכן בגרסתו השלישית דיווח שהירי בוצע מחוץ לרכב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אין בשינוי זה בכדי להשפיע באופן ממשי על מהימנות זיהויו את המערער כמבצע הירי</w:t>
      </w:r>
      <w:r>
        <w:rPr>
          <w:rtl w:val="true"/>
        </w:rPr>
        <w:t xml:space="preserve">. </w:t>
      </w:r>
      <w:r>
        <w:rPr>
          <w:rtl w:val="true"/>
        </w:rPr>
        <w:t>יצוין כי שני עדי ראייה</w:t>
      </w:r>
      <w:r>
        <w:rPr>
          <w:rtl w:val="true"/>
        </w:rPr>
        <w:t xml:space="preserve">, </w:t>
      </w:r>
      <w:r>
        <w:rPr>
          <w:rtl w:val="true"/>
        </w:rPr>
        <w:t>אלעוברה וויזל</w:t>
      </w:r>
      <w:r>
        <w:rPr>
          <w:rtl w:val="true"/>
        </w:rPr>
        <w:t xml:space="preserve">, </w:t>
      </w:r>
      <w:r>
        <w:rPr>
          <w:rtl w:val="true"/>
        </w:rPr>
        <w:t>העידו כי היורים ירדו מהרכב וביצעו את הירי מבחוץ</w:t>
      </w:r>
      <w:r>
        <w:rPr>
          <w:rtl w:val="true"/>
        </w:rPr>
        <w:t xml:space="preserve">, </w:t>
      </w:r>
      <w:r>
        <w:rPr>
          <w:rtl w:val="true"/>
        </w:rPr>
        <w:t>באופן התומך בגרסתו השלישית של המתלונן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בנוגע לגרסה הרביעית</w:t>
      </w:r>
      <w:r>
        <w:rPr>
          <w:rtl w:val="true"/>
        </w:rPr>
        <w:t xml:space="preserve">, </w:t>
      </w:r>
      <w:r>
        <w:rPr>
          <w:rtl w:val="true"/>
        </w:rPr>
        <w:t>בה חזר בו המתלונן מהזיהוי</w:t>
      </w:r>
      <w:r>
        <w:rPr>
          <w:rtl w:val="true"/>
        </w:rPr>
        <w:t xml:space="preserve">, </w:t>
      </w:r>
      <w:r>
        <w:rPr>
          <w:rtl w:val="true"/>
        </w:rPr>
        <w:t>ניתן היה לתת את הדעת לעיתויה לאחר עריכת הסכם הסולחה</w:t>
      </w:r>
      <w:r>
        <w:rPr>
          <w:rtl w:val="true"/>
        </w:rPr>
        <w:t xml:space="preserve">. </w:t>
      </w:r>
      <w:r>
        <w:rPr>
          <w:rtl w:val="true"/>
        </w:rPr>
        <w:t>ויוזכר התנאי בהסכם לפיו המתלונן יעשה ככל הנדרש על מנת לסייע למערער בהליכים המשפטיים המתנהלים נגדו</w:t>
      </w:r>
      <w:r>
        <w:rPr>
          <w:rtl w:val="true"/>
        </w:rPr>
        <w:t xml:space="preserve">. </w:t>
      </w:r>
      <w:r>
        <w:rPr>
          <w:rtl w:val="true"/>
        </w:rPr>
        <w:t>לכך מצטרף גם התנאי בהסכם הנוגע לוויתור על החוב של משפחת המתלונן כלפי משפחת המערער בגין התקרית בסופרמרקט</w:t>
      </w:r>
      <w:r>
        <w:rPr>
          <w:rtl w:val="true"/>
        </w:rPr>
        <w:t xml:space="preserve">. </w:t>
      </w:r>
      <w:r>
        <w:rPr>
          <w:rtl w:val="true"/>
        </w:rPr>
        <w:t>ההסברים שנתן המתלונן לשינוי גרסתו אחרי עריכת הסכם הסולחה אינם בהכרח משכנעים</w:t>
      </w:r>
      <w:r>
        <w:rPr>
          <w:rtl w:val="true"/>
        </w:rPr>
        <w:t xml:space="preserve">. </w:t>
      </w:r>
      <w:r>
        <w:rPr>
          <w:rtl w:val="true"/>
        </w:rPr>
        <w:t>המתלונן מסר בעדותו כי שינוי הגרסה נעשה בעקבות בדיקות שערך עם אנשי הכפר והשייחים</w:t>
      </w:r>
      <w:r>
        <w:rPr>
          <w:rtl w:val="true"/>
        </w:rPr>
        <w:t xml:space="preserve">, </w:t>
      </w:r>
      <w:r>
        <w:rPr>
          <w:rtl w:val="true"/>
        </w:rPr>
        <w:t>אשר הוכיחו לו כי המערער לא ירה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>: "</w:t>
      </w:r>
      <w:r>
        <w:rPr>
          <w:rtl w:val="true"/>
        </w:rPr>
        <w:t>הם קבעו שדיאב לא היה ולא ירה</w:t>
      </w:r>
      <w:r>
        <w:rPr>
          <w:rtl w:val="true"/>
        </w:rPr>
        <w:t xml:space="preserve">. </w:t>
      </w:r>
      <w:r>
        <w:rPr>
          <w:rtl w:val="true"/>
        </w:rPr>
        <w:t>הם הוכיחו לי בכל מיני דברים</w:t>
      </w:r>
      <w:r>
        <w:rPr>
          <w:rtl w:val="true"/>
        </w:rPr>
        <w:t xml:space="preserve">. </w:t>
      </w:r>
      <w:r>
        <w:rPr>
          <w:rtl w:val="true"/>
        </w:rPr>
        <w:t>איך אני יכול להסביר עכשיו</w:t>
      </w:r>
      <w:r>
        <w:rPr>
          <w:rtl w:val="true"/>
        </w:rPr>
        <w:t xml:space="preserve">. </w:t>
      </w:r>
      <w:r>
        <w:rPr>
          <w:rtl w:val="true"/>
        </w:rPr>
        <w:t>הם הוכיחו לי את כל הדברים האלה שלא היה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179</w:t>
      </w:r>
      <w:r>
        <w:rPr>
          <w:rtl w:val="true"/>
        </w:rPr>
        <w:t xml:space="preserve"> </w:t>
      </w:r>
      <w:r>
        <w:rPr>
          <w:rtl w:val="true"/>
        </w:rPr>
        <w:t>לפרוטוקול בית משפט קמא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והשלישית</w:t>
      </w:r>
      <w:r>
        <w:rPr>
          <w:rtl w:val="true"/>
        </w:rPr>
        <w:t xml:space="preserve">, </w:t>
      </w:r>
      <w:r>
        <w:rPr>
          <w:rtl w:val="true"/>
        </w:rPr>
        <w:t>ואינה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ודיווח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הגרסאות</w:t>
      </w:r>
      <w:r>
        <w:rPr>
          <w:rtl w:val="true"/>
        </w:rPr>
        <w:t xml:space="preserve">, </w:t>
      </w:r>
      <w:r>
        <w:rPr>
          <w:rtl w:val="true"/>
        </w:rPr>
        <w:t>והגיע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גרעין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כמובן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מלאכתו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סארה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סארה מסרה לשוטרים שפגשו את המשפחה מיד לאחר הירי כי ראתה שני רכבים</w:t>
      </w:r>
      <w:r>
        <w:rPr>
          <w:rtl w:val="true"/>
        </w:rPr>
        <w:t xml:space="preserve">, </w:t>
      </w:r>
      <w:r>
        <w:rPr>
          <w:rtl w:val="true"/>
        </w:rPr>
        <w:t xml:space="preserve">ולא זיהתה את החשודים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סארה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הראשונה</w:t>
      </w:r>
      <w:r>
        <w:rPr>
          <w:rtl w:val="true"/>
        </w:rPr>
        <w:t xml:space="preserve">).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על פי עדותו של רס</w:t>
      </w:r>
      <w:r>
        <w:rPr>
          <w:rtl w:val="true"/>
        </w:rPr>
        <w:t>"</w:t>
      </w:r>
      <w:r>
        <w:rPr>
          <w:rtl w:val="true"/>
        </w:rPr>
        <w:t>מ וולדניצקי אשר שוחח עם סארה מיד לאחר האירוע היא זיהתה את המערער</w:t>
      </w:r>
      <w:r>
        <w:rPr>
          <w:rtl w:val="true"/>
        </w:rPr>
        <w:t xml:space="preserve">. </w:t>
      </w:r>
      <w:r>
        <w:rPr>
          <w:rtl w:val="true"/>
        </w:rPr>
        <w:t>יש לציין כי עד הראייה אלעוברה העיד שמיד לאחר הירי סארה אמרה לו שאינה יודעת מי היורים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בהמשכו של יום האירוע מסרה סארה הודעה נוספת בתחנת המשטרה</w:t>
      </w:r>
      <w:r>
        <w:rPr>
          <w:rtl w:val="true"/>
        </w:rPr>
        <w:t xml:space="preserve">, </w:t>
      </w:r>
      <w:r>
        <w:rPr>
          <w:rtl w:val="true"/>
        </w:rPr>
        <w:t>לפיה זיהתה את המערער בזירת האירוע</w:t>
      </w:r>
      <w:r>
        <w:rPr>
          <w:rtl w:val="true"/>
        </w:rPr>
        <w:t xml:space="preserve">. </w:t>
      </w:r>
      <w:r>
        <w:rPr>
          <w:rtl w:val="true"/>
        </w:rPr>
        <w:t>מספר ימים לאחר האירוע נחקרה סארה פעם נוספת</w:t>
      </w:r>
      <w:r>
        <w:rPr>
          <w:rtl w:val="true"/>
        </w:rPr>
        <w:t xml:space="preserve">, </w:t>
      </w:r>
      <w:r>
        <w:rPr>
          <w:rtl w:val="true"/>
        </w:rPr>
        <w:t>וחזרה על גרסתה לפיה זיהתה את המערער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סארה ציינה כי גם המתלונן אמר לה שהמערער הוא שירה עליהם</w:t>
      </w:r>
      <w:r>
        <w:rPr>
          <w:rtl w:val="true"/>
        </w:rPr>
        <w:t xml:space="preserve">. </w:t>
      </w:r>
      <w:r>
        <w:rPr>
          <w:rtl w:val="true"/>
        </w:rPr>
        <w:t>כשלושה שבועות אחרי האירוע חזרה שוב סארה על דבריה כי זיהתה את המערער בזירת האירוע</w:t>
      </w:r>
      <w:r>
        <w:rPr>
          <w:rtl w:val="true"/>
        </w:rPr>
        <w:t xml:space="preserve">. </w:t>
      </w:r>
      <w:r>
        <w:rPr>
          <w:rtl w:val="true"/>
        </w:rPr>
        <w:t xml:space="preserve">בעדותה בבית המשפט חזרה על גרסה זו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סארה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השנייה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היורים</w:t>
      </w:r>
      <w:r>
        <w:rPr>
          <w:rtl w:val="true"/>
        </w:rPr>
        <w:t xml:space="preserve">, </w:t>
      </w:r>
      <w:r>
        <w:rPr>
          <w:rtl w:val="true"/>
        </w:rPr>
        <w:t>ומסרה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תמיכה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אלעוברה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היורים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וולדניצקי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שזיהתה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אלעוברה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ועקבית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סארה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וולדניצקי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בדומה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וטלאל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הזיהוי</w:t>
      </w:r>
      <w:r>
        <w:rPr>
          <w:rtl w:val="true"/>
        </w:rPr>
        <w:t xml:space="preserve">.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טלאל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בדומה למתלונן ולסארה</w:t>
      </w:r>
      <w:r>
        <w:rPr>
          <w:rtl w:val="true"/>
        </w:rPr>
        <w:t xml:space="preserve">, </w:t>
      </w:r>
      <w:r>
        <w:rPr>
          <w:rtl w:val="true"/>
        </w:rPr>
        <w:t>גם טלאל לא מסר מיד לאחר האירוע כי זיהה את המערער</w:t>
      </w:r>
      <w:r>
        <w:rPr>
          <w:rtl w:val="true"/>
        </w:rPr>
        <w:t xml:space="preserve">. </w:t>
      </w:r>
      <w:r>
        <w:rPr>
          <w:rtl w:val="true"/>
        </w:rPr>
        <w:t>יום לאחר האירוע מסר טלאל כי זיהה את המערער ברכב</w:t>
      </w:r>
      <w:r>
        <w:rPr>
          <w:rtl w:val="true"/>
        </w:rPr>
        <w:t xml:space="preserve">, </w:t>
      </w:r>
      <w:r>
        <w:rPr>
          <w:rtl w:val="true"/>
        </w:rPr>
        <w:t>אולם לא ראה אותו יורה</w:t>
      </w:r>
      <w:r>
        <w:rPr>
          <w:rtl w:val="true"/>
        </w:rPr>
        <w:t xml:space="preserve">. </w:t>
      </w:r>
      <w:r>
        <w:rPr>
          <w:rtl w:val="true"/>
        </w:rPr>
        <w:t>על גרסה זו חזר בחקירות נוספות</w:t>
      </w:r>
      <w:r>
        <w:rPr>
          <w:rtl w:val="true"/>
        </w:rPr>
        <w:t xml:space="preserve">, </w:t>
      </w:r>
      <w:r>
        <w:rPr>
          <w:rtl w:val="true"/>
        </w:rPr>
        <w:t>והיה עקבי לגבי העובדה שלא ראה מי ביצע את הירי עצמו</w:t>
      </w:r>
      <w:r>
        <w:rPr>
          <w:rtl w:val="true"/>
        </w:rPr>
        <w:t xml:space="preserve">, </w:t>
      </w:r>
      <w:r>
        <w:rPr>
          <w:rtl w:val="true"/>
        </w:rPr>
        <w:t>אלא שזיהויו של המערער רק מצביע על היותו בזירה</w:t>
      </w:r>
      <w:r>
        <w:rPr>
          <w:rtl w:val="true"/>
        </w:rPr>
        <w:t xml:space="preserve">. </w:t>
      </w:r>
      <w:r>
        <w:rPr>
          <w:rtl w:val="true"/>
        </w:rPr>
        <w:t>עדותו של טלאל הותירה על בית משפט קמא רושם מהימן</w:t>
      </w:r>
      <w:r>
        <w:rPr>
          <w:rtl w:val="true"/>
        </w:rPr>
        <w:t xml:space="preserve">, </w:t>
      </w:r>
      <w:r>
        <w:rPr>
          <w:rtl w:val="true"/>
        </w:rPr>
        <w:t>וכך גם ההסבר לעובדה שלא מסר לשוטרים מיד לאחר האירוע שהמערער היה בזירה עקב הלחץ והפחד שחש בעקבות הירי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זוהמה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לפיהם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לזיהומה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בוודאות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היורים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ומשקר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שזיהה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?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לסיכום שלב זה</w:t>
      </w:r>
      <w:r>
        <w:rPr>
          <w:rtl w:val="true"/>
        </w:rPr>
        <w:t xml:space="preserve">, </w:t>
      </w:r>
      <w:r>
        <w:rPr>
          <w:rtl w:val="true"/>
        </w:rPr>
        <w:t>דעתי היא כי כדין נקבעו מסקנותיו של בית משפט קמא ביחס לעדויות הנוסעים ברכב</w:t>
      </w:r>
      <w:r>
        <w:rPr>
          <w:rtl w:val="true"/>
        </w:rPr>
        <w:t xml:space="preserve">, </w:t>
      </w:r>
      <w:r>
        <w:rPr>
          <w:rtl w:val="true"/>
        </w:rPr>
        <w:t>כמזהות את המערער בזירת האירוע</w:t>
      </w:r>
      <w:r>
        <w:rPr>
          <w:rtl w:val="true"/>
        </w:rPr>
        <w:t xml:space="preserve">. </w:t>
      </w:r>
      <w:r>
        <w:rPr>
          <w:rtl w:val="true"/>
        </w:rPr>
        <w:t>כפי שיוסבר בקצרה בהמשך</w:t>
      </w:r>
      <w:r>
        <w:rPr>
          <w:rtl w:val="true"/>
        </w:rPr>
        <w:t xml:space="preserve">, </w:t>
      </w:r>
      <w:r>
        <w:rPr>
          <w:rtl w:val="true"/>
        </w:rPr>
        <w:t>אף שישנם קשיים בעדויות אלו</w:t>
      </w:r>
      <w:r>
        <w:rPr>
          <w:rtl w:val="true"/>
        </w:rPr>
        <w:t xml:space="preserve">, </w:t>
      </w:r>
      <w:r>
        <w:rPr>
          <w:rtl w:val="true"/>
        </w:rPr>
        <w:t>הרשעת המערער מבוססת גם על ראיות נוספות המצביעות מעל לספק סביר כי המערער ביצע את הירי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היורים</w:t>
      </w:r>
      <w:r>
        <w:rPr>
          <w:rtl w:val="true"/>
        </w:rPr>
        <w:t xml:space="preserve">, </w:t>
      </w:r>
      <w:r>
        <w:rPr>
          <w:rtl w:val="true"/>
        </w:rPr>
        <w:t>צבע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מהצד</w:t>
      </w:r>
      <w:r>
        <w:rPr>
          <w:rtl w:val="true"/>
        </w:rPr>
        <w:t xml:space="preserve">, </w:t>
      </w:r>
      <w:r>
        <w:rPr>
          <w:rtl w:val="true"/>
        </w:rPr>
        <w:t>אלעוברה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וויזל</w:t>
      </w:r>
      <w:r>
        <w:rPr>
          <w:rtl w:val="true"/>
        </w:rPr>
        <w:t xml:space="preserve">. </w:t>
      </w:r>
      <w:r>
        <w:rPr>
          <w:rtl w:val="true"/>
        </w:rPr>
        <w:t>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אוסיף אמירה כללית בהתייחס לטענות המערער המופנות כלפי השוני בגרסאותיהם של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סארה וטלאל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כאשר שלושתם נכחו באותו האירוע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בהיבט זה המערער מנסה להצביע על ההבדלים בין עדויות שלושת העדים כהוכחה לחוסר מהימנותם ודיוקם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חולק כי האירוע אכן התרחש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המחלוקת היא בנוגע לזיהוי המערער כמעורב באירוע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ההבדלים בין גרסאותיהם של העדים אינם מתייחסים רק לפרטים הנוגעים למערער עצמו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כגון האם ירה בפועל או רק נכח בזירה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נוגעים לפרטים נוספים כגון מספר היורים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מספר כלי הרכב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והמקום ממנו בוצע הירי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מטבע הדברים עד ראייה אשר גם נפגע במהלך האירוע לא בהכרח מצליח לקלוט בחושיו באופן מדויק כל פרט ופרט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ייתכן שהבחין בשלושה יורים ולא שם לב לרביעי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וייתכן שהיה מרוכז בירי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שם לב בדיוק מהיכן בוצע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העיקר הוא שאין בכך בכדי לשלול את עדותו לגבי כל הפרטים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זאת בפרט כאשר המרכיב המרכזי בעדויות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זיהוי המערער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הינו זהה בין שלושתם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נוספות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 העלה מספר טענות נוספות המצביעות לגישתו על אי</w:t>
      </w:r>
      <w:r>
        <w:rPr>
          <w:rtl w:val="true"/>
        </w:rPr>
        <w:t>-</w:t>
      </w:r>
      <w:r>
        <w:rPr>
          <w:rtl w:val="true"/>
        </w:rPr>
        <w:t>מעורבותו באירוע הירי</w:t>
      </w:r>
      <w:r>
        <w:rPr>
          <w:rtl w:val="true"/>
        </w:rPr>
        <w:t xml:space="preserve">. </w:t>
      </w:r>
      <w:r>
        <w:rPr>
          <w:rtl w:val="true"/>
        </w:rPr>
        <w:t>ראשית נטען שלפי תיחום זמני האירוע</w:t>
      </w:r>
      <w:r>
        <w:rPr>
          <w:rtl w:val="true"/>
        </w:rPr>
        <w:t xml:space="preserve">, </w:t>
      </w:r>
      <w:r>
        <w:rPr>
          <w:rtl w:val="true"/>
        </w:rPr>
        <w:t>יחד עם הנתונים לגבי שיחות הטלפון שביצע המערער</w:t>
      </w:r>
      <w:r>
        <w:rPr>
          <w:rtl w:val="true"/>
        </w:rPr>
        <w:t xml:space="preserve">, </w:t>
      </w:r>
      <w:r>
        <w:rPr>
          <w:rtl w:val="true"/>
        </w:rPr>
        <w:t>עולה כי אין אפשרות שהוא זה שביצע את הירי</w:t>
      </w:r>
      <w:r>
        <w:rPr>
          <w:rtl w:val="true"/>
        </w:rPr>
        <w:t xml:space="preserve">. </w:t>
      </w:r>
      <w:r>
        <w:rPr>
          <w:rtl w:val="true"/>
        </w:rPr>
        <w:t>שנית נטען כי על פי דו</w:t>
      </w:r>
      <w:r>
        <w:rPr>
          <w:rtl w:val="true"/>
        </w:rPr>
        <w:t>"</w:t>
      </w:r>
      <w:r>
        <w:rPr>
          <w:rtl w:val="true"/>
        </w:rPr>
        <w:t>ח מומחה הנשק</w:t>
      </w:r>
      <w:r>
        <w:rPr>
          <w:rtl w:val="true"/>
        </w:rPr>
        <w:t xml:space="preserve">, </w:t>
      </w:r>
      <w:r>
        <w:rPr>
          <w:rtl w:val="true"/>
        </w:rPr>
        <w:t>התרמילים שנמצאו בזירת הירי תואמים שני כלי נשק שביצעו את הירי בתקרית בסופרמרקט</w:t>
      </w:r>
      <w:r>
        <w:rPr>
          <w:rtl w:val="true"/>
        </w:rPr>
        <w:t xml:space="preserve">, </w:t>
      </w:r>
      <w:r>
        <w:rPr>
          <w:rtl w:val="true"/>
        </w:rPr>
        <w:t>אשר עמדה במוקד הסכסוך בין המשפחות</w:t>
      </w:r>
      <w:r>
        <w:rPr>
          <w:rtl w:val="true"/>
        </w:rPr>
        <w:t xml:space="preserve">. </w:t>
      </w:r>
      <w:r>
        <w:rPr>
          <w:rtl w:val="true"/>
        </w:rPr>
        <w:t>לפי טענה זו לא ייתכן שהמערער</w:t>
      </w:r>
      <w:r>
        <w:rPr>
          <w:rtl w:val="true"/>
        </w:rPr>
        <w:t xml:space="preserve">, </w:t>
      </w:r>
      <w:r>
        <w:rPr>
          <w:rtl w:val="true"/>
        </w:rPr>
        <w:t xml:space="preserve">אשר משתייך למשפחה היריבה אשר נפגעה מהירי בסופרמרקט </w:t>
      </w:r>
      <w:r>
        <w:rPr>
          <w:rtl w:val="true"/>
        </w:rPr>
        <w:t>–</w:t>
      </w:r>
      <w:r>
        <w:rPr>
          <w:rtl w:val="true"/>
        </w:rPr>
        <w:t xml:space="preserve"> הוא שעשה שימוש באותם כלי נשק ששימשו לפגוע במשפחתו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השעות</w:t>
      </w:r>
      <w:r>
        <w:rPr>
          <w:rFonts w:eastAsia="Arial TUR;Arial" w:cs="Arial TUR;Arial"/>
          <w:rtl w:val="true"/>
        </w:rPr>
        <w:t xml:space="preserve"> </w:t>
      </w:r>
      <w:r>
        <w:rPr/>
        <w:t>10:52-10:49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הדיווחים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ולמוקד</w:t>
      </w:r>
      <w:r>
        <w:rPr>
          <w:rFonts w:eastAsia="Arial TUR;Arial" w:cs="Arial TUR;Arial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, </w:t>
      </w:r>
      <w:r>
        <w:rPr>
          <w:rtl w:val="true"/>
        </w:rPr>
        <w:t>ונקבל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10:49:48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נמשכה</w:t>
      </w:r>
      <w:r>
        <w:rPr>
          <w:rFonts w:eastAsia="Arial TUR;Arial" w:cs="Arial TUR;Arial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שניות</w:t>
      </w:r>
      <w:r>
        <w:rPr>
          <w:rtl w:val="true"/>
        </w:rPr>
        <w:t xml:space="preserve">, </w:t>
      </w:r>
      <w:r>
        <w:rPr>
          <w:rtl w:val="true"/>
        </w:rPr>
        <w:t>ושיחה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10:50:47</w:t>
      </w:r>
      <w:r>
        <w:rPr>
          <w:rtl w:val="true"/>
        </w:rPr>
        <w:t xml:space="preserve">.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לתרמילים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שנפלטו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. </w:t>
      </w:r>
      <w:r>
        <w:rPr>
          <w:rtl w:val="true"/>
        </w:rPr>
        <w:t>הוסבר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בתקרית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בסופרמרקט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-</w:t>
      </w:r>
      <w:r>
        <w:rPr>
          <w:rtl w:val="true"/>
        </w:rPr>
        <w:t>צדדי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הימצאותם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ששימשו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והעדים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נוספות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התומכות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יחד עם עדויות הראייה של הנוסעים ברכב</w:t>
      </w:r>
      <w:r>
        <w:rPr>
          <w:rtl w:val="true"/>
        </w:rPr>
        <w:t xml:space="preserve">, </w:t>
      </w:r>
      <w:r>
        <w:rPr>
          <w:rtl w:val="true"/>
        </w:rPr>
        <w:t>בבסיס ההרשעה ניצבו עוד שש ראיות נוספות אשר קושרות את המערער במידה זו או אחרת לביצוע הירי</w:t>
      </w:r>
      <w:r>
        <w:rPr>
          <w:rtl w:val="true"/>
        </w:rPr>
        <w:t xml:space="preserve">: </w:t>
      </w:r>
      <w:r>
        <w:rPr>
          <w:rtl w:val="true"/>
        </w:rPr>
        <w:t xml:space="preserve">עדות המומחה ביחס לאיכוני הטלפון הסלולרי של המערער המצביעים על הימצאותו בכביש </w:t>
      </w:r>
      <w:r>
        <w:rPr/>
        <w:t>57</w:t>
      </w:r>
      <w:r>
        <w:rPr>
          <w:rtl w:val="true"/>
        </w:rPr>
        <w:t xml:space="preserve"> </w:t>
      </w:r>
      <w:r>
        <w:rPr>
          <w:rtl w:val="true"/>
        </w:rPr>
        <w:t>באזור הצומת</w:t>
      </w:r>
      <w:r>
        <w:rPr>
          <w:rtl w:val="true"/>
        </w:rPr>
        <w:t xml:space="preserve">, </w:t>
      </w:r>
      <w:r>
        <w:rPr>
          <w:rtl w:val="true"/>
        </w:rPr>
        <w:t xml:space="preserve">למרות טענתו שנסע רק על כביש </w:t>
      </w:r>
      <w:r>
        <w:rPr/>
        <w:t>4</w:t>
      </w:r>
      <w:r>
        <w:rPr>
          <w:rtl w:val="true"/>
        </w:rPr>
        <w:t xml:space="preserve">; </w:t>
      </w:r>
      <w:r>
        <w:rPr>
          <w:rtl w:val="true"/>
        </w:rPr>
        <w:t>שרידי ירי בשערו של המערער</w:t>
      </w:r>
      <w:r>
        <w:rPr>
          <w:rtl w:val="true"/>
        </w:rPr>
        <w:t xml:space="preserve">; </w:t>
      </w:r>
      <w:r>
        <w:rPr>
          <w:rtl w:val="true"/>
        </w:rPr>
        <w:t>איומים שאיים המערער טרם האירוע על אחד מבניו של המתלונן לפיהם יהרוג מישהו ממשפחתם</w:t>
      </w:r>
      <w:r>
        <w:rPr>
          <w:rtl w:val="true"/>
        </w:rPr>
        <w:t xml:space="preserve">; </w:t>
      </w:r>
      <w:r>
        <w:rPr>
          <w:rtl w:val="true"/>
        </w:rPr>
        <w:t>שקריו של המערער בחקירותיו</w:t>
      </w:r>
      <w:r>
        <w:rPr>
          <w:rtl w:val="true"/>
        </w:rPr>
        <w:t xml:space="preserve">; </w:t>
      </w:r>
      <w:r>
        <w:rPr>
          <w:rtl w:val="true"/>
        </w:rPr>
        <w:t>שתיקת המערער לאחר הכרעת הדין הראשונה</w:t>
      </w:r>
      <w:r>
        <w:rPr>
          <w:rtl w:val="true"/>
        </w:rPr>
        <w:t xml:space="preserve">; </w:t>
      </w:r>
      <w:r>
        <w:rPr>
          <w:rtl w:val="true"/>
        </w:rPr>
        <w:t>והמניע שהיה למערער לניסיון הרצח</w:t>
      </w:r>
      <w:r>
        <w:rPr>
          <w:rtl w:val="true"/>
        </w:rPr>
        <w:t xml:space="preserve">, </w:t>
      </w:r>
      <w:r>
        <w:rPr>
          <w:rtl w:val="true"/>
        </w:rPr>
        <w:t>עקב הסכסוך בין המשפחות</w:t>
      </w:r>
      <w:r>
        <w:rPr>
          <w:rtl w:val="true"/>
        </w:rPr>
        <w:t xml:space="preserve">, </w:t>
      </w:r>
      <w:r>
        <w:rPr>
          <w:rtl w:val="true"/>
        </w:rPr>
        <w:t>פציעתו של אחיו אשר גרמה לנכותו</w:t>
      </w:r>
      <w:r>
        <w:rPr>
          <w:rtl w:val="true"/>
        </w:rPr>
        <w:t xml:space="preserve">, </w:t>
      </w:r>
      <w:r>
        <w:rPr>
          <w:rtl w:val="true"/>
        </w:rPr>
        <w:t>ומות דודו</w:t>
      </w:r>
      <w:r>
        <w:rPr>
          <w:rtl w:val="true"/>
        </w:rPr>
        <w:t xml:space="preserve">. </w:t>
      </w:r>
      <w:r>
        <w:rPr>
          <w:rtl w:val="true"/>
        </w:rPr>
        <w:t>עוד תודגש התרשמותו של בית המשפט המחוזי לפיה אין בעדויות ההגנה כולל הנאשם כדי להביא לזיכויו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ישירות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ואינטרסים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וינמק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סבורני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 טוען כי לא ניתן המשקל הראוי לנסיבות הדורשות הקלה בעונשו</w:t>
      </w:r>
      <w:r>
        <w:rPr>
          <w:rtl w:val="true"/>
        </w:rPr>
        <w:t xml:space="preserve">, </w:t>
      </w:r>
      <w:r>
        <w:rPr>
          <w:rtl w:val="true"/>
        </w:rPr>
        <w:t>בהינתן מתחם העונש שנקבע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tl w:val="true"/>
        </w:rPr>
        <w:t xml:space="preserve">: </w:t>
      </w:r>
      <w:r>
        <w:rPr>
          <w:rtl w:val="true"/>
        </w:rPr>
        <w:t>חזרתו של המתלונן מעדותו</w:t>
      </w:r>
      <w:r>
        <w:rPr>
          <w:rtl w:val="true"/>
        </w:rPr>
        <w:t xml:space="preserve">; </w:t>
      </w:r>
      <w:r>
        <w:rPr>
          <w:rtl w:val="true"/>
        </w:rPr>
        <w:t>העובדה שהמערער הוא היחיד שהוגש נגדו כתב אישום בגין האירוע</w:t>
      </w:r>
      <w:r>
        <w:rPr>
          <w:rtl w:val="true"/>
        </w:rPr>
        <w:t xml:space="preserve">; </w:t>
      </w:r>
      <w:r>
        <w:rPr>
          <w:rtl w:val="true"/>
        </w:rPr>
        <w:t>מצבו הרפואי הרעוע של המערער</w:t>
      </w:r>
      <w:r>
        <w:rPr>
          <w:rtl w:val="true"/>
        </w:rPr>
        <w:t xml:space="preserve">; </w:t>
      </w:r>
      <w:r>
        <w:rPr>
          <w:rtl w:val="true"/>
        </w:rPr>
        <w:t>תרומתו הרבה של המערער לחברה הבדואית</w:t>
      </w:r>
      <w:r>
        <w:rPr>
          <w:rtl w:val="true"/>
        </w:rPr>
        <w:t xml:space="preserve">; </w:t>
      </w:r>
      <w:r>
        <w:rPr>
          <w:rtl w:val="true"/>
        </w:rPr>
        <w:t>הסכם הסולחה</w:t>
      </w:r>
      <w:r>
        <w:rPr>
          <w:rtl w:val="true"/>
        </w:rPr>
        <w:t xml:space="preserve">; </w:t>
      </w:r>
      <w:r>
        <w:rPr>
          <w:rtl w:val="true"/>
        </w:rPr>
        <w:t>ונסיבות אישיות שונות כגון הולדת תאומות למערער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מקריאת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בנימוקים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שצוינו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בהסכם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, </w:t>
      </w:r>
      <w:r>
        <w:rPr>
          <w:rtl w:val="true"/>
        </w:rPr>
        <w:t>בהולדת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התאומות</w:t>
      </w:r>
      <w:r>
        <w:rPr>
          <w:rtl w:val="true"/>
        </w:rPr>
        <w:t xml:space="preserve">, </w:t>
      </w:r>
      <w:r>
        <w:rPr>
          <w:rtl w:val="true"/>
        </w:rPr>
        <w:t>ובהתנהגותו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ותרומתו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החיוביות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והעלבת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ולמעשיו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הצטיידות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ומעקב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פתוחים</w:t>
      </w:r>
      <w:r>
        <w:rPr>
          <w:rtl w:val="true"/>
        </w:rPr>
        <w:t xml:space="preserve">, </w:t>
      </w:r>
      <w:r>
        <w:rPr>
          <w:rtl w:val="true"/>
        </w:rPr>
        <w:t>קרעים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ובכבד</w:t>
      </w:r>
      <w:r>
        <w:rPr>
          <w:rtl w:val="true"/>
        </w:rPr>
        <w:t xml:space="preserve">, </w:t>
      </w:r>
      <w:r>
        <w:rPr>
          <w:rtl w:val="true"/>
        </w:rPr>
        <w:t>ונגרמה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לצמיתות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ונוסעים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>: "</w:t>
      </w:r>
      <w:r>
        <w:rPr>
          <w:rtl w:val="true"/>
        </w:rPr>
        <w:t>נכנסתי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). </w:t>
      </w:r>
      <w:r>
        <w:rPr>
          <w:rtl w:val="true"/>
        </w:rPr>
        <w:t>כמובן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מתמטיקה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שנקבעה</w:t>
      </w:r>
      <w:r>
        <w:rPr>
          <w:rtl w:val="true"/>
        </w:rPr>
        <w:t xml:space="preserve">. </w:t>
      </w:r>
      <w:r>
        <w:rPr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סיכום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לו דעתי תתקבל</w:t>
      </w:r>
      <w:r>
        <w:rPr>
          <w:rtl w:val="true"/>
        </w:rPr>
        <w:t xml:space="preserve">, </w:t>
      </w:r>
      <w:r>
        <w:rPr>
          <w:rtl w:val="true"/>
        </w:rPr>
        <w:t>הערעור יידחה הן על הכרעת הדין והן על גזר הדין</w:t>
      </w:r>
      <w:r>
        <w:rPr>
          <w:rtl w:val="true"/>
        </w:rPr>
        <w:t xml:space="preserve">. </w:t>
      </w:r>
      <w:r>
        <w:rPr>
          <w:rtl w:val="true"/>
        </w:rPr>
        <w:t>עסקינן במקרה חמור ביותר</w:t>
      </w:r>
      <w:r>
        <w:rPr>
          <w:rtl w:val="true"/>
        </w:rPr>
        <w:t xml:space="preserve">, </w:t>
      </w:r>
      <w:r>
        <w:rPr>
          <w:rtl w:val="true"/>
        </w:rPr>
        <w:t xml:space="preserve">כאשר בשל </w:t>
      </w:r>
      <w:r>
        <w:rPr>
          <w:rtl w:val="true"/>
        </w:rPr>
        <w:t>"</w:t>
      </w:r>
      <w:r>
        <w:rPr>
          <w:rtl w:val="true"/>
        </w:rPr>
        <w:t>נקמת דם</w:t>
      </w:r>
      <w:r>
        <w:rPr>
          <w:rtl w:val="true"/>
        </w:rPr>
        <w:t xml:space="preserve">" </w:t>
      </w:r>
      <w:r>
        <w:rPr>
          <w:rtl w:val="true"/>
        </w:rPr>
        <w:t>החליט המערער לעשות דין לעצמו</w:t>
      </w:r>
      <w:r>
        <w:rPr>
          <w:rtl w:val="true"/>
        </w:rPr>
        <w:t xml:space="preserve">, </w:t>
      </w:r>
      <w:r>
        <w:rPr>
          <w:rtl w:val="true"/>
        </w:rPr>
        <w:t>וניסה לרצוח את המערער תוך גרימת סכנה ממשית לאנשים נוספים</w:t>
      </w:r>
      <w:r>
        <w:rPr>
          <w:rtl w:val="true"/>
        </w:rPr>
        <w:t xml:space="preserve">. </w:t>
      </w:r>
      <w:r>
        <w:rPr>
          <w:rtl w:val="true"/>
        </w:rPr>
        <w:t>במעשיו אלו הפגין המערער קור רוח ומסוכנות</w:t>
      </w:r>
      <w:r>
        <w:rPr>
          <w:rtl w:val="true"/>
        </w:rPr>
        <w:t xml:space="preserve">, </w:t>
      </w:r>
      <w:r>
        <w:rPr>
          <w:rtl w:val="true"/>
        </w:rPr>
        <w:t>תוך רמיסת החוק והסדר החברתי</w:t>
      </w:r>
      <w:r>
        <w:rPr>
          <w:rtl w:val="true"/>
        </w:rPr>
        <w:t xml:space="preserve">. </w:t>
      </w:r>
      <w:r>
        <w:rPr>
          <w:rtl w:val="true"/>
        </w:rPr>
        <w:t>חברה מתוקנת אינה יכולה להשלים עם התופעה שאיש הישר בעיניו יורה</w:t>
      </w:r>
      <w:r>
        <w:rPr>
          <w:rtl w:val="true"/>
        </w:rPr>
        <w:t xml:space="preserve">, </w:t>
      </w:r>
      <w:r>
        <w:rPr>
          <w:rtl w:val="true"/>
        </w:rPr>
        <w:t>ועם הפגיעה בשלטון החוק</w:t>
      </w:r>
      <w:r>
        <w:rPr>
          <w:rtl w:val="true"/>
        </w:rPr>
        <w:t xml:space="preserve">, </w:t>
      </w:r>
      <w:r>
        <w:rPr>
          <w:rtl w:val="true"/>
        </w:rPr>
        <w:t>בנוף החברתי המעורב ישירות</w:t>
      </w:r>
      <w:r>
        <w:rPr>
          <w:rtl w:val="true"/>
        </w:rPr>
        <w:t xml:space="preserve">, </w:t>
      </w:r>
      <w:r>
        <w:rPr>
          <w:rtl w:val="true"/>
        </w:rPr>
        <w:t>ואף שאינו מעורב ישירות בדמות עוברי אורח פוטנציאלים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                                                                                                             </w:t>
      </w:r>
      <w:r>
        <w:rPr>
          <w:rtl w:val="true"/>
        </w:rPr>
        <w:t>ש ו פ ט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ע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ברון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וילנר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הנדל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12.4.2018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17037050</w:t>
      </w:r>
      <w:r>
        <w:rPr>
          <w:sz w:val="16"/>
          <w:rtl w:val="true"/>
        </w:rPr>
        <w:t>_</w:t>
      </w:r>
      <w:r>
        <w:rPr>
          <w:sz w:val="16"/>
        </w:rPr>
        <w:t>Z18.doc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הנדל </w:t>
      </w:r>
      <w:r>
        <w:rPr>
          <w:rFonts w:cs="David;Times New Roman" w:ascii="David;Times New Roman" w:hAnsi="David;Times New Roman"/>
          <w:color w:val="000000"/>
          <w:szCs w:val="22"/>
        </w:rPr>
        <w:t>54678313-3705/17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7"/>
      <w:footerReference w:type="default" r:id="rId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altName w:val="Verdana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David">
    <w:altName w:val="Times New Roman"/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3705/17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דיאב אבו עראר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shadow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Times New Roman" w:hAnsi="Times New Roman" w:cs="FrankRuehl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Times New Roman" w:hAnsi="Times New Roman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;Verdana" w:hAnsi="Tahoma;Verdana" w:cs="Tahoma;Verdan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;Verdana" w:hAnsi="Tahoma;Verdana" w:cs="Tahoma;Verdan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3938555" TargetMode="External"/><Relationship Id="rId3" Type="http://schemas.openxmlformats.org/officeDocument/2006/relationships/hyperlink" Target="http://www.nevo.co.il/case/3938555" TargetMode="External"/><Relationship Id="rId4" Type="http://schemas.openxmlformats.org/officeDocument/2006/relationships/hyperlink" Target="http://www.nevo.co.il/case/22690315" TargetMode="External"/><Relationship Id="rId5" Type="http://schemas.openxmlformats.org/officeDocument/2006/relationships/hyperlink" Target="http://www.court.gov.il/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2018-05-20T13:14:00Z</dcterms:created>
  <dc:creator> </dc:creator>
  <dc:description/>
  <cp:keywords/>
  <dc:language>en-IL</dc:language>
  <cp:lastModifiedBy>orly</cp:lastModifiedBy>
  <cp:lastPrinted>2018-04-08T17:01:00Z</cp:lastPrinted>
  <dcterms:modified xsi:type="dcterms:W3CDTF">2018-05-20T13:14:00Z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דיאב אבו עראר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3938555:2;22690315</vt:lpwstr>
  </property>
  <property fmtid="{D5CDD505-2E9C-101B-9397-08002B2CF9AE}" pid="9" name="CITY">
    <vt:lpwstr/>
  </property>
  <property fmtid="{D5CDD505-2E9C-101B-9397-08002B2CF9AE}" pid="10" name="DATE">
    <vt:lpwstr>20180412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הנדל;ע' ברון;י' וילנר</vt:lpwstr>
  </property>
  <property fmtid="{D5CDD505-2E9C-101B-9397-08002B2CF9AE}" pid="14" name="LAWYER">
    <vt:lpwstr>ורד חלאוה;אביגדור פלדמן;ימימה אברמוביץ';אריאל ועקנין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METAKZER">
    <vt:lpwstr>נעה</vt:lpwstr>
  </property>
  <property fmtid="{D5CDD505-2E9C-101B-9397-08002B2CF9AE}" pid="21" name="NEWPARTA">
    <vt:lpwstr/>
  </property>
  <property fmtid="{D5CDD505-2E9C-101B-9397-08002B2CF9AE}" pid="22" name="NEWPARTB">
    <vt:lpwstr/>
  </property>
  <property fmtid="{D5CDD505-2E9C-101B-9397-08002B2CF9AE}" pid="23" name="NEWPARTC">
    <vt:lpwstr/>
  </property>
  <property fmtid="{D5CDD505-2E9C-101B-9397-08002B2CF9AE}" pid="24" name="NEWPROC">
    <vt:lpwstr/>
  </property>
  <property fmtid="{D5CDD505-2E9C-101B-9397-08002B2CF9AE}" pid="25" name="NOSE11">
    <vt:lpwstr>ראיות</vt:lpwstr>
  </property>
  <property fmtid="{D5CDD505-2E9C-101B-9397-08002B2CF9AE}" pid="26" name="NOSE110">
    <vt:lpwstr/>
  </property>
  <property fmtid="{D5CDD505-2E9C-101B-9397-08002B2CF9AE}" pid="27" name="NOSE12">
    <vt:lpwstr>ראיות</vt:lpwstr>
  </property>
  <property fmtid="{D5CDD505-2E9C-101B-9397-08002B2CF9AE}" pid="28" name="NOSE13">
    <vt:lpwstr>עונשין</vt:lpwstr>
  </property>
  <property fmtid="{D5CDD505-2E9C-101B-9397-08002B2CF9AE}" pid="29" name="NOSE14">
    <vt:lpwstr/>
  </property>
  <property fmtid="{D5CDD505-2E9C-101B-9397-08002B2CF9AE}" pid="30" name="NOSE15">
    <vt:lpwstr/>
  </property>
  <property fmtid="{D5CDD505-2E9C-101B-9397-08002B2CF9AE}" pid="31" name="NOSE16">
    <vt:lpwstr/>
  </property>
  <property fmtid="{D5CDD505-2E9C-101B-9397-08002B2CF9AE}" pid="32" name="NOSE17">
    <vt:lpwstr/>
  </property>
  <property fmtid="{D5CDD505-2E9C-101B-9397-08002B2CF9AE}" pid="33" name="NOSE18">
    <vt:lpwstr/>
  </property>
  <property fmtid="{D5CDD505-2E9C-101B-9397-08002B2CF9AE}" pid="34" name="NOSE19">
    <vt:lpwstr/>
  </property>
  <property fmtid="{D5CDD505-2E9C-101B-9397-08002B2CF9AE}" pid="35" name="NOSE1ID">
    <vt:lpwstr>89;89;77</vt:lpwstr>
  </property>
  <property fmtid="{D5CDD505-2E9C-101B-9397-08002B2CF9AE}" pid="36" name="NOSE21">
    <vt:lpwstr>זיהוי</vt:lpwstr>
  </property>
  <property fmtid="{D5CDD505-2E9C-101B-9397-08002B2CF9AE}" pid="37" name="NOSE210">
    <vt:lpwstr/>
  </property>
  <property fmtid="{D5CDD505-2E9C-101B-9397-08002B2CF9AE}" pid="38" name="NOSE22">
    <vt:lpwstr>עדות</vt:lpwstr>
  </property>
  <property fmtid="{D5CDD505-2E9C-101B-9397-08002B2CF9AE}" pid="39" name="NOSE23">
    <vt:lpwstr>ענישה</vt:lpwstr>
  </property>
  <property fmtid="{D5CDD505-2E9C-101B-9397-08002B2CF9AE}" pid="40" name="NOSE24">
    <vt:lpwstr/>
  </property>
  <property fmtid="{D5CDD505-2E9C-101B-9397-08002B2CF9AE}" pid="41" name="NOSE25">
    <vt:lpwstr/>
  </property>
  <property fmtid="{D5CDD505-2E9C-101B-9397-08002B2CF9AE}" pid="42" name="NOSE26">
    <vt:lpwstr/>
  </property>
  <property fmtid="{D5CDD505-2E9C-101B-9397-08002B2CF9AE}" pid="43" name="NOSE27">
    <vt:lpwstr/>
  </property>
  <property fmtid="{D5CDD505-2E9C-101B-9397-08002B2CF9AE}" pid="44" name="NOSE28">
    <vt:lpwstr/>
  </property>
  <property fmtid="{D5CDD505-2E9C-101B-9397-08002B2CF9AE}" pid="45" name="NOSE29">
    <vt:lpwstr/>
  </property>
  <property fmtid="{D5CDD505-2E9C-101B-9397-08002B2CF9AE}" pid="46" name="NOSE2ID">
    <vt:lpwstr>1625;1654;1446</vt:lpwstr>
  </property>
  <property fmtid="{D5CDD505-2E9C-101B-9397-08002B2CF9AE}" pid="47" name="NOSE31">
    <vt:lpwstr>מהימנות</vt:lpwstr>
  </property>
  <property fmtid="{D5CDD505-2E9C-101B-9397-08002B2CF9AE}" pid="48" name="NOSE310">
    <vt:lpwstr/>
  </property>
  <property fmtid="{D5CDD505-2E9C-101B-9397-08002B2CF9AE}" pid="49" name="NOSE32">
    <vt:lpwstr>מהימנות</vt:lpwstr>
  </property>
  <property fmtid="{D5CDD505-2E9C-101B-9397-08002B2CF9AE}" pid="50" name="NOSE33">
    <vt:lpwstr>מדיניות ענישה: שיקולים</vt:lpwstr>
  </property>
  <property fmtid="{D5CDD505-2E9C-101B-9397-08002B2CF9AE}" pid="51" name="NOSE34">
    <vt:lpwstr/>
  </property>
  <property fmtid="{D5CDD505-2E9C-101B-9397-08002B2CF9AE}" pid="52" name="NOSE35">
    <vt:lpwstr/>
  </property>
  <property fmtid="{D5CDD505-2E9C-101B-9397-08002B2CF9AE}" pid="53" name="NOSE36">
    <vt:lpwstr/>
  </property>
  <property fmtid="{D5CDD505-2E9C-101B-9397-08002B2CF9AE}" pid="54" name="NOSE37">
    <vt:lpwstr/>
  </property>
  <property fmtid="{D5CDD505-2E9C-101B-9397-08002B2CF9AE}" pid="55" name="NOSE38">
    <vt:lpwstr/>
  </property>
  <property fmtid="{D5CDD505-2E9C-101B-9397-08002B2CF9AE}" pid="56" name="NOSE39">
    <vt:lpwstr/>
  </property>
  <property fmtid="{D5CDD505-2E9C-101B-9397-08002B2CF9AE}" pid="57" name="NOSE3ID">
    <vt:lpwstr>16014;10400;8994</vt:lpwstr>
  </property>
  <property fmtid="{D5CDD505-2E9C-101B-9397-08002B2CF9AE}" pid="58" name="PADIDATE">
    <vt:lpwstr>20180415</vt:lpwstr>
  </property>
  <property fmtid="{D5CDD505-2E9C-101B-9397-08002B2CF9AE}" pid="59" name="PADIMAIL">
    <vt:lpwstr>YES</vt:lpwstr>
  </property>
  <property fmtid="{D5CDD505-2E9C-101B-9397-08002B2CF9AE}" pid="60" name="PAGE">
    <vt:lpwstr/>
  </property>
  <property fmtid="{D5CDD505-2E9C-101B-9397-08002B2CF9AE}" pid="61" name="PART">
    <vt:lpwstr/>
  </property>
  <property fmtid="{D5CDD505-2E9C-101B-9397-08002B2CF9AE}" pid="62" name="PROCESS">
    <vt:lpwstr>עפ;עפ</vt:lpwstr>
  </property>
  <property fmtid="{D5CDD505-2E9C-101B-9397-08002B2CF9AE}" pid="63" name="PROCNUM">
    <vt:lpwstr>3705;4133</vt:lpwstr>
  </property>
  <property fmtid="{D5CDD505-2E9C-101B-9397-08002B2CF9AE}" pid="64" name="PROCYEAR">
    <vt:lpwstr>17;17</vt:lpwstr>
  </property>
  <property fmtid="{D5CDD505-2E9C-101B-9397-08002B2CF9AE}" pid="65" name="PSAKDIN">
    <vt:lpwstr>פסק-דין</vt:lpwstr>
  </property>
  <property fmtid="{D5CDD505-2E9C-101B-9397-08002B2CF9AE}" pid="66" name="TYPE">
    <vt:lpwstr>1</vt:lpwstr>
  </property>
  <property fmtid="{D5CDD505-2E9C-101B-9397-08002B2CF9AE}" pid="67" name="TYPE_ABS_DATE">
    <vt:lpwstr>410120180412</vt:lpwstr>
  </property>
  <property fmtid="{D5CDD505-2E9C-101B-9397-08002B2CF9AE}" pid="68" name="TYPE_N_DATE">
    <vt:lpwstr>41020180412</vt:lpwstr>
  </property>
  <property fmtid="{D5CDD505-2E9C-101B-9397-08002B2CF9AE}" pid="69" name="VOLUME">
    <vt:lpwstr/>
  </property>
  <property fmtid="{D5CDD505-2E9C-101B-9397-08002B2CF9AE}" pid="70" name="WORDNUMPAGES">
    <vt:lpwstr>16</vt:lpwstr>
  </property>
</Properties>
</file>