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leNumber1"/>
        <w:ind w:end="0"/>
        <w:jc w:val="center"/>
        <w:rPr>
          <w:sz w:val="28"/>
        </w:rPr>
      </w:pP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431"/>
        <w:gridCol w:w="5064"/>
        <w:gridCol w:w="6"/>
      </w:tblGrid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/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3780/17</w:t>
            </w:r>
          </w:p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9159/17</w:t>
            </w:r>
          </w:p>
          <w:p>
            <w:pPr>
              <w:pStyle w:val="FileNumber"/>
              <w:spacing w:lineRule="auto" w:line="240"/>
              <w:ind w:end="0"/>
              <w:jc w:val="end"/>
              <w:rPr>
                <w:sz w:val="12"/>
                <w:szCs w:val="12"/>
              </w:rPr>
            </w:pPr>
            <w:r>
              <w:rPr>
                <w:sz w:val="12"/>
                <w:szCs w:val="12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45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06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45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6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45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06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58"/>
        <w:gridCol w:w="5064"/>
      </w:tblGrid>
      <w:tr>
        <w:trPr/>
        <w:tc>
          <w:tcPr>
            <w:tcW w:w="3458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3780/17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סברין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זבידאת</w:t>
            </w:r>
          </w:p>
        </w:tc>
      </w:tr>
      <w:tr>
        <w:trPr/>
        <w:tc>
          <w:tcPr>
            <w:tcW w:w="345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6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45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9159/17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זבידאת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58"/>
        <w:gridCol w:w="5064"/>
      </w:tblGrid>
      <w:tr>
        <w:trPr/>
        <w:tc>
          <w:tcPr>
            <w:tcW w:w="345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58"/>
        <w:gridCol w:w="5064"/>
      </w:tblGrid>
      <w:tr>
        <w:trPr/>
        <w:tc>
          <w:tcPr>
            <w:tcW w:w="345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064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4"/>
      </w:tblGrid>
      <w:tr>
        <w:trPr/>
        <w:tc>
          <w:tcPr>
            <w:tcW w:w="5064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23195-10-16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19.10.2017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1"/>
        <w:gridCol w:w="4536"/>
        <w:gridCol w:w="568"/>
      </w:tblGrid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53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29.10.2018</w:t>
            </w:r>
            <w:r>
              <w:rPr>
                <w:rtl w:val="true"/>
              </w:rPr>
              <w:t xml:space="preserve">) </w:t>
            </w:r>
          </w:p>
        </w:tc>
        <w:tc>
          <w:tcPr>
            <w:tcW w:w="5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1"/>
        <w:gridCol w:w="5064"/>
      </w:tblGrid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3780/17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חדאד</w:t>
            </w:r>
          </w:p>
        </w:tc>
      </w:tr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9159/17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עטא</w:t>
            </w:r>
          </w:p>
        </w:tc>
      </w:tr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114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1954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1945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1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כמתחייב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מהתפשטות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המצטרפים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לדאע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בהדרגתיות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יציאה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טרוריסטי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הצטרפותו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לדאע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דאע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מהמסוכנים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והתפשטות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המצטרפים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לדאע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וערכאות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בוגרים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מצעירים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שדעתם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שהסתבכו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בעיראק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בהדרגתיות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23195-10-16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21.3.2017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3780/17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19.10.2017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9159/17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"/>
        <w:ind w:end="0"/>
        <w:jc w:val="both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20.10.2016</w:t>
      </w:r>
      <w:r>
        <w:rPr>
          <w:rtl w:val="true"/>
        </w:rPr>
        <w:t xml:space="preserve"> </w:t>
      </w:r>
      <w:r>
        <w:rPr>
          <w:rtl w:val="true"/>
        </w:rPr>
        <w:t xml:space="preserve">הוגש נגד המערער והמערערת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tl w:val="true"/>
        </w:rPr>
        <w:t xml:space="preserve">), </w:t>
      </w:r>
      <w:r>
        <w:rPr>
          <w:rtl w:val="true"/>
        </w:rPr>
        <w:t>בעל ואישה</w:t>
      </w:r>
      <w:r>
        <w:rPr>
          <w:rtl w:val="true"/>
        </w:rPr>
        <w:t xml:space="preserve">, </w:t>
      </w:r>
      <w:r>
        <w:rPr>
          <w:rtl w:val="true"/>
        </w:rPr>
        <w:t xml:space="preserve">שלהם שלושה ילדים קטינים בני </w:t>
      </w:r>
      <w:r>
        <w:rPr/>
        <w:t>3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כתב אישום שייחס להם עבירות של מגע עם סוכן זר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יציאה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הסתננות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ושיפוט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; </w:t>
      </w:r>
      <w:r>
        <w:rPr>
          <w:rtl w:val="true"/>
        </w:rPr>
        <w:t xml:space="preserve">חברות בהתאחדות בלתי מותרת 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שעת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/>
        <w:t>1945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חירום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חברות בארגון טרוריסטי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1948</w:t>
      </w:r>
      <w:r>
        <w:rPr>
          <w:rtl w:val="true"/>
        </w:rPr>
        <w:t xml:space="preserve">; </w:t>
      </w:r>
      <w:r>
        <w:rPr>
          <w:rtl w:val="true"/>
        </w:rPr>
        <w:t>ביצוע עבודה ומתן שירות בשביל התאחדות בלתי מותרת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 שעת</w:t>
      </w:r>
      <w:r>
        <w:rPr>
          <w:rtl w:val="true"/>
        </w:rPr>
        <w:t>-</w:t>
      </w:r>
      <w:r>
        <w:rPr>
          <w:rtl w:val="true"/>
        </w:rPr>
        <w:t>חירום</w:t>
      </w:r>
      <w:r>
        <w:rPr>
          <w:rtl w:val="true"/>
        </w:rPr>
        <w:t xml:space="preserve">; </w:t>
      </w:r>
      <w:r>
        <w:rPr>
          <w:rtl w:val="true"/>
        </w:rPr>
        <w:t xml:space="preserve">ואימונים צבאיים 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למערער 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המערערים התעניינו בארגון דאע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הזדהו עם האידיאולוגיה שלו והחליטו להצטרף לשורותיו</w:t>
      </w:r>
      <w:r>
        <w:rPr>
          <w:rtl w:val="true"/>
        </w:rPr>
        <w:t xml:space="preserve">. </w:t>
      </w:r>
      <w:r>
        <w:rPr>
          <w:rtl w:val="true"/>
        </w:rPr>
        <w:t>באמתלה של טיול תמים לחו</w:t>
      </w:r>
      <w:r>
        <w:rPr>
          <w:rtl w:val="true"/>
        </w:rPr>
        <w:t>"</w:t>
      </w:r>
      <w:r>
        <w:rPr>
          <w:rtl w:val="true"/>
        </w:rPr>
        <w:t>ל הגיעו המערערים לרומניה יחד עם שלושת ילדיהם</w:t>
      </w:r>
      <w:r>
        <w:rPr>
          <w:rtl w:val="true"/>
        </w:rPr>
        <w:t xml:space="preserve">, </w:t>
      </w:r>
      <w:r>
        <w:rPr>
          <w:rtl w:val="true"/>
        </w:rPr>
        <w:t>משם לתורכיה</w:t>
      </w:r>
      <w:r>
        <w:rPr>
          <w:rtl w:val="true"/>
        </w:rPr>
        <w:t xml:space="preserve">, </w:t>
      </w:r>
      <w:r>
        <w:rPr>
          <w:rtl w:val="true"/>
        </w:rPr>
        <w:t>ובהמשך לסוריה ולעיראק</w:t>
      </w:r>
      <w:r>
        <w:rPr>
          <w:rtl w:val="true"/>
        </w:rPr>
        <w:t xml:space="preserve">. </w:t>
      </w:r>
      <w:r>
        <w:rPr>
          <w:rtl w:val="true"/>
        </w:rPr>
        <w:t>עם כניסתם לסוריה הצטרפו המערערים לארגון דאע</w:t>
      </w:r>
      <w:r>
        <w:rPr>
          <w:rtl w:val="true"/>
        </w:rPr>
        <w:t>"</w:t>
      </w:r>
      <w:r>
        <w:rPr>
          <w:rtl w:val="true"/>
        </w:rPr>
        <w:t>ש ומסרו לאנשי הארגון את דרכוניהם הישראליים</w:t>
      </w:r>
      <w:r>
        <w:rPr>
          <w:rtl w:val="true"/>
        </w:rPr>
        <w:t xml:space="preserve">. </w:t>
      </w:r>
      <w:r>
        <w:rPr>
          <w:rtl w:val="true"/>
        </w:rPr>
        <w:t>בהמשך אנשי דאע</w:t>
      </w:r>
      <w:r>
        <w:rPr>
          <w:rtl w:val="true"/>
        </w:rPr>
        <w:t>"</w:t>
      </w:r>
      <w:r>
        <w:rPr>
          <w:rtl w:val="true"/>
        </w:rPr>
        <w:t>ש הובילו את המערערים וילדיהם לעיר מוסול בעיראק</w:t>
      </w:r>
      <w:r>
        <w:rPr>
          <w:rtl w:val="true"/>
        </w:rPr>
        <w:t xml:space="preserve">, </w:t>
      </w:r>
      <w:r>
        <w:rPr>
          <w:rtl w:val="true"/>
        </w:rPr>
        <w:t>שם הצטרף המערער למחנה לימודי דת ונשבע אמונים לדאע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הצטרף המערער למחנה אמונים צבאי של דאע</w:t>
      </w:r>
      <w:r>
        <w:rPr>
          <w:rtl w:val="true"/>
        </w:rPr>
        <w:t>"</w:t>
      </w:r>
      <w:r>
        <w:rPr>
          <w:rtl w:val="true"/>
        </w:rPr>
        <w:t>ש ושהה בו במשך כחודשיים</w:t>
      </w:r>
      <w:r>
        <w:rPr>
          <w:rtl w:val="true"/>
        </w:rPr>
        <w:t xml:space="preserve">, </w:t>
      </w:r>
      <w:r>
        <w:rPr>
          <w:rtl w:val="true"/>
        </w:rPr>
        <w:t>במהלכם הוכשר כלוחם</w:t>
      </w:r>
      <w:r>
        <w:rPr>
          <w:rtl w:val="true"/>
        </w:rPr>
        <w:t xml:space="preserve">. </w:t>
      </w:r>
      <w:r>
        <w:rPr>
          <w:rtl w:val="true"/>
        </w:rPr>
        <w:t>לאחר הכשרתו ביצע המערער פעילות צבאית בשירות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במהלכה נפצע מירי ברגלו ופונה לקבלת טיפול רפואי</w:t>
      </w:r>
      <w:r>
        <w:rPr>
          <w:rtl w:val="true"/>
        </w:rPr>
        <w:t xml:space="preserve">. </w:t>
      </w:r>
      <w:r>
        <w:rPr>
          <w:rtl w:val="true"/>
        </w:rPr>
        <w:t>במהלך כל תקופת שהותה בעיראק התגוררה המערערת עם ילדיה במוסול וקיבלה דמי מחייה מאנשי ארגון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ועבדה בבית חולים במוסול כמפעילת מצלמות אבטחה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עקב הפצצת מוסול על ידי מטוסי בנות הברית</w:t>
      </w:r>
      <w:r>
        <w:rPr>
          <w:rtl w:val="true"/>
        </w:rPr>
        <w:t xml:space="preserve">, </w:t>
      </w:r>
      <w:r>
        <w:rPr>
          <w:rtl w:val="true"/>
        </w:rPr>
        <w:t>התדרדרות המצב הבטחוני והיעדר חינוך סדיר לילדים</w:t>
      </w:r>
      <w:r>
        <w:rPr>
          <w:rtl w:val="true"/>
        </w:rPr>
        <w:t xml:space="preserve">, </w:t>
      </w:r>
      <w:r>
        <w:rPr>
          <w:rtl w:val="true"/>
        </w:rPr>
        <w:t>החליטו המערערים לחזור לישראל</w:t>
      </w:r>
      <w:r>
        <w:rPr>
          <w:rtl w:val="true"/>
        </w:rPr>
        <w:t xml:space="preserve">. </w:t>
      </w:r>
      <w:r>
        <w:rPr>
          <w:rtl w:val="true"/>
        </w:rPr>
        <w:t>המערערים חצו את הגבול מעיראק לסוריה ומשם לתורכיה</w:t>
      </w:r>
      <w:r>
        <w:rPr>
          <w:rtl w:val="true"/>
        </w:rPr>
        <w:t xml:space="preserve">, </w:t>
      </w:r>
      <w:r>
        <w:rPr>
          <w:rtl w:val="true"/>
        </w:rPr>
        <w:t>נעצרו על ידי המשטרה התורכית והועברו לישראל</w:t>
      </w:r>
      <w:r>
        <w:rPr>
          <w:rtl w:val="true"/>
        </w:rPr>
        <w:t xml:space="preserve">. </w:t>
      </w:r>
      <w:r>
        <w:rPr>
          <w:rtl w:val="true"/>
        </w:rPr>
        <w:t>סך הכל שהו המערערים בסוריה ובמוסול תקופה של קרוב לשנה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7.2.2017</w:t>
      </w:r>
      <w:r>
        <w:rPr>
          <w:rtl w:val="true"/>
        </w:rPr>
        <w:t xml:space="preserve">, </w:t>
      </w:r>
      <w:r>
        <w:rPr>
          <w:rtl w:val="true"/>
        </w:rPr>
        <w:t>בטרם החלה שמיעת הראיות</w:t>
      </w:r>
      <w:r>
        <w:rPr>
          <w:rtl w:val="true"/>
        </w:rPr>
        <w:t xml:space="preserve">, </w:t>
      </w:r>
      <w:r>
        <w:rPr>
          <w:rtl w:val="true"/>
        </w:rPr>
        <w:t>הודתה המערערת במסגרת הסדר טיעון שלא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בכתב אישום מתוקן בעבירות שיוחסו לה </w:t>
      </w:r>
      <w:r>
        <w:rPr>
          <w:rtl w:val="true"/>
        </w:rPr>
        <w:t>–</w:t>
      </w:r>
      <w:r>
        <w:rPr>
          <w:rtl w:val="true"/>
        </w:rPr>
        <w:t xml:space="preserve"> למעט עבירה של ביצוע עבודה ומתן שירות בשביל התאחדות בלתי מותרת</w:t>
      </w:r>
      <w:r>
        <w:rPr>
          <w:rtl w:val="true"/>
        </w:rPr>
        <w:t xml:space="preserve">, </w:t>
      </w:r>
      <w:r>
        <w:rPr>
          <w:rtl w:val="true"/>
        </w:rPr>
        <w:t>שנמחקה מכתב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21.3.2017</w:t>
      </w:r>
      <w:r>
        <w:rPr>
          <w:rtl w:val="true"/>
        </w:rPr>
        <w:t xml:space="preserve"> </w:t>
      </w:r>
      <w:r>
        <w:rPr>
          <w:rtl w:val="true"/>
        </w:rPr>
        <w:t>נגזר דינה של המערערת לעונשים שפורטו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כפר וניהל הוכחות</w:t>
      </w:r>
      <w:r>
        <w:rPr>
          <w:rtl w:val="true"/>
        </w:rPr>
        <w:t xml:space="preserve">, </w:t>
      </w:r>
      <w:r>
        <w:rPr>
          <w:rtl w:val="true"/>
        </w:rPr>
        <w:t>כאשר כפירתו התמקדה בעיקרה בטענה שלא יצר מגע עם סוכן זר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13.6.2017</w:t>
      </w:r>
      <w:r>
        <w:rPr>
          <w:rtl w:val="true"/>
        </w:rPr>
        <w:t xml:space="preserve"> </w:t>
      </w:r>
      <w:r>
        <w:rPr>
          <w:rtl w:val="true"/>
        </w:rPr>
        <w:t xml:space="preserve">הורשע המערער בכל העבירות שיוחסו לו וביום </w:t>
      </w:r>
      <w:r>
        <w:rPr/>
        <w:t>19.10.2017</w:t>
      </w:r>
      <w:r>
        <w:rPr>
          <w:rtl w:val="true"/>
        </w:rPr>
        <w:t xml:space="preserve"> </w:t>
      </w:r>
      <w:r>
        <w:rPr>
          <w:rtl w:val="true"/>
        </w:rPr>
        <w:t>נגזר דינו של המערער לעונשים שפורטו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גזרי הדין התייחס בית המשפט לכלל מעשי המערערים כאירוע אחד</w:t>
      </w:r>
      <w:r>
        <w:rPr>
          <w:rtl w:val="true"/>
        </w:rPr>
        <w:t xml:space="preserve">, </w:t>
      </w:r>
      <w:r>
        <w:rPr>
          <w:rtl w:val="true"/>
        </w:rPr>
        <w:t>שנעשו במסגרת תוכנית עבריינית אחת</w:t>
      </w:r>
      <w:r>
        <w:rPr>
          <w:rtl w:val="true"/>
        </w:rPr>
        <w:t xml:space="preserve">, </w:t>
      </w:r>
      <w:r>
        <w:rPr>
          <w:rtl w:val="true"/>
        </w:rPr>
        <w:t>עניין שהצדיק קביעת מתחם אחד עבור המכלול כולו</w:t>
      </w:r>
      <w:r>
        <w:rPr>
          <w:rtl w:val="true"/>
        </w:rPr>
        <w:t xml:space="preserve">. </w:t>
      </w:r>
      <w:r>
        <w:rPr>
          <w:rtl w:val="true"/>
        </w:rPr>
        <w:t>בית המשפט עמד על חומרת העבירות בהן הורשעו המערערים</w:t>
      </w:r>
      <w:r>
        <w:rPr>
          <w:rtl w:val="true"/>
        </w:rPr>
        <w:t xml:space="preserve">, </w:t>
      </w:r>
      <w:r>
        <w:rPr>
          <w:rtl w:val="true"/>
        </w:rPr>
        <w:t>כאשר במעשיהם הם פגעו פגיעה קשה בערך של בטחון המדינה</w:t>
      </w:r>
      <w:r>
        <w:rPr>
          <w:rtl w:val="true"/>
        </w:rPr>
        <w:t xml:space="preserve">, </w:t>
      </w:r>
      <w:r>
        <w:rPr>
          <w:rtl w:val="true"/>
        </w:rPr>
        <w:t>שלו השלכה על בטחונו ושלומו של הציבור בכלל</w:t>
      </w:r>
      <w:r>
        <w:rPr>
          <w:rtl w:val="true"/>
        </w:rPr>
        <w:t xml:space="preserve">. </w:t>
      </w:r>
      <w:r>
        <w:rPr>
          <w:rtl w:val="true"/>
        </w:rPr>
        <w:t>עוד לחומרא</w:t>
      </w:r>
      <w:r>
        <w:rPr>
          <w:rtl w:val="true"/>
        </w:rPr>
        <w:t xml:space="preserve">, </w:t>
      </w:r>
      <w:r>
        <w:rPr>
          <w:rtl w:val="true"/>
        </w:rPr>
        <w:t>ציין בית המשפט את נסיבות ביצוע העבירות כאשר תחת מעטה של יציאה לחופשה תמימה</w:t>
      </w:r>
      <w:r>
        <w:rPr>
          <w:rtl w:val="true"/>
        </w:rPr>
        <w:t xml:space="preserve">, </w:t>
      </w:r>
      <w:r>
        <w:rPr>
          <w:rtl w:val="true"/>
        </w:rPr>
        <w:t>טוו המערערים תוכנית עבריינית של הצטרפות לארגון טרור תוך מחשבה על כל הפרטים</w:t>
      </w:r>
      <w:r>
        <w:rPr>
          <w:rtl w:val="true"/>
        </w:rPr>
        <w:t xml:space="preserve">. </w:t>
      </w:r>
      <w:r>
        <w:rPr>
          <w:rtl w:val="true"/>
        </w:rPr>
        <w:t>הם השאירו מאחור את מכשיריהם הסלולריים על מנת למנוע התחקות על עקבותיהם</w:t>
      </w:r>
      <w:r>
        <w:rPr>
          <w:rtl w:val="true"/>
        </w:rPr>
        <w:t xml:space="preserve">, </w:t>
      </w:r>
      <w:r>
        <w:rPr>
          <w:rtl w:val="true"/>
        </w:rPr>
        <w:t>הסתייעו באנשי דאע</w:t>
      </w:r>
      <w:r>
        <w:rPr>
          <w:rtl w:val="true"/>
        </w:rPr>
        <w:t>"</w:t>
      </w:r>
      <w:r>
        <w:rPr>
          <w:rtl w:val="true"/>
        </w:rPr>
        <w:t>ש לצורך הסתננות ממדינה למדינה</w:t>
      </w:r>
      <w:r>
        <w:rPr>
          <w:rtl w:val="true"/>
        </w:rPr>
        <w:t xml:space="preserve">, </w:t>
      </w:r>
      <w:r>
        <w:rPr>
          <w:rtl w:val="true"/>
        </w:rPr>
        <w:t>מתורכיה לסוריה ומסוריה לעיראק</w:t>
      </w:r>
      <w:r>
        <w:rPr>
          <w:rtl w:val="true"/>
        </w:rPr>
        <w:t xml:space="preserve">; </w:t>
      </w:r>
      <w:r>
        <w:rPr>
          <w:rtl w:val="true"/>
        </w:rPr>
        <w:t>העמידו בסיכון את ילדיהם הקטינים</w:t>
      </w:r>
      <w:r>
        <w:rPr>
          <w:rtl w:val="true"/>
        </w:rPr>
        <w:t xml:space="preserve">, </w:t>
      </w:r>
      <w:r>
        <w:rPr>
          <w:rtl w:val="true"/>
        </w:rPr>
        <w:t>במיוחד בתם הקטינה לה נתנו תרופה מרדימה בעת הסתננותם חזרה מסוריה לתורכיה</w:t>
      </w:r>
      <w:r>
        <w:rPr>
          <w:rtl w:val="true"/>
        </w:rPr>
        <w:t xml:space="preserve">; </w:t>
      </w:r>
      <w:r>
        <w:rPr>
          <w:rtl w:val="true"/>
        </w:rPr>
        <w:t>מסרו את דרכוניהם הישראליים לנציגי ארגון דאע</w:t>
      </w:r>
      <w:r>
        <w:rPr>
          <w:rtl w:val="true"/>
        </w:rPr>
        <w:t>"</w:t>
      </w:r>
      <w:r>
        <w:rPr>
          <w:rtl w:val="true"/>
        </w:rPr>
        <w:t>ש תוך התעלמות מפוטנציאל הנזק הגלום בכך</w:t>
      </w:r>
      <w:r>
        <w:rPr>
          <w:rtl w:val="true"/>
        </w:rPr>
        <w:t xml:space="preserve">. </w:t>
      </w:r>
      <w:r>
        <w:rPr>
          <w:rtl w:val="true"/>
        </w:rPr>
        <w:t xml:space="preserve">בהתחשב באמור קבע בית המשפט בעניינה של המערערת מתחם עונש שנע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  <w:r>
        <w:rPr>
          <w:rtl w:val="true"/>
        </w:rPr>
        <w:t>לזכותה של המערערת זקף בית המשפט את הודאתה</w:t>
      </w:r>
      <w:r>
        <w:rPr>
          <w:rtl w:val="true"/>
        </w:rPr>
        <w:t xml:space="preserve">, </w:t>
      </w:r>
      <w:r>
        <w:rPr>
          <w:rtl w:val="true"/>
        </w:rPr>
        <w:t>נטילת האחריות מצדה ושיתוף פעולתה עם רשויות החוק והיעדר עבר פלילי</w:t>
      </w:r>
      <w:r>
        <w:rPr>
          <w:rtl w:val="true"/>
        </w:rPr>
        <w:t xml:space="preserve">. </w:t>
      </w:r>
      <w:r>
        <w:rPr>
          <w:rtl w:val="true"/>
        </w:rPr>
        <w:t>כמו כן התחשב בפגיעה שתגרם לילדיה הקטינים כתוצאה ממאסרה</w:t>
      </w:r>
      <w:r>
        <w:rPr>
          <w:rtl w:val="true"/>
        </w:rPr>
        <w:t xml:space="preserve">, </w:t>
      </w:r>
      <w:r>
        <w:rPr>
          <w:rtl w:val="true"/>
        </w:rPr>
        <w:t>כאשר אלה מצויים בטיפול ובחזקת אמה ואביה שהפכו למשפחת אומנה לילדיה</w:t>
      </w:r>
      <w:r>
        <w:rPr>
          <w:rtl w:val="true"/>
        </w:rPr>
        <w:t xml:space="preserve">. </w:t>
      </w:r>
      <w:r>
        <w:rPr>
          <w:rtl w:val="true"/>
        </w:rPr>
        <w:t>עוד התחשב בית המשפט בכך שחלקה היה פחוּת מחלקו של המערער</w:t>
      </w:r>
      <w:r>
        <w:rPr>
          <w:rtl w:val="true"/>
        </w:rPr>
        <w:t xml:space="preserve">. </w:t>
      </w:r>
      <w:r>
        <w:rPr>
          <w:rtl w:val="true"/>
        </w:rPr>
        <w:t>בנסיבות המקרה סבר בית המשפט כי יש צורך בהרתעת המערערת והרתעת הרבים</w:t>
      </w:r>
      <w:r>
        <w:rPr>
          <w:rtl w:val="true"/>
        </w:rPr>
        <w:t xml:space="preserve">. </w:t>
      </w:r>
      <w:r>
        <w:rPr>
          <w:rtl w:val="true"/>
        </w:rPr>
        <w:t xml:space="preserve">לאור כל האמור העמיד את עונשה על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 לריצוי בפועל וענישה נלווית כפי שפורט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בעניינו של המערער עמד בית המשפט</w:t>
      </w:r>
      <w:r>
        <w:rPr>
          <w:rtl w:val="true"/>
        </w:rPr>
        <w:t xml:space="preserve">,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על כך כי המערער ביצע את המעשים לאור הזדהותו עם האידיאולוגיה של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דחה את טענתו כי נגרר אחרי המערערת לביצוע המעשים</w:t>
      </w:r>
      <w:r>
        <w:rPr>
          <w:rtl w:val="true"/>
        </w:rPr>
        <w:t xml:space="preserve">, </w:t>
      </w:r>
      <w:r>
        <w:rPr>
          <w:rtl w:val="true"/>
        </w:rPr>
        <w:t>וקבע כי המערער היה הדומיננטי מבין השניים</w:t>
      </w:r>
      <w:r>
        <w:rPr>
          <w:rtl w:val="true"/>
        </w:rPr>
        <w:t xml:space="preserve">, </w:t>
      </w:r>
      <w:r>
        <w:rPr>
          <w:rtl w:val="true"/>
        </w:rPr>
        <w:t>שתכנן את המעשים היטב טרם יצאו את ישראל והיה זה שיצר את הקשר עם אנשי דאע</w:t>
      </w:r>
      <w:r>
        <w:rPr>
          <w:rtl w:val="true"/>
        </w:rPr>
        <w:t>"</w:t>
      </w:r>
      <w:r>
        <w:rPr>
          <w:rtl w:val="true"/>
        </w:rPr>
        <w:t>ש בהמשך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הוא נטל חלק פעיל באימונים ובלחימה עבור 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לאור האמור העמיד בית המשפט את המתחם בעניינו של המערער בין שלוש וחצי שנות מאסר לשבע שנות מאסר וגזר את דינו ל</w:t>
      </w:r>
      <w:r>
        <w:rPr>
          <w:rtl w:val="true"/>
        </w:rPr>
        <w:t xml:space="preserve">-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 מאסר בפועל בציינו בין יתר נימוקיו</w:t>
      </w:r>
      <w:r>
        <w:rPr>
          <w:rtl w:val="true"/>
        </w:rPr>
        <w:t xml:space="preserve">, </w:t>
      </w:r>
      <w:r>
        <w:rPr>
          <w:rtl w:val="true"/>
        </w:rPr>
        <w:t>את הצורך בהרתעת המערער והרבים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המערערים מלינים על חומרת העונשים שנגזרו עליהם</w:t>
      </w:r>
      <w:r>
        <w:rPr>
          <w:rtl w:val="true"/>
        </w:rPr>
        <w:t xml:space="preserve">. </w:t>
      </w:r>
      <w:r>
        <w:rPr>
          <w:rtl w:val="true"/>
        </w:rPr>
        <w:t>למען שלמות התמונה יצוין כי בתחילה הגיש המערער ערעור שכוון גם נגד ההרשעה בעבירה של מגע עם סוכן זר</w:t>
      </w:r>
      <w:r>
        <w:rPr>
          <w:rtl w:val="true"/>
        </w:rPr>
        <w:t xml:space="preserve">, </w:t>
      </w:r>
      <w:r>
        <w:rPr>
          <w:rtl w:val="true"/>
        </w:rPr>
        <w:t>אך לאחר שמיעת מלוא טענותיו והערות בית המשפט חזר בו מכך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מרכז הכובד בטיעוני באי כוח המערערים מצוי בחריגת בית המשפט</w:t>
      </w:r>
      <w:r>
        <w:rPr>
          <w:rtl w:val="true"/>
        </w:rPr>
        <w:t xml:space="preserve">, </w:t>
      </w:r>
      <w:r>
        <w:rPr>
          <w:rtl w:val="true"/>
        </w:rPr>
        <w:t>כך לטענתם</w:t>
      </w:r>
      <w:r>
        <w:rPr>
          <w:rtl w:val="true"/>
        </w:rPr>
        <w:t xml:space="preserve">, </w:t>
      </w:r>
      <w:r>
        <w:rPr>
          <w:rtl w:val="true"/>
        </w:rPr>
        <w:t>ממדיניות הענישה הנהוגה במקרים דומים</w:t>
      </w:r>
      <w:r>
        <w:rPr>
          <w:rtl w:val="true"/>
        </w:rPr>
        <w:t xml:space="preserve">, </w:t>
      </w:r>
      <w:r>
        <w:rPr>
          <w:rtl w:val="true"/>
        </w:rPr>
        <w:t>תוך שהם מפרטים שורה ארוכה של פסקי דין שיצאו מלפני בית משפט זה וערכאות דיוניות שונות</w:t>
      </w:r>
      <w:r>
        <w:rPr>
          <w:rtl w:val="true"/>
        </w:rPr>
        <w:t xml:space="preserve">, </w:t>
      </w:r>
      <w:r>
        <w:rPr>
          <w:rtl w:val="true"/>
        </w:rPr>
        <w:t>כאשר העונש שהוטל על המערערים הינו החמור מבין כל אותם מקרים שפורטו וכי לא נמצאה לחריגה זו כל הצדקה עניינית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ההחמרה בענישה צריכה להיעשות באופן הדרגתי ולא באופן קיצוני ודרסטי כבעניינם של המערערים</w:t>
      </w:r>
      <w:r>
        <w:rPr>
          <w:rtl w:val="true"/>
        </w:rPr>
        <w:t xml:space="preserve">. </w:t>
      </w:r>
      <w:r>
        <w:rPr>
          <w:rtl w:val="true"/>
        </w:rPr>
        <w:t>עוד ציינו באי כוח המערערים</w:t>
      </w:r>
      <w:r>
        <w:rPr>
          <w:rtl w:val="true"/>
        </w:rPr>
        <w:t xml:space="preserve">, </w:t>
      </w:r>
      <w:r>
        <w:rPr>
          <w:rtl w:val="true"/>
        </w:rPr>
        <w:t>את עובדת היותם של המערערים הורים לשלושה ילדים קטינים</w:t>
      </w:r>
      <w:r>
        <w:rPr>
          <w:rtl w:val="true"/>
        </w:rPr>
        <w:t xml:space="preserve">, </w:t>
      </w:r>
      <w:r>
        <w:rPr>
          <w:rtl w:val="true"/>
        </w:rPr>
        <w:t>שבעקבות מעצרם מצויים במשפחת אומנה</w:t>
      </w:r>
      <w:r>
        <w:rPr>
          <w:rtl w:val="true"/>
        </w:rPr>
        <w:t xml:space="preserve">. </w:t>
      </w:r>
      <w:r>
        <w:rPr>
          <w:rtl w:val="true"/>
        </w:rPr>
        <w:t>ואף שהקטינים מטופלים בפן הפיזי</w:t>
      </w:r>
      <w:r>
        <w:rPr>
          <w:rtl w:val="true"/>
        </w:rPr>
        <w:t xml:space="preserve">, </w:t>
      </w:r>
      <w:r>
        <w:rPr>
          <w:rtl w:val="true"/>
        </w:rPr>
        <w:t>הם סובלים ממצוקות נפשיות על רקע הניתוק והריחוק מהוריהם</w:t>
      </w:r>
      <w:r>
        <w:rPr>
          <w:rtl w:val="true"/>
        </w:rPr>
        <w:t xml:space="preserve">. </w:t>
      </w:r>
      <w:r>
        <w:rPr>
          <w:rtl w:val="true"/>
        </w:rPr>
        <w:t>לתמיכה בטיעוניהם הגישו אישורים ממוסדות חינוך וממכון לטיפול רגשי</w:t>
      </w:r>
      <w:r>
        <w:rPr>
          <w:rtl w:val="true"/>
        </w:rPr>
        <w:t xml:space="preserve">. </w:t>
      </w:r>
      <w:r>
        <w:rPr>
          <w:rtl w:val="true"/>
        </w:rPr>
        <w:t>בא כוח המערער הוסיף</w:t>
      </w:r>
      <w:r>
        <w:rPr>
          <w:rtl w:val="true"/>
        </w:rPr>
        <w:t xml:space="preserve">, </w:t>
      </w:r>
      <w:r>
        <w:rPr>
          <w:rtl w:val="true"/>
        </w:rPr>
        <w:t>כי חרף הרשעת המערער במיוחס לו הוא לא התכוון לפגוע בבטחון מדינת ישראל</w:t>
      </w:r>
      <w:r>
        <w:rPr>
          <w:rtl w:val="true"/>
        </w:rPr>
        <w:t xml:space="preserve">, </w:t>
      </w:r>
      <w:r>
        <w:rPr>
          <w:rtl w:val="true"/>
        </w:rPr>
        <w:t>וכי הצטרפותו ומלחמתו במסגרת ארגון דאע</w:t>
      </w:r>
      <w:r>
        <w:rPr>
          <w:rtl w:val="true"/>
        </w:rPr>
        <w:t>"</w:t>
      </w:r>
      <w:r>
        <w:rPr>
          <w:rtl w:val="true"/>
        </w:rPr>
        <w:t>ש לא כוונה נגד המדינה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באת כוח המשיבה התנגדה לכל הקלה בדינם של המערערים</w:t>
      </w:r>
      <w:r>
        <w:rPr>
          <w:rtl w:val="true"/>
        </w:rPr>
        <w:t xml:space="preserve">, </w:t>
      </w:r>
      <w:r>
        <w:rPr>
          <w:rtl w:val="true"/>
        </w:rPr>
        <w:t>לדידה אף שהעונש שהוטל על המערערים אינו קל ונחשב לחמור ביותר מבין אלה שהוטלו על מעורבים בעבירות דומות</w:t>
      </w:r>
      <w:r>
        <w:rPr>
          <w:rtl w:val="true"/>
        </w:rPr>
        <w:t xml:space="preserve">, </w:t>
      </w:r>
      <w:r>
        <w:rPr>
          <w:rtl w:val="true"/>
        </w:rPr>
        <w:t>הנסיבות דכאן הצדיקו את הענישה שהוטלה והיא הולמת את נסיבות ביצוען של העבירות החמורות</w:t>
      </w:r>
      <w:r>
        <w:rPr>
          <w:rtl w:val="true"/>
        </w:rPr>
        <w:t xml:space="preserve">. </w:t>
      </w:r>
      <w:r>
        <w:rPr>
          <w:rtl w:val="true"/>
        </w:rPr>
        <w:t>עוד ביקשה לאבחן</w:t>
      </w:r>
      <w:r>
        <w:rPr>
          <w:rtl w:val="true"/>
        </w:rPr>
        <w:t xml:space="preserve">,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את נסיבותיו של המקרה כאן בהיותם של המערערים אנשים בוגרים ולא צעירים בגירים המושפעים מאחרים</w:t>
      </w:r>
      <w:r>
        <w:rPr>
          <w:rtl w:val="true"/>
        </w:rPr>
        <w:t xml:space="preserve">. </w:t>
      </w:r>
      <w:r>
        <w:rPr>
          <w:rtl w:val="true"/>
        </w:rPr>
        <w:t>עוד עמדה על משך התקופה הארוכה במהלכה שהו המערערים בעיראק</w:t>
      </w:r>
      <w:r>
        <w:rPr>
          <w:rtl w:val="true"/>
        </w:rPr>
        <w:t xml:space="preserve">, </w:t>
      </w:r>
      <w:r>
        <w:rPr>
          <w:rtl w:val="true"/>
        </w:rPr>
        <w:t>כאשר בחלק מהתקופה המערער לחם בשירות ארגון דאע</w:t>
      </w:r>
      <w:r>
        <w:rPr>
          <w:rtl w:val="true"/>
        </w:rPr>
        <w:t>"</w:t>
      </w:r>
      <w:r>
        <w:rPr>
          <w:rtl w:val="true"/>
        </w:rPr>
        <w:t>ש וקידם את מטרותיו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אין מחלוקת כי העבירות בהן הורשעו המערערים הינן עבירות חמורות שטמון בהן פוטנציאל סיכון לבטחון המדינה ולבטחון הציבור</w:t>
      </w:r>
      <w:r>
        <w:rPr>
          <w:rtl w:val="true"/>
        </w:rPr>
        <w:t xml:space="preserve">, </w:t>
      </w:r>
      <w:r>
        <w:rPr>
          <w:rtl w:val="true"/>
        </w:rPr>
        <w:t>ואין הצהרתו של המערער כי הצטרפותו לדאע</w:t>
      </w:r>
      <w:r>
        <w:rPr>
          <w:rtl w:val="true"/>
        </w:rPr>
        <w:t>"</w:t>
      </w:r>
      <w:r>
        <w:rPr>
          <w:rtl w:val="true"/>
        </w:rPr>
        <w:t>ש לא כוונה נגד בטחון המדינה משנה כהוא זה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 בהגדרתו הינו ארגון טרור מהמסוכנים שקמו</w:t>
      </w:r>
      <w:r>
        <w:rPr>
          <w:rtl w:val="true"/>
        </w:rPr>
        <w:t xml:space="preserve">. </w:t>
      </w:r>
      <w:r>
        <w:rPr>
          <w:rtl w:val="true"/>
        </w:rPr>
        <w:t>מלחמתו של דאע</w:t>
      </w:r>
      <w:r>
        <w:rPr>
          <w:rtl w:val="true"/>
        </w:rPr>
        <w:t>"</w:t>
      </w:r>
      <w:r>
        <w:rPr>
          <w:rtl w:val="true"/>
        </w:rPr>
        <w:t xml:space="preserve">ש מכוונת בין היתר גם כלפי מדינת ישראל ואזרחיה </w:t>
      </w:r>
      <w:r>
        <w:rPr>
          <w:rtl w:val="true"/>
        </w:rPr>
        <w:t>"</w:t>
      </w:r>
      <w:r>
        <w:rPr>
          <w:rtl w:val="true"/>
        </w:rPr>
        <w:t>אין ספק כי ארגון הג</w:t>
      </w:r>
      <w:r>
        <w:rPr>
          <w:rtl w:val="true"/>
        </w:rPr>
        <w:t>'</w:t>
      </w:r>
      <w:r>
        <w:rPr>
          <w:rtl w:val="true"/>
        </w:rPr>
        <w:t xml:space="preserve">יהאד העולמי </w:t>
      </w:r>
      <w:r>
        <w:rPr>
          <w:rtl w:val="true"/>
        </w:rPr>
        <w:t>"</w:t>
      </w:r>
      <w:r>
        <w:rPr>
          <w:rtl w:val="true"/>
        </w:rPr>
        <w:t>המדינה האסלאמית</w:t>
      </w:r>
      <w:r>
        <w:rPr>
          <w:rtl w:val="true"/>
        </w:rPr>
        <w:t>" (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... </w:t>
      </w:r>
      <w:r>
        <w:rPr>
          <w:rtl w:val="true"/>
        </w:rPr>
        <w:t>מהווים סכנה חמורה למדינות בהן פועלים ארגונים אלה ולתושביהן</w:t>
      </w:r>
      <w:r>
        <w:rPr>
          <w:rtl w:val="true"/>
        </w:rPr>
        <w:t xml:space="preserve">, </w:t>
      </w:r>
      <w:r>
        <w:rPr>
          <w:rtl w:val="true"/>
        </w:rPr>
        <w:t>כמו גם</w:t>
      </w:r>
      <w:r>
        <w:rPr>
          <w:rtl w:val="true"/>
        </w:rPr>
        <w:t xml:space="preserve">, </w:t>
      </w:r>
      <w:r>
        <w:rPr>
          <w:rtl w:val="true"/>
        </w:rPr>
        <w:t>סכנה למדינת ישראל ולעולם החופשי כולו</w:t>
      </w:r>
      <w:r>
        <w:rPr>
          <w:rtl w:val="true"/>
        </w:rPr>
        <w:t xml:space="preserve">. </w:t>
      </w:r>
      <w:r>
        <w:rPr>
          <w:rtl w:val="true"/>
        </w:rPr>
        <w:t>מעשיו הרצחניים</w:t>
      </w:r>
      <w:r>
        <w:rPr>
          <w:rtl w:val="true"/>
        </w:rPr>
        <w:t xml:space="preserve">, </w:t>
      </w:r>
      <w:r>
        <w:rPr>
          <w:rtl w:val="true"/>
        </w:rPr>
        <w:t>האכזריים והבלתי אנושיים של ארגון דאע</w:t>
      </w:r>
      <w:r>
        <w:rPr>
          <w:rtl w:val="true"/>
        </w:rPr>
        <w:t>"</w:t>
      </w:r>
      <w:r>
        <w:rPr>
          <w:rtl w:val="true"/>
        </w:rPr>
        <w:t>ש ידועים למרבה הצער בכל העולם</w:t>
      </w:r>
      <w:r>
        <w:rPr>
          <w:rtl w:val="true"/>
        </w:rPr>
        <w:t xml:space="preserve">, </w:t>
      </w:r>
      <w:r>
        <w:rPr>
          <w:rtl w:val="true"/>
        </w:rPr>
        <w:t>וסכנותיו גלויות וברורות</w:t>
      </w:r>
      <w:r>
        <w:rPr>
          <w:rtl w:val="true"/>
        </w:rPr>
        <w:t>..."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8333/15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חאלדי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 דינו של השופט</w:t>
      </w:r>
      <w:r>
        <w:rPr>
          <w:rFonts w:ascii="Century" w:hAnsi="Century" w:cs="Century"/>
          <w:sz w:val="22"/>
          <w:sz w:val="22"/>
          <w:rtl w:val="true"/>
        </w:rPr>
        <w:t xml:space="preserve"> מזוז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sz w:val="28"/>
          <w:rtl w:val="true"/>
        </w:rPr>
        <w:t>‏</w:t>
      </w:r>
      <w:r>
        <w:rPr>
          <w:sz w:val="28"/>
        </w:rPr>
        <w:t>23.8.2016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חאלדי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כמתחייב מחומרת העבירות</w:t>
      </w:r>
      <w:r>
        <w:rPr>
          <w:rtl w:val="true"/>
        </w:rPr>
        <w:t xml:space="preserve">, </w:t>
      </w:r>
      <w:r>
        <w:rPr>
          <w:rtl w:val="true"/>
        </w:rPr>
        <w:t>והתפשטות התופעה של אזרחי ישראל המצטרפים לדאע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חלה החמרה בענישה נגד מבצעי מעשים כגון אלה המיוחסים למערערים</w:t>
      </w:r>
      <w:r>
        <w:rPr>
          <w:rtl w:val="true"/>
        </w:rPr>
        <w:t xml:space="preserve">. </w:t>
      </w:r>
      <w:r>
        <w:rPr>
          <w:rtl w:val="true"/>
        </w:rPr>
        <w:t>הדבר התבקש לאור הצורך בהעברת מסר מרתיע</w:t>
      </w:r>
      <w:r>
        <w:rPr>
          <w:rtl w:val="true"/>
        </w:rPr>
        <w:t xml:space="preserve">, </w:t>
      </w:r>
      <w:r>
        <w:rPr>
          <w:rtl w:val="true"/>
        </w:rPr>
        <w:t>חד וברור כי מבצעי מעשים כאלה ייענשו בחומרה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בבחינת הפסיקה שיצאה מלפני בית משפט זה וערכאות דיוניות במקרים דומים</w:t>
      </w:r>
      <w:r>
        <w:rPr>
          <w:rtl w:val="true"/>
        </w:rPr>
        <w:t xml:space="preserve">, </w:t>
      </w:r>
      <w:r>
        <w:rPr>
          <w:rtl w:val="true"/>
        </w:rPr>
        <w:t>עולה כי העונשים שהוטלו על המערערים כאן חורגים ולחומרא ממדיניות הענישה הנוהגת מבלי שנמצאה לכך סיבה ראויה</w:t>
      </w:r>
      <w:r>
        <w:rPr>
          <w:rtl w:val="true"/>
        </w:rPr>
        <w:t xml:space="preserve">. </w:t>
      </w:r>
      <w:r>
        <w:rPr>
          <w:rtl w:val="true"/>
        </w:rPr>
        <w:t xml:space="preserve">באי כוח המערערים הפנו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חאלדי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2.11.2017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62355-01-15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סנובר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21.4.2016</w:t>
      </w:r>
      <w:r>
        <w:rPr>
          <w:rtl w:val="true"/>
        </w:rPr>
        <w:t xml:space="preserve">). </w:t>
      </w:r>
      <w:r>
        <w:rPr>
          <w:rtl w:val="true"/>
        </w:rPr>
        <w:t>באת כוח המשיבה הצדיקה את ההחמרה בענישה בכך שהמערערים כאן הם אנשי משפחה בוגרים שלהם ילדים קטנים</w:t>
      </w:r>
      <w:r>
        <w:rPr>
          <w:rtl w:val="true"/>
        </w:rPr>
        <w:t xml:space="preserve">, </w:t>
      </w:r>
      <w:r>
        <w:rPr>
          <w:rtl w:val="true"/>
        </w:rPr>
        <w:t>אותם סיכנו</w:t>
      </w:r>
      <w:r>
        <w:rPr>
          <w:rtl w:val="true"/>
        </w:rPr>
        <w:t xml:space="preserve">, </w:t>
      </w:r>
      <w:r>
        <w:rPr>
          <w:rtl w:val="true"/>
        </w:rPr>
        <w:t>להבדיל מצעירים בגירים</w:t>
      </w:r>
      <w:r>
        <w:rPr>
          <w:rtl w:val="true"/>
        </w:rPr>
        <w:t xml:space="preserve">, </w:t>
      </w:r>
      <w:r>
        <w:rPr>
          <w:rtl w:val="true"/>
        </w:rPr>
        <w:t>שדעתם קלה שהסתבכו בעבירות מעין אלו</w:t>
      </w:r>
      <w:r>
        <w:rPr>
          <w:rtl w:val="true"/>
        </w:rPr>
        <w:t xml:space="preserve">. </w:t>
      </w:r>
      <w:r>
        <w:rPr>
          <w:rtl w:val="true"/>
        </w:rPr>
        <w:t>עוד ביקשה להסביר את ההחמרה באורך תקופת שהותם של המערערים בעיראק</w:t>
      </w:r>
      <w:r>
        <w:rPr>
          <w:rtl w:val="true"/>
        </w:rPr>
        <w:t xml:space="preserve">. </w:t>
      </w:r>
      <w:r>
        <w:rPr>
          <w:rtl w:val="true"/>
        </w:rPr>
        <w:t>גם אם יש ממש בטעמים אלה</w:t>
      </w:r>
      <w:r>
        <w:rPr>
          <w:rtl w:val="true"/>
        </w:rPr>
        <w:t xml:space="preserve">, </w:t>
      </w:r>
      <w:r>
        <w:rPr>
          <w:rtl w:val="true"/>
        </w:rPr>
        <w:t>לא מצאנו בהם הסבר משכנע להחמרה בענישה וכפי שנקט בה בית המשפט המחוזי בעניינם של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דומה כי לא נחדש דבר אם נאמר כי החמרה בענישה ראוי שתיעשה בהדרגתיות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3065/15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 xml:space="preserve"> (</w:t>
      </w:r>
      <w:r>
        <w:rPr>
          <w:sz w:val="28"/>
          <w:rtl w:val="true"/>
        </w:rPr>
        <w:t>‏</w:t>
      </w:r>
      <w:r>
        <w:rPr>
          <w:sz w:val="28"/>
        </w:rPr>
        <w:t>26.6.2016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4737/16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4</w:t>
      </w:r>
      <w:r>
        <w:rPr>
          <w:rtl w:val="true"/>
        </w:rPr>
        <w:t xml:space="preserve"> (</w:t>
      </w:r>
      <w:r>
        <w:rPr>
          <w:sz w:val="28"/>
        </w:rPr>
        <w:t>27.7.2016</w:t>
      </w:r>
      <w:r>
        <w:rPr>
          <w:rtl w:val="true"/>
        </w:rPr>
        <w:t xml:space="preserve">)). </w:t>
      </w:r>
      <w:r>
        <w:rPr>
          <w:rtl w:val="true"/>
        </w:rPr>
        <w:t>משעונשם של המערערים חרג ולחומרא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מצאנו להתערב ולהעמיד את העונש שהוטל על המערער על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והעונש שהוטל על המערערת על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יתר חלקי גזר הדין יוותרו 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ז‏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25.11.2018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ab/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17037800</w:t>
      </w:r>
      <w:r>
        <w:rPr>
          <w:sz w:val="16"/>
          <w:rtl w:val="true"/>
        </w:rPr>
        <w:t>_</w:t>
      </w:r>
      <w:r>
        <w:rPr>
          <w:sz w:val="16"/>
        </w:rPr>
        <w:t>Q02.doc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  <w:r>
        <w:rPr>
          <w:rtl w:val="true"/>
        </w:rPr>
        <w:t>+</w:t>
      </w:r>
      <w:r>
        <w:rPr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54678313-3780/17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3780/17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סברין זבידאת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6680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14" TargetMode="External"/><Relationship Id="rId5" Type="http://schemas.openxmlformats.org/officeDocument/2006/relationships/hyperlink" Target="http://www.nevo.co.il/law/70301/143.1.b" TargetMode="External"/><Relationship Id="rId6" Type="http://schemas.openxmlformats.org/officeDocument/2006/relationships/hyperlink" Target="http://www.nevo.co.il/law/72510" TargetMode="External"/><Relationship Id="rId7" Type="http://schemas.openxmlformats.org/officeDocument/2006/relationships/hyperlink" Target="http://www.nevo.co.il/law/72510/2a" TargetMode="External"/><Relationship Id="rId8" Type="http://schemas.openxmlformats.org/officeDocument/2006/relationships/hyperlink" Target="http://www.nevo.co.il/law/73729" TargetMode="External"/><Relationship Id="rId9" Type="http://schemas.openxmlformats.org/officeDocument/2006/relationships/hyperlink" Target="http://www.nevo.co.il/law/73729/85.1.a" TargetMode="External"/><Relationship Id="rId10" Type="http://schemas.openxmlformats.org/officeDocument/2006/relationships/hyperlink" Target="http://www.nevo.co.il/law/73729/85.1.c" TargetMode="External"/><Relationship Id="rId11" Type="http://schemas.openxmlformats.org/officeDocument/2006/relationships/hyperlink" Target="http://www.nevo.co.il/law/72515" TargetMode="External"/><Relationship Id="rId12" Type="http://schemas.openxmlformats.org/officeDocument/2006/relationships/hyperlink" Target="http://www.nevo.co.il/law/72515/3" TargetMode="External"/><Relationship Id="rId13" Type="http://schemas.openxmlformats.org/officeDocument/2006/relationships/hyperlink" Target="http://www.nevo.co.il/case/21566803" TargetMode="External"/><Relationship Id="rId14" Type="http://schemas.openxmlformats.org/officeDocument/2006/relationships/hyperlink" Target="http://www.nevo.co.il/law/70301/11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2510/2a" TargetMode="External"/><Relationship Id="rId17" Type="http://schemas.openxmlformats.org/officeDocument/2006/relationships/hyperlink" Target="http://www.nevo.co.il/law/72510" TargetMode="External"/><Relationship Id="rId18" Type="http://schemas.openxmlformats.org/officeDocument/2006/relationships/hyperlink" Target="http://www.nevo.co.il/law/73729/85.1.a" TargetMode="External"/><Relationship Id="rId19" Type="http://schemas.openxmlformats.org/officeDocument/2006/relationships/hyperlink" Target="http://www.nevo.co.il/law/73729" TargetMode="External"/><Relationship Id="rId20" Type="http://schemas.openxmlformats.org/officeDocument/2006/relationships/hyperlink" Target="http://www.nevo.co.il/law/72515/3" TargetMode="External"/><Relationship Id="rId21" Type="http://schemas.openxmlformats.org/officeDocument/2006/relationships/hyperlink" Target="http://www.nevo.co.il/law/72515" TargetMode="External"/><Relationship Id="rId22" Type="http://schemas.openxmlformats.org/officeDocument/2006/relationships/hyperlink" Target="http://www.nevo.co.il/law/73729/85.1.c" TargetMode="External"/><Relationship Id="rId23" Type="http://schemas.openxmlformats.org/officeDocument/2006/relationships/hyperlink" Target="http://www.nevo.co.il/law/70301/143.1.b" TargetMode="External"/><Relationship Id="rId24" Type="http://schemas.openxmlformats.org/officeDocument/2006/relationships/hyperlink" Target="http://www.nevo.co.il/law/70301/114" TargetMode="External"/><Relationship Id="rId25" Type="http://schemas.openxmlformats.org/officeDocument/2006/relationships/hyperlink" Target="http://www.nevo.co.il/case/20784257" TargetMode="External"/><Relationship Id="rId26" Type="http://schemas.openxmlformats.org/officeDocument/2006/relationships/hyperlink" Target="http://www.nevo.co.il/case/22944893" TargetMode="External"/><Relationship Id="rId27" Type="http://schemas.openxmlformats.org/officeDocument/2006/relationships/hyperlink" Target="http://www.nevo.co.il/case/18857491" TargetMode="External"/><Relationship Id="rId28" Type="http://schemas.openxmlformats.org/officeDocument/2006/relationships/hyperlink" Target="http://www.nevo.co.il/case/20253096" TargetMode="External"/><Relationship Id="rId29" Type="http://schemas.openxmlformats.org/officeDocument/2006/relationships/hyperlink" Target="http://www.nevo.co.il/case/21477511" TargetMode="External"/><Relationship Id="rId30" Type="http://schemas.openxmlformats.org/officeDocument/2006/relationships/hyperlink" Target="https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2018-11-26T12:35:00Z</dcterms:created>
  <dc:creator> </dc:creator>
  <dc:description/>
  <cp:keywords/>
  <dc:language>en-IL</dc:language>
  <cp:lastModifiedBy>orly</cp:lastModifiedBy>
  <cp:lastPrinted>2018-11-21T10:21:00Z</cp:lastPrinted>
  <dcterms:modified xsi:type="dcterms:W3CDTF">2018-11-26T12:35:00Z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סברין זבידאת;ויסאם זבידאת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22636294:3;23506627:3;21566803:2;20784257;22944893;18857491;20253096;21477511</vt:lpwstr>
  </property>
  <property fmtid="{D5CDD505-2E9C-101B-9397-08002B2CF9AE}" pid="9" name="CITY">
    <vt:lpwstr/>
  </property>
  <property fmtid="{D5CDD505-2E9C-101B-9397-08002B2CF9AE}" pid="10" name="DATE">
    <vt:lpwstr>20181125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עמית;ג' קרא;ע' גרוסקופף</vt:lpwstr>
  </property>
  <property fmtid="{D5CDD505-2E9C-101B-9397-08002B2CF9AE}" pid="14" name="LAWLISTTMP1">
    <vt:lpwstr>70301/114:2;143.1.b</vt:lpwstr>
  </property>
  <property fmtid="{D5CDD505-2E9C-101B-9397-08002B2CF9AE}" pid="15" name="LAWLISTTMP2">
    <vt:lpwstr>72510/002a</vt:lpwstr>
  </property>
  <property fmtid="{D5CDD505-2E9C-101B-9397-08002B2CF9AE}" pid="16" name="LAWLISTTMP3">
    <vt:lpwstr>73729/085.1.a;085.1.c</vt:lpwstr>
  </property>
  <property fmtid="{D5CDD505-2E9C-101B-9397-08002B2CF9AE}" pid="17" name="LAWLISTTMP4">
    <vt:lpwstr>72515/003</vt:lpwstr>
  </property>
  <property fmtid="{D5CDD505-2E9C-101B-9397-08002B2CF9AE}" pid="18" name="LAWYER">
    <vt:lpwstr>קרן רוט;ראניה חדאד;אליאס אבו עטא;ברכה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</vt:lpwstr>
  </property>
  <property fmtid="{D5CDD505-2E9C-101B-9397-08002B2CF9AE}" pid="51" name="NOSE31">
    <vt:lpwstr>מדיניות ענישה: עבירות ביטחון</vt:lpwstr>
  </property>
  <property fmtid="{D5CDD505-2E9C-101B-9397-08002B2CF9AE}" pid="52" name="NOSE310">
    <vt:lpwstr/>
  </property>
  <property fmtid="{D5CDD505-2E9C-101B-9397-08002B2CF9AE}" pid="53" name="NOSE32">
    <vt:lpwstr>מדיניות ענישה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8985;8981</vt:lpwstr>
  </property>
  <property fmtid="{D5CDD505-2E9C-101B-9397-08002B2CF9AE}" pid="62" name="PADIDATE">
    <vt:lpwstr>20181126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3780;9159</vt:lpwstr>
  </property>
  <property fmtid="{D5CDD505-2E9C-101B-9397-08002B2CF9AE}" pid="68" name="PROCYEAR">
    <vt:lpwstr>17;17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410120181125</vt:lpwstr>
  </property>
  <property fmtid="{D5CDD505-2E9C-101B-9397-08002B2CF9AE}" pid="72" name="TYPE_N_DATE">
    <vt:lpwstr>41020181125</vt:lpwstr>
  </property>
  <property fmtid="{D5CDD505-2E9C-101B-9397-08002B2CF9AE}" pid="73" name="VOLUME">
    <vt:lpwstr/>
  </property>
  <property fmtid="{D5CDD505-2E9C-101B-9397-08002B2CF9AE}" pid="74" name="WORDNUMPAGES">
    <vt:lpwstr>7</vt:lpwstr>
  </property>
</Properties>
</file>