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3791/18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שלמה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סבאג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29779-05-17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29.3.2018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16.7.2018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מושקוביץ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–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השתיקה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–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ובמרקם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ובחירותם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הנסחטים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והכלכלי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השתיקה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5" w:name="Writer_Name"/>
      <w:bookmarkEnd w:id="15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  <w:bookmarkStart w:id="16" w:name="_GoBack"/>
      <w:bookmarkStart w:id="17" w:name="Start_Write"/>
      <w:bookmarkStart w:id="18" w:name="_GoBack"/>
      <w:bookmarkStart w:id="19" w:name="Start_Write"/>
      <w:bookmarkEnd w:id="18"/>
      <w:bookmarkEnd w:id="19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29.3.2018</w:t>
      </w:r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סבאג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29779-05-17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מתלונן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13.2.2018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הוגש כתב אישום מתוקן נגד המערערים </w:t>
      </w:r>
      <w:r>
        <w:rPr>
          <w:rFonts w:ascii="Times New Roman" w:hAnsi="Times New Roman" w:cs="Times New Roman"/>
          <w:rtl w:val="true"/>
        </w:rPr>
        <w:t>במסגרת הסדר טיעון בינ</w:t>
      </w:r>
      <w:r>
        <w:rPr>
          <w:rFonts w:ascii="Times New Roman" w:hAnsi="Times New Roman" w:cs="Times New Roman"/>
          <w:rtl w:val="true"/>
        </w:rPr>
        <w:t>ם</w:t>
      </w:r>
      <w:r>
        <w:rPr>
          <w:rFonts w:ascii="Times New Roman" w:hAnsi="Times New Roman" w:cs="Times New Roman"/>
          <w:rtl w:val="true"/>
        </w:rPr>
        <w:t xml:space="preserve"> לבין המשיבה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מעובדות כתב האישום המתוקן עולה כי המתלונן וקרוב 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אדם בשם תומר לוי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תומר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ניהלו במשותף בית עסק במשך תקופה ארוכה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העסק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נחתם לבקשתו של תומר הסכם לפירוק השותפות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ההסכם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לפי האמור בכתב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המתלונן עמד בתנאי ההסכם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ואולם במהלך שנת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הובא לידיעת המערערים כי תומר אינו שבע רצון מההסכם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בשני מועדים שונים במהלך חודש דצמבר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הגיע 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סמוך לבית העסק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בפני המתלונן כי תומר סיפר לו שבמהלך עבודתם כשותפים המתלונן גנב מתומר כספים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טען כי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שאף הוא קרוב משפחה של המתלונן ושל תומר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כי המתלונן ייבדק במכונת אמת בעניין הטענות כלפיו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בשלב זה הסביר המתלונן למערער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 ההסכם שבינו לבין תומר נערך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עורך 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במידה שיש לתומר טענות כלפיו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 הוא לפנות לבית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בהמשך שאל 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המתלונן האם להזמין עבורו מכונת אמת או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 ילך לכיוונים אחרים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ימים ספורים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פגשו המערערים את המתלונן במשרד הסמוך לבית העסק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במסגרת פגישות אלה הבהיר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למתלונן כי יש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לסיים את העניין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הציע לו להיבדק במכונת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וציין כי במידה שמכונת האמת תגלה כי המתלונן משקר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יהיה עליו לשלם מיליון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שיתחלקו באופן שווה בין המערערים לבין תומר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אף אמר כי המתלונן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יודע כיצד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פועל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הציעו המערערים כי המתלונן יכניסם כשותפים לעסק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המתלונן הבהיר שבמצב זה יעדיף למכור את העסק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בתגובה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קבעו המערערים כי הם ימכרו עבורו את בית העסק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הסכום שיתקבל תמורתו יתחלק באופן שווה בין המתלונן לבין תומר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כל אחד מהם יעביר למערערים מחצית מהסכום שיקבל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זמן קצר לאחר התרחשות האירועים האמורים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הגיע 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לבית העסק ואמר למתלונן כי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עצבני משום שהמתלונן אינו יוצר עמם קשר ואינו עונה לטלפונים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והבהיר כי הדבר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הולך למקומות ש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המתלונן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לא יאהב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המתלונן שאל בתגובה האם המערערים מתכוונים להרגו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השיב כי הם פועלים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בדרכים אחרות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תוך שהוא רומז לשימוש באמצעים פוגעניים ממשיים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בסמוך לאחר שיחה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דרשו המערערים מהמתלונן כי יאשר לרואה החשבון שלו למסור להם דוחות כספיים של בית העסק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והמתלונן עשה כן מתוך חשש מפגיעת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אירוע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חדל המתלונן להישמע לדרישות המערערים ולענות לשיחות טלפון ממספרים לא מזוהים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וכעבור חודשיים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בגבור חששו מפני פגיעה בו ובמשפחתו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 תלונה למשטרה בגין מעשי הסחיטה המתוארים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המערערים הודו במסגרת הסדר הטיעון בעובדות 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והורשעו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הודאתם בעבירה של סחיטה באיומים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לפי 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רישא 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הסדר הטיעון הוסכם כי הצדדים יטענו באופן חופשי בנוגע לעונש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בגזר הדין </w:t>
      </w:r>
      <w:r>
        <w:rPr>
          <w:rFonts w:ascii="Times New Roman" w:hAnsi="Times New Roman" w:cs="Times New Roman"/>
          <w:rtl w:val="true"/>
        </w:rPr>
        <w:t>סקר בית המשפט המחוזי את עדות המתלונן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תיאר איך חייו נהפכו בן לילה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המתלונן ציין כי מעשיהם של המערערים גרמו לו להפסיק להגיע לבית העסק וכי בעקבות כך הוא נקלע לקשיים כלכליים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המתלונן הוסיף כי עקב מעשיהם של המערערים הוא ובני משפחתו עברו משבר וכי חלקם נזקקים לטיפול פסיכולוגי עד היום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המחוזי עמד על טענות הצדדים לעונש וציין כי המערערים הביעו חרטה וצער על מעשיהם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המחוזי גם על חומרת מעשיהם של המערערים ועל הערכים החברתיים המוגנים שנפגעו עקב מעשיהם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 כי מעשי המערערים הובילו לפגיעה קשה ביותר במתלונן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והסתיימו רק עת המערער פנה למשטרה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המחוזי על מדיניות הענישה הראויה והנוהגת בעבירה של סחיטה באיומים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וציין כי במסגרתה יש לתת משקל בכורה להגנה על ביטחון הציבור כמו גם לשיקולים הרתעתיים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בית המשפט המחוזי את נסיבותיה החמורות של העבירה המיוחסת למערערים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העובדה שמעשיהם האמורים נמשכו תקופה לא מבוטלת ובוצעו לאחר תכנון מוקדם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המחוזי כי מתחם הענישה בעניינם של המערערים נע בין </w:t>
      </w:r>
      <w:r>
        <w:rPr>
          <w:rFonts w:cs="Century" w:ascii="Century" w:hAnsi="Century"/>
        </w:rPr>
        <w:t>48-18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בבואו לגזור את העונש בתוך המתחם שנקבע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ציין בית המשפט המחוזי </w:t>
      </w:r>
      <w:r>
        <w:rPr>
          <w:rFonts w:ascii="Times New Roman" w:hAnsi="Times New Roman" w:cs="Times New Roman"/>
          <w:rtl w:val="true"/>
        </w:rPr>
        <w:t>במסגרת השיקולים לחומרה</w:t>
      </w:r>
      <w:r>
        <w:rPr>
          <w:rFonts w:ascii="Century" w:hAnsi="Century" w:cs="Century"/>
          <w:rtl w:val="true"/>
        </w:rPr>
        <w:t xml:space="preserve"> את השיקולים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עברם הפלילי המכביד של המערערים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חומרת הנסיבות הקשורות בביצוע העבירה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המעשים שהתלוו לעבירה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הענישה הנוהגת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והאינטרס הציבורי בהרתעה ובגמול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במסגרת השיקולים לקולא נזכרו תקופת המעצר הארוכה של המערערים עד למתן גזר הדין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הודאת המערערים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והבעת החרטה מצדם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על אף שבעניין זה הוער כי עברם מלמד שלאחר ביצוע עבירות קודמות לא השכילו לחזור למוטב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מיקם בית המשפט המחוזי את עונשם של המערערים באמצע מתחם הענישה ההולם שנקבע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וגזר עליהם את העונשים הבאים</w:t>
      </w:r>
      <w:r>
        <w:rPr>
          <w:rFonts w:cs="Century" w:ascii="Century" w:hAnsi="Century"/>
          <w:rtl w:val="true"/>
        </w:rPr>
        <w:t xml:space="preserve">: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27.4.2017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29.3.2018</w:t>
      </w:r>
      <w:r>
        <w:rPr>
          <w:rtl w:val="true"/>
        </w:rPr>
        <w:t xml:space="preserve">);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בערעוריהם טוענים המערערים כי בית המשפט המחוזי החמיר בעונשם יתר על המידה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לטענתם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הביא בחשבון את העובדה שהמתלונן פנה למשטרה רק לאחר שהושלך רימון על 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כי לא היה קשר בין המערערים לבין אירוע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טוענים המערערים כי מתחם הענישה הנוהג והראוי בעניינם נמוך מזה שקבע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התעלם מהפסיקה שהוצגה לו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ממנה עולה כי בנסיבות דומות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חמורות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נגזרו עונשים קלים יותר מזה שנגזר עליהם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המערערים הוסיפו כי בנסיבות העניין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בהינתן שמעשיהם בוצעו בניסיון לגשר בין המתלונן לבין תומר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שניהם קרובי משפחתו של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בשים לב לכך שמעשיהם נותרו במישור המילולי בלבד ופסקו כשלושה חודשים לפני מעצרם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 יש מקום להפחית באופן משמעותי מעונש המאסר שנגזר עליהם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בדיון שהתקיים לפנינו ביום </w:t>
      </w:r>
      <w:r>
        <w:rPr>
          <w:rFonts w:cs="Century" w:ascii="Century" w:hAnsi="Century"/>
        </w:rPr>
        <w:t>16.7.2018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סמכה המשיבה ידיה על גזר דינו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וטענה כי מתחם הענישה שנקבע הוא ראוי 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זאת בהסתמך על פסיקה שהוצגה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eastAsia="Calibri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ascii="Century" w:hAnsi="Century" w:eastAsia="Calibri" w:cs="Century"/>
          <w:rtl w:val="true"/>
        </w:rPr>
        <w:t xml:space="preserve"> דין הערעור להידחות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מהטעמים המפורטים להלן</w:t>
      </w:r>
      <w:r>
        <w:rPr>
          <w:rFonts w:eastAsia="Calibri"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shd w:fill="FFFFFF" w:val="clear"/>
        <w:ind w:hanging="0" w:start="0" w:end="0"/>
        <w:jc w:val="both"/>
        <w:textAlignment w:val="auto"/>
        <w:rPr/>
      </w:pPr>
      <w:r>
        <w:rPr>
          <w:rFonts w:eastAsia="Calibri" w:cs="Century" w:ascii="Century" w:hAnsi="Century"/>
          <w:rtl w:val="true"/>
        </w:rPr>
        <w:tab/>
      </w:r>
      <w:r>
        <w:rPr>
          <w:rFonts w:ascii="Century" w:hAnsi="Century" w:eastAsia="Calibri" w:cs="Century"/>
          <w:rtl w:val="true"/>
        </w:rPr>
        <w:t>כלל ידוע הוא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כי ערכאת הערעור תמעט להתערב בגזר הדין שקבעה הערכאה הדיונית</w:t>
      </w:r>
      <w:r>
        <w:rPr>
          <w:rtl w:val="true"/>
        </w:rPr>
        <w:t xml:space="preserve">, </w:t>
      </w:r>
      <w:r>
        <w:rPr>
          <w:rtl w:val="true"/>
        </w:rPr>
        <w:t>ותעשה כן רק מקום בו נפלה בגזר הדין טעות מהותית בדין או כאשר העונש שנגזר על</w:t>
      </w:r>
      <w:r>
        <w:rPr>
          <w:rtl w:val="true"/>
        </w:rPr>
        <w:t>-</w:t>
      </w:r>
      <w:r>
        <w:rPr>
          <w:rtl w:val="true"/>
        </w:rPr>
        <w:t>ידה חורג באופן ניכר מרמת הענישה הראויה או המקובלת בנסיבות דומות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5559/16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4.8.2016</w:t>
      </w:r>
      <w:r>
        <w:rPr>
          <w:rFonts w:cs="Century" w:ascii="Century" w:hAnsi="Century"/>
          <w:rtl w:val="true"/>
        </w:rPr>
        <w:t xml:space="preserve">);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1872/16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18.5.2017</w:t>
      </w:r>
      <w:r>
        <w:rPr>
          <w:rFonts w:cs="Century" w:ascii="Century" w:hAnsi="Century"/>
          <w:rtl w:val="true"/>
        </w:rPr>
        <w:t xml:space="preserve">);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8479/16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</w:rPr>
        <w:t>.</w:t>
      </w:r>
      <w:r>
        <w:rPr>
          <w:rFonts w:cs="Century" w:ascii="Century" w:hAnsi="Century"/>
        </w:rPr>
        <w:t>5.2018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sz w:val="28"/>
          <w:sz w:val="28"/>
          <w:rtl w:val="true"/>
        </w:rPr>
        <w:t>לא מצאתי כי המקרה דנן נופל בגדר אותם מקרים חריגים המצדיקים התערבות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 TUR;Arial" w:hAnsi="Arial TUR;Arial" w:cs="Arial TUR;Arial"/>
        </w:rPr>
      </w:pPr>
      <w:r>
        <w:rPr>
          <w:rFonts w:cs="Arial TUR;Arial" w:ascii="Arial TUR;Arial" w:hAnsi="Arial TUR;Arial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טענתם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>" 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8109/15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אביטן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9.6.2016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shd w:fill="FFFFFF" w:val="clear"/>
        <w:ind w:hanging="0" w:start="0" w:end="0"/>
        <w:jc w:val="both"/>
        <w:textAlignment w:val="auto"/>
        <w:rPr/>
      </w:pP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 שציין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המעשים בגינם הורשעו המערערים הם חמורים ביותר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כבר נאמר לגבי עבירת הסחיטה באיומים כי היא מהווה עשיית דין עצמי הפוגעת ביסודות הסדר החברתי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ובמרקם חייהם ובחירותם של הנסחטים במישור האישי והכלכלי </w:t>
      </w:r>
      <w:r>
        <w:rPr>
          <w:sz w:val="28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1637/13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sz w:val="28"/>
          <w:rtl w:val="true"/>
        </w:rPr>
        <w:t xml:space="preserve">פסקה </w:t>
      </w:r>
      <w:r>
        <w:rPr>
          <w:color w:val="000000"/>
          <w:sz w:val="28"/>
        </w:rPr>
        <w:t>15</w:t>
      </w:r>
      <w:r>
        <w:rPr>
          <w:color w:val="000000"/>
          <w:sz w:val="28"/>
          <w:rtl w:val="true"/>
        </w:rPr>
        <w:t xml:space="preserve"> (</w:t>
      </w:r>
      <w:r>
        <w:rPr>
          <w:color w:val="000000"/>
          <w:sz w:val="28"/>
        </w:rPr>
        <w:t>15.7.2014</w:t>
      </w:r>
      <w:r>
        <w:rPr>
          <w:color w:val="000000"/>
          <w:sz w:val="28"/>
          <w:rtl w:val="true"/>
        </w:rPr>
        <w:t xml:space="preserve">); 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5769/14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sz w:val="28"/>
          <w:rtl w:val="true"/>
        </w:rPr>
        <w:t xml:space="preserve">פסקה </w:t>
      </w:r>
      <w:r>
        <w:rPr>
          <w:color w:val="000000"/>
          <w:sz w:val="28"/>
        </w:rPr>
        <w:t>15</w:t>
      </w:r>
      <w:r>
        <w:rPr>
          <w:color w:val="000000"/>
          <w:sz w:val="28"/>
          <w:rtl w:val="true"/>
        </w:rPr>
        <w:t xml:space="preserve"> (</w:t>
      </w:r>
      <w:r>
        <w:rPr>
          <w:color w:val="000000"/>
          <w:sz w:val="28"/>
        </w:rPr>
        <w:t>20.9.2015</w:t>
      </w:r>
      <w:r>
        <w:rPr>
          <w:color w:val="000000"/>
          <w:sz w:val="28"/>
          <w:rtl w:val="true"/>
        </w:rPr>
        <w:t>)</w:t>
      </w:r>
      <w:r>
        <w:rPr>
          <w:sz w:val="28"/>
          <w:rtl w:val="true"/>
        </w:rPr>
        <w:t xml:space="preserve">; </w:t>
      </w:r>
      <w:hyperlink r:id="rId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2200/16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סויטאת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21.07.2016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color w:val="000000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הרשעה בעבירה של סחיטה באיומים מחייבת ענישה מחמירה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אשר תעביר מסר ברור לפיו העובר עבירה זו מסתכן בשלילת חירותו לתקופה ארוכה ובאופן אשר יעודד את קורבנות העבירה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לשבור את קשר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השתיקה</w:t>
      </w:r>
      <w:r>
        <w:rPr>
          <w:sz w:val="28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6774/01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אלעלווין</w:t>
      </w:r>
      <w:r>
        <w:rPr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1.11.2001</w:t>
      </w:r>
      <w:r>
        <w:rPr>
          <w:sz w:val="28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hd w:fill="FFFFFF" w:val="clear"/>
        <w:ind w:hanging="0" w:start="0"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shd w:fill="FFFFFF" w:val="clear"/>
        <w:ind w:hanging="0" w:start="0" w:end="0"/>
        <w:jc w:val="both"/>
        <w:textAlignment w:val="auto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הדברים האמורים נכונים שבעתיים בענייננו</w:t>
      </w:r>
      <w:r>
        <w:rPr>
          <w:rtl w:val="true"/>
        </w:rPr>
        <w:t xml:space="preserve">, </w:t>
      </w:r>
      <w:r>
        <w:rPr>
          <w:rtl w:val="true"/>
        </w:rPr>
        <w:t>בשים לב לעברם הפלילי המכביד של המערערים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לחובת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עומדות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הרשעות קודמות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ביניהן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בגין עבירות של הריגה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אלימות וסחיטה באיומים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ולחובת 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עומדות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הרשעות קודמות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בגין עבירות 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איומים ושוד מזוין</w:t>
      </w:r>
      <w:r>
        <w:rPr>
          <w:rtl w:val="true"/>
        </w:rPr>
        <w:t xml:space="preserve">. </w:t>
      </w:r>
      <w:r>
        <w:rPr>
          <w:rtl w:val="true"/>
        </w:rPr>
        <w:t>חרף הרשעותיהם החוזרות ונשנות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המערערים שבים לסורם פעם אחר פעם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ומפילים חתתם על קורבנות תמימים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hd w:fill="FFFFFF" w:val="clear"/>
        <w:ind w:hanging="0" w:start="0"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shd w:fill="FFFFFF" w:val="clear"/>
        <w:ind w:hanging="0" w:start="0" w:end="0"/>
        <w:jc w:val="both"/>
        <w:textAlignment w:val="auto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ובניגוד לטענת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הקרבה המשפחתית בין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 המתלונן ותומר מהווה שיקול נוסף דווקא להחמרה בעונשם</w:t>
      </w:r>
      <w:r>
        <w:rPr>
          <w:rtl w:val="true"/>
        </w:rPr>
        <w:t xml:space="preserve">. </w:t>
      </w:r>
      <w:r>
        <w:rPr>
          <w:rtl w:val="true"/>
        </w:rPr>
        <w:t xml:space="preserve">קרבה זו מעידה על כך שהמערער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 בוחל באמצעים</w:t>
      </w:r>
      <w:r>
        <w:rPr>
          <w:rtl w:val="true"/>
        </w:rPr>
        <w:t xml:space="preserve">, </w:t>
      </w:r>
      <w:r>
        <w:rPr>
          <w:rtl w:val="true"/>
        </w:rPr>
        <w:t>ואף מוכן לפגוע בקרוביו על</w:t>
      </w:r>
      <w:r>
        <w:rPr>
          <w:rtl w:val="true"/>
        </w:rPr>
        <w:t>-</w:t>
      </w:r>
      <w:r>
        <w:rPr>
          <w:rtl w:val="true"/>
        </w:rPr>
        <w:t>מנת להשיג את מבוקשו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 שהסחיטה לא מומשה בסופו של דבר לא נבעה מטוב לבם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מתושייתו של המתלונן שפנה למשטרה ובכך סיים את מסע ההפחדה והסחיטה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shd w:fill="FFFFFF" w:val="clear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 כל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לא מצאתי להתערב בגזר הדין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לחבריי לדחות את הערעור ולהותיר את גזר הדין על כנו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2.10.2018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18037910</w:t>
      </w:r>
      <w:r>
        <w:rPr>
          <w:sz w:val="16"/>
          <w:rtl w:val="true"/>
        </w:rPr>
        <w:t>_</w:t>
      </w:r>
      <w:r>
        <w:rPr>
          <w:sz w:val="16"/>
        </w:rPr>
        <w:t>R02.doc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54678313-3791/18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3791/18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שי לוי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61579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28" TargetMode="External"/><Relationship Id="rId6" Type="http://schemas.openxmlformats.org/officeDocument/2006/relationships/hyperlink" Target="http://www.nevo.co.il/case/22615798" TargetMode="External"/><Relationship Id="rId7" Type="http://schemas.openxmlformats.org/officeDocument/2006/relationships/hyperlink" Target="http://www.nevo.co.il/law/70301/428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1477504" TargetMode="External"/><Relationship Id="rId11" Type="http://schemas.openxmlformats.org/officeDocument/2006/relationships/hyperlink" Target="http://www.nevo.co.il/case/21015204" TargetMode="External"/><Relationship Id="rId12" Type="http://schemas.openxmlformats.org/officeDocument/2006/relationships/hyperlink" Target="http://www.nevo.co.il/case/24263465" TargetMode="External"/><Relationship Id="rId13" Type="http://schemas.openxmlformats.org/officeDocument/2006/relationships/hyperlink" Target="http://www.nevo.co.il/case/20683368" TargetMode="External"/><Relationship Id="rId14" Type="http://schemas.openxmlformats.org/officeDocument/2006/relationships/hyperlink" Target="http://www.nevo.co.il/case/6712767" TargetMode="External"/><Relationship Id="rId15" Type="http://schemas.openxmlformats.org/officeDocument/2006/relationships/hyperlink" Target="http://www.nevo.co.il/case/17948153" TargetMode="External"/><Relationship Id="rId16" Type="http://schemas.openxmlformats.org/officeDocument/2006/relationships/hyperlink" Target="http://www.nevo.co.il/case/21477455" TargetMode="External"/><Relationship Id="rId17" Type="http://schemas.openxmlformats.org/officeDocument/2006/relationships/hyperlink" Target="http://www.nevo.co.il/case/6082947" TargetMode="External"/><Relationship Id="rId18" Type="http://schemas.openxmlformats.org/officeDocument/2006/relationships/hyperlink" Target="https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2018-10-03T08:45:00Z</dcterms:created>
  <dc:creator> </dc:creator>
  <dc:description/>
  <cp:keywords/>
  <dc:language>en-IL</dc:language>
  <cp:lastModifiedBy>orly</cp:lastModifiedBy>
  <cp:lastPrinted>2018-09-26T14:29:00Z</cp:lastPrinted>
  <dcterms:modified xsi:type="dcterms:W3CDTF">2018-10-03T08:45:00Z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שי לוי;ליאור שלמה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22615798:2;21477504;21015204;24263465;20683368;6712767;17948153;21477455;6082947</vt:lpwstr>
  </property>
  <property fmtid="{D5CDD505-2E9C-101B-9397-08002B2CF9AE}" pid="9" name="CITY">
    <vt:lpwstr/>
  </property>
  <property fmtid="{D5CDD505-2E9C-101B-9397-08002B2CF9AE}" pid="10" name="DATE">
    <vt:lpwstr>20181002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וילנר;ח' מלצר</vt:lpwstr>
  </property>
  <property fmtid="{D5CDD505-2E9C-101B-9397-08002B2CF9AE}" pid="14" name="LAWLISTTMP1">
    <vt:lpwstr>70301/428;029</vt:lpwstr>
  </property>
  <property fmtid="{D5CDD505-2E9C-101B-9397-08002B2CF9AE}" pid="15" name="LAWYER">
    <vt:lpwstr>קובי מושקוביץ;אבי חימי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18;18;77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504;504;1446</vt:lpwstr>
  </property>
  <property fmtid="{D5CDD505-2E9C-101B-9397-08002B2CF9AE}" pid="48" name="NOSE31">
    <vt:lpwstr>עונש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>מדיניות ענישה: סחיטה באיומים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3864;17039;16809</vt:lpwstr>
  </property>
  <property fmtid="{D5CDD505-2E9C-101B-9397-08002B2CF9AE}" pid="59" name="PADIDATE">
    <vt:lpwstr>20181003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3791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410120181002</vt:lpwstr>
  </property>
  <property fmtid="{D5CDD505-2E9C-101B-9397-08002B2CF9AE}" pid="69" name="TYPE_N_DATE">
    <vt:lpwstr>41020181002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