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3792/18</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הנדל</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r>
        <w:trPr>
          <w:trHeight w:val="287" w:hRule="atLeast"/>
        </w:trPr>
        <w:tc>
          <w:tcPr>
            <w:tcW w:w="3284" w:type="dxa"/>
            <w:tcBorders/>
          </w:tcPr>
          <w:p>
            <w:pPr>
              <w:pStyle w:val="BodyRuller1"/>
              <w:snapToGrid w:val="false"/>
              <w:ind w:end="0"/>
              <w:jc w:val="start"/>
              <w:rPr/>
            </w:pPr>
            <w:r>
              <w:rPr>
                <w:rtl w:val="true"/>
              </w:rPr>
            </w:r>
            <w:bookmarkStart w:id="1" w:name="LastJudge"/>
            <w:bookmarkStart w:id="2" w:name="LastJudge"/>
            <w:bookmarkEnd w:id="2"/>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w:t>
            </w:r>
          </w:p>
        </w:tc>
        <w:tc>
          <w:tcPr>
            <w:tcW w:w="5238" w:type="dxa"/>
            <w:tcBorders/>
          </w:tcPr>
          <w:p>
            <w:pPr>
              <w:pStyle w:val="BodyRuller1"/>
              <w:ind w:end="0"/>
              <w:jc w:val="start"/>
              <w:rPr/>
            </w:pPr>
            <w:r>
              <w:rPr>
                <w:rtl w:val="true"/>
              </w:rPr>
              <w:t>פלוני</w:t>
            </w:r>
          </w:p>
        </w:tc>
      </w:tr>
    </w:tbl>
    <w:p>
      <w:pPr>
        <w:pStyle w:val="Ruller31"/>
        <w:spacing w:lineRule="auto" w:line="240"/>
        <w:ind w:end="0"/>
        <w:jc w:val="start"/>
        <w:rPr/>
      </w:pPr>
      <w:r>
        <w:rPr>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spacing w:lineRule="auto" w:line="240"/>
        <w:ind w:end="0"/>
        <w:jc w:val="start"/>
        <w:rPr/>
      </w:pPr>
      <w:r>
        <w:rPr>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ה</w:t>
            </w:r>
            <w:r>
              <w:rPr>
                <w:rtl w:val="true"/>
              </w:rPr>
              <w:t>:</w:t>
            </w:r>
          </w:p>
        </w:tc>
        <w:tc>
          <w:tcPr>
            <w:tcW w:w="5238"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spacing w:lineRule="auto" w:line="240"/>
        <w:ind w:end="0"/>
        <w:jc w:val="both"/>
        <w:rPr/>
      </w:pPr>
      <w:r>
        <w:rPr>
          <w:rtl w:val="true"/>
        </w:rPr>
      </w:r>
    </w:p>
    <w:p>
      <w:pPr>
        <w:pStyle w:val="Ruller31"/>
        <w:spacing w:lineRule="auto" w:line="240"/>
        <w:ind w:end="0"/>
        <w:jc w:val="both"/>
        <w:rPr/>
      </w:pPr>
      <w:r>
        <w:rPr>
          <w:rtl w:val="true"/>
        </w:rPr>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ה</w:t>
            </w:r>
            <w:r>
              <w:rPr>
                <w:sz w:val="24"/>
                <w:sz w:val="24"/>
                <w:szCs w:val="24"/>
                <w:rtl w:val="true"/>
              </w:rPr>
              <w:t>די</w:t>
            </w:r>
            <w:r>
              <w:rPr>
                <w:sz w:val="24"/>
                <w:sz w:val="24"/>
                <w:szCs w:val="24"/>
                <w:rtl w:val="true"/>
              </w:rPr>
              <w:t>ן</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מרכז</w:t>
            </w:r>
            <w:r>
              <w:rPr>
                <w:sz w:val="24"/>
                <w:szCs w:val="24"/>
                <w:rtl w:val="true"/>
              </w:rPr>
              <w:t>-</w:t>
            </w:r>
            <w:r>
              <w:rPr>
                <w:sz w:val="24"/>
                <w:sz w:val="24"/>
                <w:szCs w:val="24"/>
                <w:rtl w:val="true"/>
              </w:rPr>
              <w:t>לוד</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4627-03-16</w:t>
              </w:r>
            </w:hyperlink>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ב</w:t>
            </w:r>
            <w:r>
              <w:rPr>
                <w:sz w:val="24"/>
                <w:sz w:val="24"/>
                <w:szCs w:val="24"/>
                <w:rtl w:val="true"/>
              </w:rPr>
              <w:t>יום</w:t>
            </w:r>
            <w:r>
              <w:rPr>
                <w:rFonts w:cs="Times New Roman"/>
                <w:sz w:val="24"/>
                <w:sz w:val="24"/>
                <w:szCs w:val="24"/>
                <w:rtl w:val="true"/>
              </w:rPr>
              <w:t xml:space="preserve"> </w:t>
            </w:r>
            <w:r>
              <w:rPr>
                <w:sz w:val="24"/>
                <w:szCs w:val="24"/>
              </w:rPr>
              <w:t>28.03.2018</w:t>
            </w:r>
            <w:r>
              <w:rPr>
                <w:sz w:val="24"/>
                <w:szCs w:val="24"/>
                <w:rtl w:val="true"/>
              </w:rPr>
              <w:t xml:space="preserve"> </w:t>
            </w:r>
            <w:r>
              <w:rPr>
                <w:sz w:val="24"/>
                <w:sz w:val="24"/>
                <w:szCs w:val="24"/>
                <w:rtl w:val="true"/>
              </w:rPr>
              <w:t>על</w:t>
            </w:r>
            <w:r>
              <w:rPr>
                <w:sz w:val="24"/>
                <w:szCs w:val="24"/>
                <w:rtl w:val="true"/>
              </w:rPr>
              <w:t>-</w:t>
            </w:r>
            <w:r>
              <w:rPr>
                <w:sz w:val="24"/>
                <w:sz w:val="24"/>
                <w:szCs w:val="24"/>
                <w:rtl w:val="true"/>
              </w:rPr>
              <w:t>ידי</w:t>
            </w:r>
            <w:r>
              <w:rPr>
                <w:rFonts w:cs="Times New Roman"/>
                <w:sz w:val="24"/>
                <w:sz w:val="24"/>
                <w:szCs w:val="24"/>
                <w:rtl w:val="true"/>
              </w:rPr>
              <w:t xml:space="preserve"> </w:t>
            </w:r>
            <w:r>
              <w:rPr>
                <w:sz w:val="24"/>
                <w:sz w:val="24"/>
                <w:szCs w:val="24"/>
                <w:rtl w:val="true"/>
              </w:rPr>
              <w:t>סגנית</w:t>
            </w:r>
            <w:r>
              <w:rPr>
                <w:rFonts w:cs="Times New Roman"/>
                <w:sz w:val="24"/>
                <w:sz w:val="24"/>
                <w:szCs w:val="24"/>
                <w:rtl w:val="true"/>
              </w:rPr>
              <w:t xml:space="preserve"> </w:t>
            </w:r>
            <w:r>
              <w:rPr>
                <w:sz w:val="24"/>
                <w:sz w:val="24"/>
                <w:szCs w:val="24"/>
                <w:rtl w:val="true"/>
              </w:rPr>
              <w:t>הנשיא</w:t>
            </w:r>
            <w:r>
              <w:rPr>
                <w:rFonts w:cs="Times New Roman"/>
                <w:sz w:val="24"/>
                <w:sz w:val="24"/>
                <w:szCs w:val="24"/>
                <w:rtl w:val="true"/>
              </w:rPr>
              <w:t xml:space="preserve"> </w:t>
            </w:r>
            <w:r>
              <w:rPr>
                <w:sz w:val="24"/>
                <w:sz w:val="24"/>
                <w:szCs w:val="24"/>
                <w:rtl w:val="true"/>
              </w:rPr>
              <w:t>השופטת</w:t>
            </w:r>
            <w:r>
              <w:rPr>
                <w:rFonts w:cs="Times New Roman"/>
                <w:sz w:val="24"/>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לורך</w:t>
            </w:r>
            <w:r>
              <w:rPr>
                <w:rFonts w:cs="Times New Roman"/>
                <w:sz w:val="24"/>
                <w:sz w:val="24"/>
                <w:szCs w:val="24"/>
                <w:rtl w:val="true"/>
              </w:rPr>
              <w:t xml:space="preserve"> </w:t>
            </w:r>
            <w:r>
              <w:rPr>
                <w:sz w:val="24"/>
                <w:sz w:val="24"/>
                <w:szCs w:val="24"/>
                <w:rtl w:val="true"/>
              </w:rPr>
              <w:t>והשופטים</w:t>
            </w:r>
            <w:r>
              <w:rPr>
                <w:rFonts w:cs="Times New Roman"/>
                <w:sz w:val="24"/>
                <w:sz w:val="24"/>
                <w:szCs w:val="24"/>
                <w:rtl w:val="true"/>
              </w:rPr>
              <w:t xml:space="preserve"> </w:t>
            </w:r>
            <w:r>
              <w:rPr>
                <w:sz w:val="24"/>
                <w:sz w:val="24"/>
                <w:szCs w:val="24"/>
                <w:rtl w:val="true"/>
              </w:rPr>
              <w:t>צ</w:t>
            </w:r>
            <w:r>
              <w:rPr>
                <w:sz w:val="24"/>
                <w:szCs w:val="24"/>
                <w:rtl w:val="true"/>
              </w:rPr>
              <w:t xml:space="preserve">' </w:t>
            </w:r>
            <w:r>
              <w:rPr>
                <w:sz w:val="24"/>
                <w:sz w:val="24"/>
                <w:szCs w:val="24"/>
                <w:rtl w:val="true"/>
              </w:rPr>
              <w:t>דותן</w:t>
            </w:r>
            <w:r>
              <w:rPr>
                <w:rFonts w:cs="Times New Roman"/>
                <w:sz w:val="24"/>
                <w:sz w:val="24"/>
                <w:szCs w:val="24"/>
                <w:rtl w:val="true"/>
              </w:rPr>
              <w:t xml:space="preserve"> </w:t>
            </w:r>
            <w:r>
              <w:rPr>
                <w:sz w:val="24"/>
                <w:sz w:val="24"/>
                <w:szCs w:val="24"/>
                <w:rtl w:val="true"/>
              </w:rPr>
              <w:t>וד</w:t>
            </w:r>
            <w:r>
              <w:rPr>
                <w:sz w:val="24"/>
                <w:szCs w:val="24"/>
                <w:rtl w:val="true"/>
              </w:rPr>
              <w:t xml:space="preserve">' </w:t>
            </w:r>
            <w:r>
              <w:rPr>
                <w:sz w:val="24"/>
                <w:sz w:val="24"/>
                <w:szCs w:val="24"/>
                <w:rtl w:val="true"/>
              </w:rPr>
              <w:t>עטר</w:t>
            </w:r>
          </w:p>
        </w:tc>
      </w:tr>
    </w:tbl>
    <w:p>
      <w:pPr>
        <w:pStyle w:val="Ruller31"/>
        <w:spacing w:lineRule="auto" w:line="240"/>
        <w:ind w:end="0"/>
        <w:jc w:val="both"/>
        <w:rPr/>
      </w:pPr>
      <w:r>
        <w:rPr>
          <w:rtl w:val="true"/>
        </w:rPr>
      </w:r>
    </w:p>
    <w:p>
      <w:pPr>
        <w:pStyle w:val="Ruller31"/>
        <w:spacing w:lineRule="auto" w:line="240"/>
        <w:ind w:end="0"/>
        <w:jc w:val="both"/>
        <w:rPr/>
      </w:pPr>
      <w:r>
        <w:rPr>
          <w:rtl w:val="true"/>
        </w:rPr>
      </w:r>
    </w:p>
    <w:tbl>
      <w:tblPr>
        <w:bidiVisual w:val="true"/>
        <w:tblW w:w="8535" w:type="dxa"/>
        <w:jc w:val="start"/>
        <w:tblInd w:w="-34" w:type="dxa"/>
        <w:tblLayout w:type="fixed"/>
        <w:tblCellMar>
          <w:top w:w="0" w:type="dxa"/>
          <w:start w:w="108" w:type="dxa"/>
          <w:bottom w:w="0" w:type="dxa"/>
          <w:end w:w="108" w:type="dxa"/>
        </w:tblCellMar>
      </w:tblPr>
      <w:tblGrid>
        <w:gridCol w:w="3257"/>
        <w:gridCol w:w="2301"/>
        <w:gridCol w:w="2977"/>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301"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ה</w:t>
            </w:r>
            <w:r>
              <w:rPr>
                <w:rFonts w:cs="Times New Roman"/>
                <w:sz w:val="24"/>
                <w:sz w:val="24"/>
                <w:szCs w:val="24"/>
                <w:rtl w:val="true"/>
              </w:rPr>
              <w:t xml:space="preserve"> </w:t>
            </w:r>
            <w:r>
              <w:rPr>
                <w:sz w:val="24"/>
                <w:sz w:val="24"/>
                <w:szCs w:val="24"/>
                <w:rtl w:val="true"/>
              </w:rPr>
              <w:t>בתשרי</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r>
              <w:rPr>
                <w:rFonts w:cs="Times New Roman"/>
                <w:rtl w:val="true"/>
              </w:rPr>
              <w:t xml:space="preserve">    </w:t>
            </w:r>
          </w:p>
        </w:tc>
        <w:tc>
          <w:tcPr>
            <w:tcW w:w="2977" w:type="dxa"/>
            <w:tcBorders/>
          </w:tcPr>
          <w:p>
            <w:pPr>
              <w:pStyle w:val="BodyRuller1"/>
              <w:ind w:end="0"/>
              <w:jc w:val="start"/>
              <w:rPr>
                <w:sz w:val="24"/>
                <w:szCs w:val="24"/>
              </w:rPr>
            </w:pPr>
            <w:r>
              <w:rPr>
                <w:rtl w:val="true"/>
              </w:rPr>
              <w:t>(</w:t>
            </w:r>
            <w:r>
              <w:rPr/>
              <w:t>04.10.2018</w:t>
            </w:r>
            <w:r>
              <w:rPr>
                <w:rtl w:val="true"/>
              </w:rPr>
              <w:t xml:space="preserve">) </w:t>
            </w:r>
          </w:p>
        </w:tc>
      </w:tr>
    </w:tbl>
    <w:p>
      <w:pPr>
        <w:pStyle w:val="Ruller31"/>
        <w:spacing w:lineRule="auto" w:line="240"/>
        <w:ind w:end="0"/>
        <w:jc w:val="start"/>
        <w:rPr/>
      </w:pPr>
      <w:r>
        <w:rPr>
          <w:rtl w:val="true"/>
        </w:rPr>
      </w:r>
    </w:p>
    <w:p>
      <w:pPr>
        <w:pStyle w:val="Ruller31"/>
        <w:spacing w:lineRule="auto" w:line="240"/>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אבי</w:t>
            </w:r>
            <w:r>
              <w:rPr>
                <w:rFonts w:cs="Times New Roman"/>
                <w:rtl w:val="true"/>
              </w:rPr>
              <w:t xml:space="preserve"> </w:t>
            </w:r>
            <w:r>
              <w:rPr>
                <w:rtl w:val="true"/>
              </w:rPr>
              <w:t>חימי</w:t>
            </w:r>
            <w:r>
              <w:rPr>
                <w:rFonts w:cs="Times New Roman"/>
                <w:rtl w:val="true"/>
              </w:rPr>
              <w:t xml:space="preserve"> </w:t>
            </w:r>
            <w:r>
              <w:rPr>
                <w:rtl w:val="true"/>
              </w:rPr>
              <w:t>ועו</w:t>
            </w:r>
            <w:r>
              <w:rPr>
                <w:rtl w:val="true"/>
              </w:rPr>
              <w:t>"</w:t>
            </w:r>
            <w:r>
              <w:rPr>
                <w:rtl w:val="true"/>
              </w:rPr>
              <w:t>ד</w:t>
            </w:r>
            <w:r>
              <w:rPr>
                <w:rFonts w:cs="Times New Roman"/>
                <w:rtl w:val="true"/>
              </w:rPr>
              <w:t xml:space="preserve"> </w:t>
            </w:r>
            <w:r>
              <w:rPr>
                <w:rtl w:val="true"/>
              </w:rPr>
              <w:t>משה</w:t>
            </w:r>
            <w:r>
              <w:rPr>
                <w:rFonts w:cs="Times New Roman"/>
                <w:rtl w:val="true"/>
              </w:rPr>
              <w:t xml:space="preserve"> </w:t>
            </w:r>
            <w:r>
              <w:rPr>
                <w:rtl w:val="true"/>
              </w:rPr>
              <w:t>וייס</w:t>
            </w:r>
          </w:p>
          <w:p>
            <w:pPr>
              <w:pStyle w:val="BodyRuller1"/>
              <w:ind w:end="0"/>
              <w:jc w:val="start"/>
              <w:rPr/>
            </w:pPr>
            <w:r>
              <w:rPr>
                <w:rtl w:val="true"/>
              </w:rPr>
            </w:r>
          </w:p>
        </w:tc>
      </w:tr>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המשיבה</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איתמר</w:t>
            </w:r>
            <w:r>
              <w:rPr>
                <w:rFonts w:cs="Times New Roman"/>
                <w:rtl w:val="true"/>
              </w:rPr>
              <w:t xml:space="preserve"> </w:t>
            </w:r>
            <w:r>
              <w:rPr>
                <w:rtl w:val="true"/>
              </w:rPr>
              <w:t>גלבפיש</w:t>
            </w:r>
          </w:p>
        </w:tc>
      </w:tr>
    </w:tbl>
    <w:p>
      <w:pPr>
        <w:pStyle w:val="Ruller31"/>
        <w:spacing w:lineRule="auto" w:line="240"/>
        <w:ind w:end="0"/>
        <w:jc w:val="start"/>
        <w:rPr/>
      </w:pPr>
      <w:r>
        <w:rPr>
          <w:rtl w:val="true"/>
        </w:rPr>
      </w:r>
      <w:bookmarkStart w:id="5" w:name="LawTable"/>
      <w:bookmarkStart w:id="6" w:name="LawTable"/>
      <w:bookmarkEnd w:id="6"/>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31"/>
        <w:spacing w:lineRule="exact" w:line="240" w:before="0" w:after="120"/>
        <w:ind w:hanging="283" w:start="283" w:end="0"/>
        <w:jc w:val="both"/>
        <w:rPr>
          <w:rFonts w:ascii="FrankRuehl" w:hAnsi="FrankRuehl" w:cs="FrankRuehl"/>
          <w:spacing w:val="0"/>
          <w:sz w:val="24"/>
          <w:szCs w:val="24"/>
        </w:rPr>
      </w:pPr>
      <w:r>
        <w:rPr>
          <w:rFonts w:ascii="FrankRuehl" w:hAnsi="FrankRuehl"/>
          <w:spacing w:val="0"/>
          <w:sz w:val="24"/>
          <w:sz w:val="24"/>
          <w:szCs w:val="24"/>
          <w:rtl w:val="true"/>
        </w:rPr>
        <w:t>חקיקה שאוזכרה</w:t>
      </w:r>
      <w:r>
        <w:rPr>
          <w:rFonts w:cs="FrankRuehl" w:ascii="FrankRuehl" w:hAnsi="FrankRuehl"/>
          <w:spacing w:val="0"/>
          <w:sz w:val="24"/>
          <w:szCs w:val="24"/>
          <w:rtl w:val="true"/>
        </w:rPr>
        <w:t xml:space="preserve">: </w:t>
      </w:r>
    </w:p>
    <w:p>
      <w:pPr>
        <w:pStyle w:val="Ruller31"/>
        <w:spacing w:lineRule="exact" w:line="240" w:before="0" w:after="120"/>
        <w:ind w:hanging="283" w:start="283" w:end="0"/>
        <w:jc w:val="both"/>
        <w:rPr>
          <w:rFonts w:ascii="FrankRuehl" w:hAnsi="FrankRuehl" w:cs="FrankRuehl"/>
          <w:spacing w:val="0"/>
          <w:sz w:val="24"/>
          <w:szCs w:val="24"/>
        </w:rPr>
      </w:pPr>
      <w:hyperlink r:id="rId3">
        <w:r>
          <w:rPr>
            <w:rStyle w:val="Hyperlink"/>
            <w:rFonts w:ascii="FrankRuehl" w:hAnsi="FrankRuehl"/>
            <w:color w:val="0000FF"/>
            <w:spacing w:val="0"/>
            <w:sz w:val="24"/>
            <w:sz w:val="24"/>
            <w:szCs w:val="24"/>
            <w:u w:val="single"/>
            <w:rtl w:val="true"/>
          </w:rPr>
          <w:t>חוק למניעת הטרדה מינית</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תשנ</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ח</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1998</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4">
        <w:r>
          <w:rPr>
            <w:rStyle w:val="Hyperlink"/>
            <w:rFonts w:cs="FrankRuehl" w:ascii="FrankRuehl" w:hAnsi="FrankRuehl"/>
            <w:color w:val="0000FF"/>
            <w:spacing w:val="0"/>
            <w:sz w:val="24"/>
            <w:szCs w:val="24"/>
            <w:u w:val="single"/>
          </w:rPr>
          <w:t>3</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6</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5">
        <w:r>
          <w:rPr>
            <w:rStyle w:val="Hyperlink"/>
            <w:rFonts w:cs="FrankRuehl" w:ascii="FrankRuehl" w:hAnsi="FrankRuehl"/>
            <w:color w:val="0000FF"/>
            <w:spacing w:val="0"/>
            <w:sz w:val="24"/>
            <w:szCs w:val="24"/>
            <w:u w:val="single"/>
          </w:rPr>
          <w:t>5</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hyperlink>
    </w:p>
    <w:p>
      <w:pPr>
        <w:pStyle w:val="Ruller31"/>
        <w:spacing w:lineRule="exact" w:line="240" w:before="0" w:after="120"/>
        <w:ind w:hanging="283" w:start="283" w:end="0"/>
        <w:jc w:val="both"/>
        <w:rPr>
          <w:rFonts w:ascii="FrankRuehl" w:hAnsi="FrankRuehl" w:cs="FrankRuehl"/>
          <w:spacing w:val="0"/>
          <w:sz w:val="24"/>
          <w:szCs w:val="24"/>
        </w:rPr>
      </w:pPr>
      <w:hyperlink r:id="rId6">
        <w:r>
          <w:rPr>
            <w:rStyle w:val="Hyperlink"/>
            <w:rFonts w:ascii="FrankRuehl" w:hAnsi="FrankRuehl"/>
            <w:color w:val="0000FF"/>
            <w:spacing w:val="0"/>
            <w:sz w:val="24"/>
            <w:sz w:val="24"/>
            <w:szCs w:val="24"/>
            <w:u w:val="single"/>
            <w:rtl w:val="true"/>
          </w:rPr>
          <w:t>חוק העונשין</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תשל</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ז</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1977</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7">
        <w:r>
          <w:rPr>
            <w:rStyle w:val="Hyperlink"/>
            <w:rFonts w:cs="FrankRuehl" w:ascii="FrankRuehl" w:hAnsi="FrankRuehl"/>
            <w:color w:val="0000FF"/>
            <w:spacing w:val="0"/>
            <w:sz w:val="24"/>
            <w:szCs w:val="24"/>
            <w:u w:val="single"/>
          </w:rPr>
          <w:t>25</w:t>
        </w:r>
      </w:hyperlink>
      <w:r>
        <w:rPr>
          <w:rFonts w:cs="FrankRuehl" w:ascii="FrankRuehl" w:hAnsi="FrankRuehl"/>
          <w:spacing w:val="0"/>
          <w:sz w:val="24"/>
          <w:szCs w:val="24"/>
          <w:rtl w:val="true"/>
        </w:rPr>
        <w:t xml:space="preserve">, </w:t>
      </w:r>
      <w:hyperlink r:id="rId8">
        <w:r>
          <w:rPr>
            <w:rStyle w:val="Hyperlink"/>
            <w:rFonts w:cs="FrankRuehl" w:ascii="FrankRuehl" w:hAnsi="FrankRuehl"/>
            <w:color w:val="0000FF"/>
            <w:spacing w:val="0"/>
            <w:sz w:val="24"/>
            <w:szCs w:val="24"/>
            <w:u w:val="single"/>
          </w:rPr>
          <w:t>40</w:t>
        </w:r>
        <w:r>
          <w:rPr>
            <w:rStyle w:val="Hyperlink"/>
            <w:rFonts w:ascii="FrankRuehl" w:hAnsi="FrankRuehl"/>
            <w:color w:val="0000FF"/>
            <w:spacing w:val="0"/>
            <w:sz w:val="24"/>
            <w:sz w:val="24"/>
            <w:szCs w:val="24"/>
            <w:u w:val="single"/>
            <w:rtl w:val="true"/>
          </w:rPr>
          <w:t>ז</w:t>
        </w:r>
      </w:hyperlink>
      <w:r>
        <w:rPr>
          <w:rFonts w:cs="FrankRuehl" w:ascii="FrankRuehl" w:hAnsi="FrankRuehl"/>
          <w:spacing w:val="0"/>
          <w:sz w:val="24"/>
          <w:szCs w:val="24"/>
          <w:rtl w:val="true"/>
        </w:rPr>
        <w:t xml:space="preserve">, </w:t>
      </w:r>
      <w:hyperlink r:id="rId9">
        <w:r>
          <w:rPr>
            <w:rStyle w:val="Hyperlink"/>
            <w:rFonts w:cs="FrankRuehl" w:ascii="FrankRuehl" w:hAnsi="FrankRuehl"/>
            <w:color w:val="0000FF"/>
            <w:spacing w:val="0"/>
            <w:sz w:val="24"/>
            <w:szCs w:val="24"/>
            <w:u w:val="single"/>
          </w:rPr>
          <w:t>40</w:t>
        </w:r>
        <w:r>
          <w:rPr>
            <w:rStyle w:val="Hyperlink"/>
            <w:rFonts w:ascii="FrankRuehl" w:hAnsi="FrankRuehl"/>
            <w:color w:val="0000FF"/>
            <w:spacing w:val="0"/>
            <w:sz w:val="24"/>
            <w:sz w:val="24"/>
            <w:szCs w:val="24"/>
            <w:u w:val="single"/>
            <w:rtl w:val="true"/>
          </w:rPr>
          <w:t>ט</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5</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10">
        <w:r>
          <w:rPr>
            <w:rStyle w:val="Hyperlink"/>
            <w:rFonts w:cs="FrankRuehl" w:ascii="FrankRuehl" w:hAnsi="FrankRuehl"/>
            <w:color w:val="0000FF"/>
            <w:spacing w:val="0"/>
            <w:sz w:val="24"/>
            <w:szCs w:val="24"/>
            <w:u w:val="single"/>
          </w:rPr>
          <w:t>40</w:t>
        </w:r>
        <w:r>
          <w:rPr>
            <w:rStyle w:val="Hyperlink"/>
            <w:rFonts w:ascii="FrankRuehl" w:hAnsi="FrankRuehl"/>
            <w:color w:val="0000FF"/>
            <w:spacing w:val="0"/>
            <w:sz w:val="24"/>
            <w:sz w:val="24"/>
            <w:szCs w:val="24"/>
            <w:u w:val="single"/>
            <w:rtl w:val="true"/>
          </w:rPr>
          <w:t>ט</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6</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11">
        <w:r>
          <w:rPr>
            <w:rStyle w:val="Hyperlink"/>
            <w:rFonts w:cs="FrankRuehl" w:ascii="FrankRuehl" w:hAnsi="FrankRuehl"/>
            <w:color w:val="0000FF"/>
            <w:spacing w:val="0"/>
            <w:sz w:val="24"/>
            <w:szCs w:val="24"/>
            <w:u w:val="single"/>
          </w:rPr>
          <w:t>192</w:t>
        </w:r>
      </w:hyperlink>
      <w:r>
        <w:rPr>
          <w:rFonts w:cs="FrankRuehl" w:ascii="FrankRuehl" w:hAnsi="FrankRuehl"/>
          <w:spacing w:val="0"/>
          <w:sz w:val="24"/>
          <w:szCs w:val="24"/>
          <w:rtl w:val="true"/>
        </w:rPr>
        <w:t xml:space="preserve">, </w:t>
      </w:r>
      <w:hyperlink r:id="rId12">
        <w:r>
          <w:rPr>
            <w:rStyle w:val="Hyperlink"/>
            <w:rFonts w:cs="FrankRuehl" w:ascii="FrankRuehl" w:hAnsi="FrankRuehl"/>
            <w:color w:val="0000FF"/>
            <w:spacing w:val="0"/>
            <w:sz w:val="24"/>
            <w:szCs w:val="24"/>
            <w:u w:val="single"/>
          </w:rPr>
          <w:t>214</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ב</w:t>
        </w:r>
        <w:r>
          <w:rPr>
            <w:rStyle w:val="Hyperlink"/>
            <w:rFonts w:cs="FrankRuehl" w:ascii="FrankRuehl" w:hAnsi="FrankRuehl"/>
            <w:color w:val="0000FF"/>
            <w:spacing w:val="0"/>
            <w:sz w:val="24"/>
            <w:szCs w:val="24"/>
            <w:u w:val="single"/>
          </w:rPr>
          <w:t>1</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13">
        <w:r>
          <w:rPr>
            <w:rStyle w:val="Hyperlink"/>
            <w:rFonts w:cs="FrankRuehl" w:ascii="FrankRuehl" w:hAnsi="FrankRuehl"/>
            <w:color w:val="0000FF"/>
            <w:spacing w:val="0"/>
            <w:sz w:val="24"/>
            <w:szCs w:val="24"/>
            <w:u w:val="single"/>
          </w:rPr>
          <w:t>214</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ב</w:t>
        </w:r>
        <w:r>
          <w:rPr>
            <w:rStyle w:val="Hyperlink"/>
            <w:rFonts w:cs="FrankRuehl" w:ascii="FrankRuehl" w:hAnsi="FrankRuehl"/>
            <w:color w:val="0000FF"/>
            <w:spacing w:val="0"/>
            <w:sz w:val="24"/>
            <w:szCs w:val="24"/>
            <w:u w:val="single"/>
          </w:rPr>
          <w:t>3</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14">
        <w:r>
          <w:rPr>
            <w:rStyle w:val="Hyperlink"/>
            <w:rFonts w:cs="FrankRuehl" w:ascii="FrankRuehl" w:hAnsi="FrankRuehl"/>
            <w:color w:val="0000FF"/>
            <w:spacing w:val="0"/>
            <w:sz w:val="24"/>
            <w:szCs w:val="24"/>
            <w:u w:val="single"/>
          </w:rPr>
          <w:t>345</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15">
        <w:r>
          <w:rPr>
            <w:rStyle w:val="Hyperlink"/>
            <w:rFonts w:cs="FrankRuehl" w:ascii="FrankRuehl" w:hAnsi="FrankRuehl"/>
            <w:color w:val="0000FF"/>
            <w:spacing w:val="0"/>
            <w:sz w:val="24"/>
            <w:szCs w:val="24"/>
            <w:u w:val="single"/>
          </w:rPr>
          <w:t>345</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ב</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16">
        <w:r>
          <w:rPr>
            <w:rStyle w:val="Hyperlink"/>
            <w:rFonts w:cs="FrankRuehl" w:ascii="FrankRuehl" w:hAnsi="FrankRuehl"/>
            <w:color w:val="0000FF"/>
            <w:spacing w:val="0"/>
            <w:sz w:val="24"/>
            <w:szCs w:val="24"/>
            <w:u w:val="single"/>
          </w:rPr>
          <w:t>347</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ב</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17">
        <w:r>
          <w:rPr>
            <w:rStyle w:val="Hyperlink"/>
            <w:rFonts w:cs="FrankRuehl" w:ascii="FrankRuehl" w:hAnsi="FrankRuehl"/>
            <w:color w:val="0000FF"/>
            <w:spacing w:val="0"/>
            <w:sz w:val="24"/>
            <w:szCs w:val="24"/>
            <w:u w:val="single"/>
          </w:rPr>
          <w:t>348</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ב</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18">
        <w:r>
          <w:rPr>
            <w:rStyle w:val="Hyperlink"/>
            <w:rFonts w:cs="FrankRuehl" w:ascii="FrankRuehl" w:hAnsi="FrankRuehl"/>
            <w:color w:val="0000FF"/>
            <w:spacing w:val="0"/>
            <w:sz w:val="24"/>
            <w:szCs w:val="24"/>
            <w:u w:val="single"/>
          </w:rPr>
          <w:t>350</w:t>
        </w:r>
      </w:hyperlink>
      <w:r>
        <w:rPr>
          <w:rFonts w:cs="FrankRuehl" w:ascii="FrankRuehl" w:hAnsi="FrankRuehl"/>
          <w:spacing w:val="0"/>
          <w:sz w:val="24"/>
          <w:szCs w:val="24"/>
          <w:rtl w:val="true"/>
        </w:rPr>
        <w:t xml:space="preserve">, </w:t>
      </w:r>
      <w:hyperlink r:id="rId19">
        <w:r>
          <w:rPr>
            <w:rStyle w:val="Hyperlink"/>
            <w:rFonts w:cs="FrankRuehl" w:ascii="FrankRuehl" w:hAnsi="FrankRuehl"/>
            <w:color w:val="0000FF"/>
            <w:spacing w:val="0"/>
            <w:sz w:val="24"/>
            <w:szCs w:val="24"/>
            <w:u w:val="single"/>
          </w:rPr>
          <w:t>40</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יא</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5</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20">
        <w:r>
          <w:rPr>
            <w:rStyle w:val="Hyperlink"/>
            <w:rFonts w:cs="FrankRuehl" w:ascii="FrankRuehl" w:hAnsi="FrankRuehl"/>
            <w:color w:val="0000FF"/>
            <w:spacing w:val="0"/>
            <w:sz w:val="24"/>
            <w:szCs w:val="24"/>
            <w:u w:val="single"/>
          </w:rPr>
          <w:t>428</w:t>
        </w:r>
      </w:hyperlink>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7" w:name="ABSTRACT_START"/>
      <w:bookmarkEnd w:id="7"/>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 w:hAnsi="Times New Roman" w:cs="Times New Roman"/>
          <w:spacing w:val="0"/>
          <w:szCs w:val="26"/>
          <w:rtl w:val="true"/>
        </w:rPr>
        <w:t xml:space="preserve">נדחה ערעור על העונש בן </w:t>
      </w:r>
      <w:r>
        <w:rPr>
          <w:rFonts w:cs="Times New Roman" w:ascii="Times New Roman" w:hAnsi="Times New Roman"/>
          <w:spacing w:val="0"/>
          <w:szCs w:val="26"/>
        </w:rPr>
        <w:t>4.5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בפועל</w:t>
      </w:r>
      <w:r>
        <w:rPr>
          <w:rFonts w:cs="Times New Roman" w:ascii="Times New Roman" w:hAnsi="Times New Roman"/>
          <w:spacing w:val="0"/>
          <w:szCs w:val="26"/>
          <w:rtl w:val="true"/>
        </w:rPr>
        <w:t xml:space="preserve">, </w:t>
      </w:r>
      <w:r>
        <w:rPr>
          <w:rFonts w:cs="Times New Roman" w:ascii="Times New Roman" w:hAnsi="Times New Roman"/>
          <w:spacing w:val="0"/>
          <w:szCs w:val="26"/>
        </w:rPr>
        <w:t>18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 מותנה ופיצוי למתלוננת הקטינה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בגין הרשעת המערער בביצוע שורה של עבירות מין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סחיטה ואיומים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באמצעות רשת האינטרנט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נפסק כי עבירות מין המבוצעות דרך האינטרנט ראויות לעונשים מחמירים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וכי מקרה זה אינו מצדיק התערבות בגזר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לאחר שבימ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כבר הקל עם המערער במידה הראויה</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שהתבצעו דרך רשת האינטרנט</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מין בקטינים</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שיקולים</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התערבות ערכאת ערעור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עקרון ההלימה‏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ערעור על גזר דין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המחוזי שגזר על המערער </w:t>
      </w:r>
      <w:r>
        <w:rPr>
          <w:rFonts w:cs="Times New Roman" w:ascii="Times New Roman" w:hAnsi="Times New Roman"/>
          <w:spacing w:val="0"/>
          <w:szCs w:val="26"/>
        </w:rPr>
        <w:t>4.5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בפועל</w:t>
      </w:r>
      <w:r>
        <w:rPr>
          <w:rFonts w:cs="Times New Roman" w:ascii="Times New Roman" w:hAnsi="Times New Roman"/>
          <w:spacing w:val="0"/>
          <w:szCs w:val="26"/>
          <w:rtl w:val="true"/>
        </w:rPr>
        <w:t xml:space="preserve">, </w:t>
      </w:r>
      <w:r>
        <w:rPr>
          <w:rFonts w:cs="Times New Roman" w:ascii="Times New Roman" w:hAnsi="Times New Roman"/>
          <w:spacing w:val="0"/>
          <w:szCs w:val="26"/>
        </w:rPr>
        <w:t>18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חודשי מאסר מותנה וכן פיצוי למתלוננת הקטינה בסך של </w:t>
      </w:r>
      <w:r>
        <w:rPr>
          <w:rFonts w:cs="Times New Roman" w:ascii="Times New Roman" w:hAnsi="Times New Roman"/>
          <w:spacing w:val="0"/>
          <w:szCs w:val="26"/>
        </w:rPr>
        <w:t>75,000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לאחר שהרשיעו בשורה של עבירות מין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סחיטה ואיומים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שבוצעו באמצעות רשת האינטרנט</w:t>
      </w:r>
      <w:r>
        <w:rPr>
          <w:rFonts w:cs="Times New Roman" w:ascii="Times New Roman" w:hAnsi="Times New Roman"/>
          <w:spacing w:val="0"/>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השופט שטיין ובהסכמת השופטים הנדל ומינץ</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 ופסק כי</w:t>
      </w:r>
      <w:r>
        <w:rPr>
          <w:rFonts w:cs="Times New Roman" w:ascii="Times New Roman" w:hAnsi="Times New Roman"/>
          <w:spacing w:val="0"/>
          <w:sz w:val="24"/>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המקרה דנן איננו מסוג המקרים שיש בהם חריגה משמעותית מהעונש הראוי ושמצדיקים התערבות בגזר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עסקינן בעבירות מין חמורות שבוצעו באמצעות האינטרנט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במשך למעלה משנה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בילדה בת </w:t>
      </w:r>
      <w:r>
        <w:rPr>
          <w:rFonts w:cs="Times New Roman" w:ascii="Times New Roman" w:hAnsi="Times New Roman"/>
          <w:spacing w:val="0"/>
          <w:szCs w:val="26"/>
        </w:rPr>
        <w:t>13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כבר נפסק כי עבירות מין המבוצעות דרך האינטרנט ראויות לעונשים מחמירים חרף העובדה שמדובר במרחב וירטואלי ולמרות העדרו של מגע פיזי בין התוקף לקורבן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לעבירות אלה יש חומרה יתרה נוכח הקלות שבה ניתן לבצען כשהתוקף פועל מתוך ביתו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כשהסיכוי שייתפס וייתן את הדין על מעשיו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נמוך</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מצד שני ניצב הקורבן הנסחט והמנוצל מינית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נמצאת בביתה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ביתה כבר אינו מבצרה מאחר שהתוקף יכול לפגוע בה שם בכל עת שיחפוץ</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המאפיין הייחודי של עבירות מין</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בסחיטה המבוצעות ברשת האינטרנט הוא היכולת </w:t>
      </w:r>
      <w:r>
        <w:rPr>
          <w:rFonts w:cs="Times New Roman" w:ascii="Times New Roman" w:hAnsi="Times New Roman"/>
          <w:spacing w:val="0"/>
          <w:szCs w:val="26"/>
          <w:rtl w:val="true"/>
        </w:rPr>
        <w:t>"</w:t>
      </w:r>
      <w:r>
        <w:rPr>
          <w:rFonts w:ascii="Times New Roman" w:hAnsi="Times New Roman" w:cs="Times New Roman"/>
          <w:spacing w:val="0"/>
          <w:szCs w:val="26"/>
          <w:rtl w:val="true"/>
        </w:rPr>
        <w:t>לתפוס</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את הקורבן בכל עת ובכל מקום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בבית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מקום שנראה בטוח ביותר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ולתקוף אותו כשבני הבית לא יודעים דבר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החדירה הקשה לפרטיותה ולחייה של המתלוננת וההרס של המרחב המוגן שלה חמורים פי כמה כשמדובר בילדה או בנערה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המאפיין הייחודי הנוסף של עבירות מין</w:t>
      </w:r>
      <w:r>
        <w:rPr>
          <w:rFonts w:cs="Times New Roman" w:ascii="Times New Roman" w:hAnsi="Times New Roman"/>
          <w:spacing w:val="0"/>
          <w:szCs w:val="26"/>
          <w:rtl w:val="true"/>
        </w:rPr>
        <w:t>-</w:t>
      </w:r>
      <w:r>
        <w:rPr>
          <w:rFonts w:ascii="Times New Roman" w:hAnsi="Times New Roman" w:cs="Times New Roman"/>
          <w:spacing w:val="0"/>
          <w:szCs w:val="26"/>
          <w:rtl w:val="true"/>
        </w:rPr>
        <w:t>בסחיטה המבוצעות במרחב הווירטואלי הוא מעשי סחיטה ואיומים שגורמים לקורבן לפגוע בעצמו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בניגוד לרצונו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ידי פעולות בעלות אופי מיני</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מאפיינים אלה מוסיפים לחומרת העבירה ולצורך החברתי בהרתעת יחיד ובהרתעת רבים מן המעשים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הדברים מקבלים משנה תוקף כאשר העבירה מבוצעות כלפי קטינים וקטינות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שנפשם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אישיותם וזהותם המינית טרם התעצבה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מין במרחב האינטרנטי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ובפרט עבירות של סחיטת מין מקטינים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הפכו לתופעה גלובלית נפוצה שאותה יש להוקיע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רצוי להתמודד עם תופעה זו באמצעות חינוך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אולם כאשר החינוך נכשל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איננו בנמצא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מן ראוי להפעיל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למען הרתעה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אמצעי ענישה מחמירים שאינם חסים על מבצעי העבירות גם כשאלו ראויים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לכאורה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למידת הרחמים בענישה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אכן ראוי להתחשבות מיוחדת לקולא בשל גילו הצעיר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היעדר עבר פלילי ופוטנציאל שיקום גבוה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והוא אכן זכה לכך בגזר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 הפסיקה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טווח העונשים שראוי להטיל על נאשמים לאחר שנמצאו אשמים בעבירות הדומות לאלו שביצע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וקורבנם היה קטין נע בין </w:t>
      </w:r>
      <w:r>
        <w:rPr>
          <w:rFonts w:cs="Times New Roman" w:ascii="Times New Roman" w:hAnsi="Times New Roman"/>
          <w:spacing w:val="0"/>
          <w:szCs w:val="26"/>
        </w:rPr>
        <w:t>4-7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הקל במידה הראויה את עונשו 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וכאן יש לעצור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חרף התחזית האופטימית לגבי שיקום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נוכח כך שהקלה נוספת בעונש המאסר שהושת על המערער תפגע בהרתעה כללית</w:t>
      </w:r>
      <w:r>
        <w:rPr>
          <w:rFonts w:cs="Times New Roman" w:ascii="Times New Roman" w:hAnsi="Times New Roman"/>
          <w:spacing w:val="0"/>
          <w:szCs w:val="26"/>
          <w:rtl w:val="true"/>
          <w:lang w:val="en-GB"/>
        </w:rPr>
        <w:t xml:space="preserve">, </w:t>
      </w:r>
      <w:r>
        <w:rPr>
          <w:rFonts w:ascii="Times New Roman" w:hAnsi="Times New Roman" w:cs="Times New Roman"/>
          <w:spacing w:val="0"/>
          <w:szCs w:val="26"/>
          <w:rtl w:val="true"/>
          <w:lang w:val="en-GB"/>
        </w:rPr>
        <w:t>ונוכח עקרון ההלימה</w:t>
      </w:r>
      <w:r>
        <w:rPr>
          <w:rFonts w:cs="Times New Roman" w:ascii="Times New Roman" w:hAnsi="Times New Roman"/>
          <w:spacing w:val="0"/>
          <w:szCs w:val="26"/>
          <w:rtl w:val="true"/>
          <w:lang w:val="en-GB"/>
        </w:rPr>
        <w:t xml:space="preserve">. </w:t>
      </w:r>
    </w:p>
    <w:p>
      <w:pPr>
        <w:pStyle w:val="Ruller31"/>
        <w:spacing w:lineRule="exact" w:line="240" w:before="0" w:after="120"/>
        <w:ind w:hanging="283" w:start="283" w:end="0"/>
        <w:jc w:val="both"/>
        <w:rPr>
          <w:rFonts w:ascii="FrankRuehl" w:hAnsi="FrankRuehl" w:cs="FrankRuehl"/>
          <w:spacing w:val="0"/>
          <w:sz w:val="24"/>
          <w:szCs w:val="24"/>
          <w:lang w:val="en-GB"/>
        </w:rPr>
      </w:pPr>
      <w:r>
        <w:rPr>
          <w:rFonts w:cs="FrankRuehl" w:ascii="FrankRuehl" w:hAnsi="FrankRuehl"/>
          <w:spacing w:val="0"/>
          <w:sz w:val="24"/>
          <w:szCs w:val="24"/>
          <w:rtl w:val="true"/>
          <w:lang w:val="en-GB"/>
        </w:rPr>
      </w:r>
      <w:bookmarkStart w:id="8" w:name="ABSTRACT_END"/>
      <w:bookmarkStart w:id="9" w:name="ABSTRACT_END"/>
      <w:bookmarkEnd w:id="9"/>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spacing w:lineRule="auto" w:line="240"/>
              <w:ind w:end="0"/>
              <w:jc w:val="center"/>
              <w:rPr/>
            </w:pPr>
            <w:bookmarkStart w:id="10" w:name="PsakDin"/>
            <w:bookmarkStart w:id="11" w:name="BeginProtocol"/>
            <w:bookmarkStart w:id="12" w:name="secretary"/>
            <w:bookmarkStart w:id="13" w:name="LawTable_End"/>
            <w:bookmarkEnd w:id="10"/>
            <w:bookmarkEnd w:id="11"/>
            <w:bookmarkEnd w:id="12"/>
            <w:bookmarkEnd w:id="13"/>
            <w:r>
              <w:rPr>
                <w:rtl w:val="true"/>
              </w:rPr>
              <w:t>פסק</w:t>
            </w:r>
            <w:r>
              <w:rPr>
                <w:rtl w:val="true"/>
              </w:rPr>
              <w:t>-</w:t>
            </w:r>
            <w:r>
              <w:rPr>
                <w:rtl w:val="true"/>
              </w:rPr>
              <w:t>דין</w:t>
            </w:r>
          </w:p>
          <w:p>
            <w:pPr>
              <w:pStyle w:val="DocumentHead"/>
              <w:spacing w:lineRule="auto" w:line="240"/>
              <w:ind w:end="0"/>
              <w:jc w:val="center"/>
              <w:rPr/>
            </w:pPr>
            <w:r>
              <w:rPr>
                <w:rtl w:val="true"/>
              </w:rPr>
            </w:r>
          </w:p>
        </w:tc>
      </w:tr>
    </w:tbl>
    <w:p>
      <w:pPr>
        <w:pStyle w:val="BODYVERDICT"/>
        <w:ind w:end="0"/>
        <w:jc w:val="start"/>
        <w:rPr>
          <w:rFonts w:cs="Miriam"/>
          <w:sz w:val="24"/>
          <w:szCs w:val="24"/>
          <w:u w:val="single"/>
        </w:rPr>
      </w:pPr>
      <w:r>
        <w:rPr>
          <w:rFonts w:cs="Miriam"/>
          <w:sz w:val="24"/>
          <w:szCs w:val="24"/>
          <w:u w:val="single"/>
          <w:rtl w:val="true"/>
        </w:rPr>
      </w:r>
      <w:bookmarkStart w:id="14" w:name="Writer_Name"/>
      <w:bookmarkStart w:id="15" w:name="Writer_Name"/>
      <w:bookmarkEnd w:id="15"/>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שטיין</w:t>
      </w:r>
      <w:r>
        <w:rPr>
          <w:rFonts w:cs="Miriam"/>
          <w:sz w:val="24"/>
          <w:szCs w:val="24"/>
          <w:rtl w:val="true"/>
        </w:rPr>
        <w:t>:</w:t>
      </w:r>
    </w:p>
    <w:p>
      <w:pPr>
        <w:pStyle w:val="Ruller4"/>
        <w:ind w:end="0"/>
        <w:jc w:val="both"/>
        <w:rPr>
          <w:rFonts w:cs="Miriam"/>
          <w:sz w:val="24"/>
          <w:szCs w:val="24"/>
          <w:u w:val="single"/>
        </w:rPr>
      </w:pPr>
      <w:r>
        <w:rPr>
          <w:rFonts w:cs="Miriam"/>
          <w:sz w:val="24"/>
          <w:szCs w:val="24"/>
          <w:u w:val="single"/>
          <w:rtl w:val="true"/>
        </w:rPr>
      </w:r>
      <w:bookmarkStart w:id="16" w:name="Start_Write"/>
      <w:bookmarkStart w:id="17" w:name="Start_Write"/>
      <w:bookmarkEnd w:id="17"/>
    </w:p>
    <w:p>
      <w:pPr>
        <w:pStyle w:val="Ruller41"/>
        <w:numPr>
          <w:ilvl w:val="0"/>
          <w:numId w:val="1"/>
        </w:numPr>
        <w:ind w:end="0"/>
        <w:jc w:val="both"/>
        <w:rPr>
          <w:rFonts w:ascii="Century" w:hAnsi="Century" w:cs="Century"/>
        </w:rPr>
      </w:pPr>
      <w:r>
        <w:rPr>
          <w:rtl w:val="true"/>
        </w:rPr>
        <w:t>בפנינו ערעור על גזר דינו של בית המשפט המחוזי מרכז</w:t>
      </w:r>
      <w:r>
        <w:rPr>
          <w:rtl w:val="true"/>
        </w:rPr>
        <w:t>-</w:t>
      </w:r>
      <w:r>
        <w:rPr>
          <w:rtl w:val="true"/>
        </w:rPr>
        <w:t xml:space="preserve">לוד </w:t>
      </w:r>
      <w:r>
        <w:rPr>
          <w:rtl w:val="true"/>
        </w:rPr>
        <w:t>(</w:t>
      </w:r>
      <w:r>
        <w:rPr>
          <w:rtl w:val="true"/>
        </w:rPr>
        <w:t xml:space="preserve">סגנית הנשיא השופטת </w:t>
      </w:r>
      <w:r>
        <w:rPr>
          <w:rFonts w:cs="Miriam"/>
          <w:b/>
          <w:b/>
          <w:spacing w:val="0"/>
          <w:szCs w:val="24"/>
          <w:rtl w:val="true"/>
        </w:rPr>
        <w:t>ר</w:t>
      </w:r>
      <w:r>
        <w:rPr>
          <w:rFonts w:cs="Miriam"/>
          <w:b/>
          <w:spacing w:val="0"/>
          <w:szCs w:val="24"/>
          <w:rtl w:val="true"/>
        </w:rPr>
        <w:t xml:space="preserve">' </w:t>
      </w:r>
      <w:r>
        <w:rPr>
          <w:rFonts w:cs="Miriam"/>
          <w:b/>
          <w:b/>
          <w:spacing w:val="0"/>
          <w:szCs w:val="24"/>
          <w:rtl w:val="true"/>
        </w:rPr>
        <w:t>לברך</w:t>
      </w:r>
      <w:r>
        <w:rPr>
          <w:rFonts w:cs="Miriam"/>
          <w:b/>
          <w:spacing w:val="0"/>
          <w:szCs w:val="24"/>
          <w:rtl w:val="true"/>
        </w:rPr>
        <w:t>,</w:t>
      </w:r>
      <w:r>
        <w:rPr>
          <w:rtl w:val="true"/>
        </w:rPr>
        <w:t xml:space="preserve"> </w:t>
      </w:r>
      <w:r>
        <w:rPr>
          <w:rFonts w:ascii="Century" w:hAnsi="Century" w:cs="Century"/>
          <w:sz w:val="22"/>
          <w:sz w:val="22"/>
          <w:rtl w:val="true"/>
        </w:rPr>
        <w:t>והשופטים</w:t>
      </w:r>
      <w:r>
        <w:rPr>
          <w:rtl w:val="true"/>
        </w:rPr>
        <w:t xml:space="preserve"> </w:t>
      </w:r>
      <w:r>
        <w:rPr>
          <w:rFonts w:cs="Miriam"/>
          <w:b/>
          <w:b/>
          <w:spacing w:val="0"/>
          <w:szCs w:val="24"/>
          <w:rtl w:val="true"/>
        </w:rPr>
        <w:t>צ</w:t>
      </w:r>
      <w:r>
        <w:rPr>
          <w:rFonts w:cs="Miriam"/>
          <w:b/>
          <w:spacing w:val="0"/>
          <w:szCs w:val="24"/>
          <w:rtl w:val="true"/>
        </w:rPr>
        <w:t xml:space="preserve">' </w:t>
      </w:r>
      <w:r>
        <w:rPr>
          <w:rFonts w:cs="Miriam"/>
          <w:b/>
          <w:b/>
          <w:spacing w:val="0"/>
          <w:szCs w:val="24"/>
          <w:rtl w:val="true"/>
        </w:rPr>
        <w:t>דותן</w:t>
      </w:r>
      <w:r>
        <w:rPr>
          <w:rFonts w:eastAsia="Garamond"/>
          <w:b/>
          <w:b/>
          <w:spacing w:val="0"/>
          <w:szCs w:val="24"/>
          <w:rtl w:val="true"/>
        </w:rPr>
        <w:t xml:space="preserve"> </w:t>
      </w:r>
      <w:r>
        <w:rPr>
          <w:rtl w:val="true"/>
        </w:rPr>
        <w:t>ו</w:t>
      </w:r>
      <w:r>
        <w:rPr>
          <w:rFonts w:cs="Miriam"/>
          <w:b/>
          <w:b/>
          <w:spacing w:val="0"/>
          <w:szCs w:val="24"/>
          <w:rtl w:val="true"/>
        </w:rPr>
        <w:t>ד</w:t>
      </w:r>
      <w:r>
        <w:rPr>
          <w:rFonts w:cs="Miriam"/>
          <w:b/>
          <w:spacing w:val="0"/>
          <w:szCs w:val="24"/>
          <w:rtl w:val="true"/>
        </w:rPr>
        <w:t xml:space="preserve">' </w:t>
      </w:r>
      <w:r>
        <w:rPr>
          <w:rFonts w:cs="Miriam"/>
          <w:b/>
          <w:b/>
          <w:spacing w:val="0"/>
          <w:szCs w:val="24"/>
          <w:rtl w:val="true"/>
        </w:rPr>
        <w:t>עטר</w:t>
      </w:r>
      <w:r>
        <w:rPr>
          <w:rtl w:val="true"/>
        </w:rPr>
        <w:t xml:space="preserve">) </w:t>
      </w:r>
      <w:r>
        <w:rPr>
          <w:rtl w:val="true"/>
        </w:rPr>
        <w:t xml:space="preserve">מיום </w:t>
      </w:r>
      <w:r>
        <w:rPr/>
        <w:t>28.3.2018</w:t>
      </w:r>
      <w:r>
        <w:rPr>
          <w:rtl w:val="true"/>
        </w:rPr>
        <w:t xml:space="preserve"> </w:t>
      </w:r>
      <w:r>
        <w:rPr>
          <w:rtl w:val="true"/>
        </w:rPr>
        <w:t>ב</w:t>
      </w:r>
      <w:hyperlink r:id="rId21">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Pr>
          <w:t>4627-03-16</w:t>
        </w:r>
      </w:hyperlink>
      <w:r>
        <w:rPr>
          <w:rtl w:val="true"/>
        </w:rPr>
        <w:t xml:space="preserve"> </w:t>
      </w:r>
      <w:r>
        <w:rPr>
          <w:rtl w:val="true"/>
        </w:rPr>
        <w:t xml:space="preserve">אשר גזר על המערער </w:t>
      </w:r>
      <w:r>
        <w:rPr/>
        <w:t>4.5</w:t>
      </w:r>
      <w:r>
        <w:rPr>
          <w:rtl w:val="true"/>
        </w:rPr>
        <w:t xml:space="preserve"> </w:t>
      </w:r>
      <w:r>
        <w:rPr>
          <w:rtl w:val="true"/>
        </w:rPr>
        <w:t>שנות מאסר בפועל</w:t>
      </w:r>
      <w:r>
        <w:rPr>
          <w:rtl w:val="true"/>
        </w:rPr>
        <w:t xml:space="preserve">, </w:t>
      </w:r>
      <w:r>
        <w:rPr/>
        <w:t>18</w:t>
      </w:r>
      <w:r>
        <w:rPr>
          <w:rtl w:val="true"/>
        </w:rPr>
        <w:t xml:space="preserve"> </w:t>
      </w:r>
      <w:r>
        <w:rPr>
          <w:rtl w:val="true"/>
        </w:rPr>
        <w:t xml:space="preserve">חודשי מאסר מותנה וכן פיצוי למתלוננת בסך של </w:t>
      </w:r>
      <w:r>
        <w:rPr/>
        <w:t>75,000</w:t>
      </w:r>
      <w:r>
        <w:rPr>
          <w:rtl w:val="true"/>
        </w:rPr>
        <w:t xml:space="preserve"> </w:t>
      </w:r>
      <w:r>
        <w:rPr>
          <w:rtl w:val="true"/>
        </w:rPr>
        <w:t>ש</w:t>
      </w:r>
      <w:r>
        <w:rPr>
          <w:rtl w:val="true"/>
        </w:rPr>
        <w:t>"</w:t>
      </w:r>
      <w:r>
        <w:rPr>
          <w:rtl w:val="true"/>
        </w:rPr>
        <w:t>ח</w:t>
      </w:r>
      <w:r>
        <w:rPr>
          <w:rtl w:val="true"/>
        </w:rPr>
        <w:t xml:space="preserve">, </w:t>
      </w:r>
      <w:r>
        <w:rPr>
          <w:rtl w:val="true"/>
        </w:rPr>
        <w:t>לאחר שהרשיעו בשורה של עבירות מין</w:t>
      </w:r>
      <w:r>
        <w:rPr>
          <w:rtl w:val="true"/>
        </w:rPr>
        <w:t xml:space="preserve">, </w:t>
      </w:r>
      <w:r>
        <w:rPr>
          <w:rtl w:val="true"/>
        </w:rPr>
        <w:t>סחיטה ואיומים כמפורט להלן</w:t>
      </w:r>
      <w:r>
        <w:rPr>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העובדות</w:t>
      </w:r>
    </w:p>
    <w:p>
      <w:pPr>
        <w:pStyle w:val="Ruller4"/>
        <w:ind w:start="720" w:end="0"/>
        <w:jc w:val="both"/>
        <w:rPr>
          <w:rFonts w:ascii="Century" w:hAnsi="Century" w:cs="Century"/>
          <w:b/>
          <w:spacing w:val="0"/>
          <w:szCs w:val="24"/>
        </w:rPr>
      </w:pPr>
      <w:r>
        <w:rPr>
          <w:rFonts w:cs="Century" w:ascii="Century" w:hAnsi="Century"/>
          <w:b/>
          <w:spacing w:val="0"/>
          <w:szCs w:val="24"/>
          <w:rtl w:val="true"/>
        </w:rPr>
      </w:r>
    </w:p>
    <w:p>
      <w:pPr>
        <w:pStyle w:val="Ruller41"/>
        <w:numPr>
          <w:ilvl w:val="0"/>
          <w:numId w:val="1"/>
        </w:numPr>
        <w:ind w:end="0"/>
        <w:jc w:val="both"/>
        <w:rPr>
          <w:rFonts w:ascii="Century" w:hAnsi="Century" w:cs="Century"/>
        </w:rPr>
      </w:pPr>
      <w:r>
        <w:rPr>
          <w:rtl w:val="true"/>
        </w:rPr>
        <w:t>המערער הורשע על</w:t>
      </w:r>
      <w:r>
        <w:rPr>
          <w:rtl w:val="true"/>
        </w:rPr>
        <w:t>-</w:t>
      </w:r>
      <w:r>
        <w:rPr>
          <w:rtl w:val="true"/>
        </w:rPr>
        <w:t>פי הודאתו</w:t>
      </w:r>
      <w:r>
        <w:rPr>
          <w:rtl w:val="true"/>
        </w:rPr>
        <w:t xml:space="preserve">, </w:t>
      </w:r>
      <w:r>
        <w:rPr>
          <w:rtl w:val="true"/>
        </w:rPr>
        <w:t>במסגרת הסדר טיעון</w:t>
      </w:r>
      <w:r>
        <w:rPr>
          <w:rtl w:val="true"/>
        </w:rPr>
        <w:t xml:space="preserve">, </w:t>
      </w:r>
      <w:r>
        <w:rPr>
          <w:rtl w:val="true"/>
        </w:rPr>
        <w:t>בעובדות כתב האישום המתוקן בשורה ארוכה של אישומים שעניינם עבירות מין בקטינה</w:t>
      </w:r>
      <w:r>
        <w:rPr>
          <w:rtl w:val="true"/>
        </w:rPr>
        <w:t xml:space="preserve">, </w:t>
      </w:r>
      <w:r>
        <w:rPr>
          <w:rtl w:val="true"/>
        </w:rPr>
        <w:t>כדלקמן</w:t>
      </w:r>
      <w:r>
        <w:rPr>
          <w:rtl w:val="true"/>
        </w:rPr>
        <w:t xml:space="preserve">: </w:t>
      </w:r>
      <w:r>
        <w:rPr>
          <w:rtl w:val="true"/>
        </w:rPr>
        <w:t>עבירה של הטרדה מינית כלפי קטינה בת פחות מ</w:t>
      </w:r>
      <w:r>
        <w:rPr>
          <w:rtl w:val="true"/>
        </w:rPr>
        <w:t>-</w:t>
      </w:r>
      <w:r>
        <w:rPr/>
        <w:t>15</w:t>
      </w:r>
      <w:r>
        <w:rPr>
          <w:rtl w:val="true"/>
        </w:rPr>
        <w:t xml:space="preserve"> </w:t>
      </w:r>
      <w:r>
        <w:rPr>
          <w:rtl w:val="true"/>
        </w:rPr>
        <w:t xml:space="preserve">לפי </w:t>
      </w:r>
      <w:hyperlink r:id="rId22">
        <w:r>
          <w:rPr>
            <w:rStyle w:val="Hyperlink"/>
            <w:color w:val="0000FF"/>
            <w:u w:val="single"/>
            <w:rtl w:val="true"/>
          </w:rPr>
          <w:t>סעיפים</w:t>
        </w:r>
        <w:r>
          <w:rPr>
            <w:rStyle w:val="Hyperlink"/>
            <w:color w:val="0000FF"/>
            <w:u w:val="single"/>
            <w:rtl w:val="true"/>
          </w:rPr>
          <w:t xml:space="preserve"> </w:t>
        </w:r>
        <w:r>
          <w:rPr>
            <w:rStyle w:val="Hyperlink"/>
            <w:color w:val="0000FF"/>
            <w:u w:val="single"/>
          </w:rPr>
          <w:t>3</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6</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 xml:space="preserve">ביחד עם </w:t>
      </w:r>
      <w:hyperlink r:id="rId23">
        <w:r>
          <w:rPr>
            <w:rStyle w:val="Hyperlink"/>
            <w:color w:val="0000FF"/>
            <w:u w:val="single"/>
            <w:rtl w:val="true"/>
          </w:rPr>
          <w:t>סעיף</w:t>
        </w:r>
        <w:r>
          <w:rPr>
            <w:rStyle w:val="Hyperlink"/>
            <w:color w:val="0000FF"/>
            <w:u w:val="single"/>
            <w:rtl w:val="true"/>
          </w:rPr>
          <w:t xml:space="preserve"> </w:t>
        </w:r>
        <w:r>
          <w:rPr>
            <w:rStyle w:val="Hyperlink"/>
            <w:color w:val="0000FF"/>
            <w:u w:val="single"/>
          </w:rPr>
          <w:t>5</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2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למניעת</w:t>
        </w:r>
        <w:r>
          <w:rPr>
            <w:rStyle w:val="Hyperlink"/>
            <w:color w:val="0000FF"/>
            <w:u w:val="single"/>
            <w:rtl w:val="true"/>
          </w:rPr>
          <w:t xml:space="preserve"> </w:t>
        </w:r>
        <w:r>
          <w:rPr>
            <w:rStyle w:val="Hyperlink"/>
            <w:color w:val="0000FF"/>
            <w:u w:val="single"/>
            <w:rtl w:val="true"/>
          </w:rPr>
          <w:t>הטרדה</w:t>
        </w:r>
        <w:r>
          <w:rPr>
            <w:rStyle w:val="Hyperlink"/>
            <w:color w:val="0000FF"/>
            <w:u w:val="single"/>
            <w:rtl w:val="true"/>
          </w:rPr>
          <w:t xml:space="preserve"> </w:t>
        </w:r>
        <w:r>
          <w:rPr>
            <w:rStyle w:val="Hyperlink"/>
            <w:color w:val="0000FF"/>
            <w:u w:val="single"/>
            <w:rtl w:val="true"/>
          </w:rPr>
          <w:t>מינית</w:t>
        </w:r>
      </w:hyperlink>
      <w:r>
        <w:rPr>
          <w:rtl w:val="true"/>
        </w:rPr>
        <w:t xml:space="preserve">, </w:t>
      </w:r>
      <w:r>
        <w:rPr>
          <w:rtl w:val="true"/>
        </w:rPr>
        <w:t>התשנ</w:t>
      </w:r>
      <w:r>
        <w:rPr>
          <w:rtl w:val="true"/>
        </w:rPr>
        <w:t>"</w:t>
      </w:r>
      <w:r>
        <w:rPr>
          <w:rtl w:val="true"/>
        </w:rPr>
        <w:t>ח</w:t>
      </w:r>
      <w:r>
        <w:rPr>
          <w:rtl w:val="true"/>
        </w:rPr>
        <w:t>-</w:t>
      </w:r>
      <w:r>
        <w:rPr/>
        <w:t>1998</w:t>
      </w:r>
      <w:r>
        <w:rPr>
          <w:rFonts w:cs="Century" w:ascii="Century" w:hAnsi="Century"/>
          <w:rtl w:val="true"/>
        </w:rPr>
        <w:t xml:space="preserve">; </w:t>
      </w:r>
      <w:r>
        <w:rPr>
          <w:rFonts w:ascii="Century" w:hAnsi="Century" w:cs="Century"/>
          <w:rtl w:val="true"/>
        </w:rPr>
        <w:t>שש עבירות של גרם מעשה מגונה שלא בהסכמה חופשית בקטינה בת פחות מ</w:t>
      </w:r>
      <w:r>
        <w:rPr>
          <w:rFonts w:cs="Century" w:ascii="Century" w:hAnsi="Century"/>
          <w:rtl w:val="true"/>
        </w:rPr>
        <w:t>-</w:t>
      </w:r>
      <w:r>
        <w:rPr>
          <w:rFonts w:cs="Century" w:ascii="Century" w:hAnsi="Century"/>
        </w:rPr>
        <w:t>16</w:t>
      </w:r>
      <w:r>
        <w:rPr>
          <w:rFonts w:cs="Century" w:ascii="Century" w:hAnsi="Century"/>
          <w:rtl w:val="true"/>
        </w:rPr>
        <w:t xml:space="preserve"> </w:t>
      </w:r>
      <w:r>
        <w:rPr>
          <w:rFonts w:ascii="Century" w:hAnsi="Century" w:cs="Century"/>
          <w:rtl w:val="true"/>
        </w:rPr>
        <w:t xml:space="preserve">שנה לפי </w:t>
      </w:r>
      <w:hyperlink r:id="rId2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348</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ביחד עם </w:t>
      </w:r>
      <w:hyperlink r:id="rId26">
        <w:r>
          <w:rPr>
            <w:rStyle w:val="Hyperlink"/>
            <w:rFonts w:ascii="Century" w:hAnsi="Century" w:cs="Century"/>
            <w:color w:val="0000FF"/>
            <w:u w:val="single"/>
            <w:rtl w:val="true"/>
          </w:rPr>
          <w:t>סעיפים</w:t>
        </w:r>
        <w:r>
          <w:rPr>
            <w:rStyle w:val="Hyperlink"/>
            <w:rFonts w:ascii="Century" w:hAnsi="Century" w:cs="Century"/>
            <w:color w:val="0000FF"/>
            <w:u w:val="single"/>
            <w:rtl w:val="true"/>
          </w:rPr>
          <w:t xml:space="preserve"> </w:t>
        </w:r>
        <w:r>
          <w:rPr>
            <w:rStyle w:val="Hyperlink"/>
            <w:rFonts w:cs="Century" w:ascii="Century" w:hAnsi="Century"/>
            <w:color w:val="0000FF"/>
            <w:u w:val="single"/>
          </w:rPr>
          <w:t>345</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ו</w:t>
      </w:r>
      <w:r>
        <w:rPr>
          <w:rFonts w:cs="Century" w:ascii="Century" w:hAnsi="Century"/>
          <w:rtl w:val="true"/>
        </w:rPr>
        <w:t>-</w:t>
      </w:r>
      <w:hyperlink r:id="rId27">
        <w:r>
          <w:rPr>
            <w:rStyle w:val="Hyperlink"/>
            <w:rFonts w:cs="Century" w:ascii="Century" w:hAnsi="Century"/>
          </w:rPr>
          <w:t>350</w:t>
        </w:r>
      </w:hyperlink>
      <w:r>
        <w:rPr>
          <w:rFonts w:cs="Century" w:ascii="Century" w:hAnsi="Century"/>
          <w:rtl w:val="true"/>
        </w:rPr>
        <w:t xml:space="preserve"> </w:t>
      </w:r>
      <w:r>
        <w:rPr>
          <w:rFonts w:ascii="Century" w:hAnsi="Century" w:cs="Century"/>
          <w:rtl w:val="true"/>
        </w:rPr>
        <w:t>ל</w:t>
      </w:r>
      <w:hyperlink r:id="rId28">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התשל</w:t>
      </w:r>
      <w:r>
        <w:rPr>
          <w:rFonts w:cs="Century" w:ascii="Century" w:hAnsi="Century"/>
          <w:rtl w:val="true"/>
        </w:rPr>
        <w:t>"</w:t>
      </w:r>
      <w:r>
        <w:rPr>
          <w:rFonts w:ascii="Century" w:hAnsi="Century" w:cs="Century"/>
          <w:rtl w:val="true"/>
        </w:rPr>
        <w:t>ז</w:t>
      </w:r>
      <w:r>
        <w:rPr>
          <w:rFonts w:cs="Century" w:ascii="Century" w:hAnsi="Century"/>
          <w:rtl w:val="true"/>
        </w:rPr>
        <w:t>-</w:t>
      </w:r>
      <w:r>
        <w:rPr>
          <w:rFonts w:cs="Century" w:ascii="Century" w:hAnsi="Century"/>
        </w:rPr>
        <w:t>1977</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Fonts w:cs="Century" w:ascii="Century" w:hAnsi="Century"/>
          <w:rtl w:val="true"/>
        </w:rPr>
        <w:t xml:space="preserve">); </w:t>
      </w:r>
      <w:r>
        <w:rPr>
          <w:rFonts w:ascii="Century" w:hAnsi="Century" w:cs="Century"/>
          <w:rtl w:val="true"/>
        </w:rPr>
        <w:t xml:space="preserve">תשע עבירות של גרם אינוס בנסיבות מחמירות </w:t>
      </w:r>
      <w:r>
        <w:rPr>
          <w:rFonts w:ascii="Century" w:hAnsi="Century" w:cs="Century"/>
          <w:rtl w:val="true"/>
        </w:rPr>
        <w:t>–</w:t>
      </w:r>
      <w:r>
        <w:rPr>
          <w:rFonts w:ascii="Century" w:hAnsi="Century" w:cs="Century"/>
          <w:rtl w:val="true"/>
        </w:rPr>
        <w:t xml:space="preserve"> בעילה שלא בהסכמה חופשית</w:t>
      </w:r>
      <w:r>
        <w:rPr>
          <w:rFonts w:cs="Century" w:ascii="Century" w:hAnsi="Century"/>
          <w:rtl w:val="true"/>
        </w:rPr>
        <w:t xml:space="preserve">, </w:t>
      </w:r>
      <w:r>
        <w:rPr>
          <w:rFonts w:ascii="Century" w:hAnsi="Century" w:cs="Century"/>
          <w:rtl w:val="true"/>
        </w:rPr>
        <w:t>כלפי קטינה בת פחות מ</w:t>
      </w:r>
      <w:r>
        <w:rPr>
          <w:rFonts w:cs="Century" w:ascii="Century" w:hAnsi="Century"/>
          <w:rtl w:val="true"/>
        </w:rPr>
        <w:t>-</w:t>
      </w:r>
      <w:r>
        <w:rPr>
          <w:rFonts w:cs="Century" w:ascii="Century" w:hAnsi="Century"/>
        </w:rPr>
        <w:t>16</w:t>
      </w:r>
      <w:r>
        <w:rPr>
          <w:rFonts w:cs="Century" w:ascii="Century" w:hAnsi="Century"/>
          <w:rtl w:val="true"/>
        </w:rPr>
        <w:t xml:space="preserve"> </w:t>
      </w:r>
      <w:r>
        <w:rPr>
          <w:rFonts w:ascii="Century" w:hAnsi="Century" w:cs="Century"/>
          <w:rtl w:val="true"/>
        </w:rPr>
        <w:t xml:space="preserve">שנה לפי </w:t>
      </w:r>
      <w:hyperlink r:id="rId29">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345</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r>
          <w:rPr>
            <w:rStyle w:val="Hyperlink"/>
            <w:rFonts w:cs="Century" w:ascii="Century" w:hAnsi="Century"/>
          </w:rPr>
          <w:t>1</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 xml:space="preserve">ביחד עם </w:t>
      </w:r>
      <w:hyperlink r:id="rId30">
        <w:r>
          <w:rPr>
            <w:rStyle w:val="Hyperlink"/>
            <w:rFonts w:ascii="Century" w:hAnsi="Century" w:cs="Century"/>
            <w:rtl w:val="true"/>
          </w:rPr>
          <w:t>סעיפים</w:t>
        </w:r>
        <w:r>
          <w:rPr>
            <w:rStyle w:val="Hyperlink"/>
            <w:rFonts w:ascii="Century" w:hAnsi="Century" w:cs="Century"/>
            <w:rtl w:val="true"/>
          </w:rPr>
          <w:t xml:space="preserve"> </w:t>
        </w:r>
        <w:r>
          <w:rPr>
            <w:rStyle w:val="Hyperlink"/>
            <w:rFonts w:cs="Century" w:ascii="Century" w:hAnsi="Century"/>
          </w:rPr>
          <w:t>345</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r>
          <w:rPr>
            <w:rStyle w:val="Hyperlink"/>
            <w:rFonts w:cs="Century" w:ascii="Century" w:hAnsi="Century"/>
          </w:rPr>
          <w:t>1</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ו</w:t>
      </w:r>
      <w:r>
        <w:rPr>
          <w:rFonts w:cs="Century" w:ascii="Century" w:hAnsi="Century"/>
          <w:rtl w:val="true"/>
        </w:rPr>
        <w:t>-</w:t>
      </w:r>
      <w:hyperlink r:id="rId31">
        <w:r>
          <w:rPr>
            <w:rStyle w:val="Hyperlink"/>
            <w:rFonts w:cs="Century" w:ascii="Century" w:hAnsi="Century"/>
          </w:rPr>
          <w:t>350</w:t>
        </w:r>
      </w:hyperlink>
      <w:r>
        <w:rPr>
          <w:rFonts w:cs="Century" w:ascii="Century" w:hAnsi="Century"/>
          <w:rtl w:val="true"/>
        </w:rPr>
        <w:t xml:space="preserve"> </w:t>
      </w:r>
      <w:r>
        <w:rPr>
          <w:rFonts w:ascii="Century" w:hAnsi="Century" w:cs="Century"/>
          <w:rtl w:val="true"/>
        </w:rPr>
        <w:t>לחוק העונשין</w:t>
      </w:r>
      <w:r>
        <w:rPr>
          <w:rFonts w:cs="Century" w:ascii="Century" w:hAnsi="Century"/>
          <w:rtl w:val="true"/>
        </w:rPr>
        <w:t xml:space="preserve">; </w:t>
      </w:r>
      <w:r>
        <w:rPr>
          <w:rFonts w:ascii="Century" w:hAnsi="Century" w:cs="Century"/>
          <w:rtl w:val="true"/>
        </w:rPr>
        <w:t xml:space="preserve">שתי עבירות של עשיית פרסום תועבה ובו דמותו של קטין לפי </w:t>
      </w:r>
      <w:hyperlink r:id="rId32">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214</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Pr>
          <w:t>1</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לחוק העונשין</w:t>
      </w:r>
      <w:r>
        <w:rPr>
          <w:rFonts w:cs="Century" w:ascii="Century" w:hAnsi="Century"/>
          <w:rtl w:val="true"/>
        </w:rPr>
        <w:t xml:space="preserve">; </w:t>
      </w:r>
      <w:r>
        <w:rPr>
          <w:rFonts w:ascii="Century" w:hAnsi="Century" w:cs="Century"/>
          <w:rtl w:val="true"/>
        </w:rPr>
        <w:t xml:space="preserve">עבירה אחת של החזקת פרסום תועבה ובו דמותו של קטין לפי </w:t>
      </w:r>
      <w:hyperlink r:id="rId33">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214</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Pr>
          <w:t>3</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לחוק העונשין</w:t>
      </w:r>
      <w:r>
        <w:rPr>
          <w:rFonts w:cs="Century" w:ascii="Century" w:hAnsi="Century"/>
          <w:rtl w:val="true"/>
        </w:rPr>
        <w:t xml:space="preserve">; </w:t>
      </w:r>
      <w:r>
        <w:rPr>
          <w:rFonts w:ascii="Century" w:hAnsi="Century" w:cs="Century"/>
          <w:rtl w:val="true"/>
        </w:rPr>
        <w:t xml:space="preserve">עבירה אחת של איומים לפי </w:t>
      </w:r>
      <w:hyperlink r:id="rId34">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192</w:t>
        </w:r>
      </w:hyperlink>
      <w:r>
        <w:rPr>
          <w:rFonts w:cs="Century" w:ascii="Century" w:hAnsi="Century"/>
          <w:rtl w:val="true"/>
        </w:rPr>
        <w:t xml:space="preserve"> </w:t>
      </w:r>
      <w:r>
        <w:rPr>
          <w:rFonts w:ascii="Century" w:hAnsi="Century" w:cs="Century"/>
          <w:rtl w:val="true"/>
        </w:rPr>
        <w:t>לחוק העונשין</w:t>
      </w:r>
      <w:r>
        <w:rPr>
          <w:rFonts w:cs="Century" w:ascii="Century" w:hAnsi="Century"/>
          <w:rtl w:val="true"/>
        </w:rPr>
        <w:t xml:space="preserve">; </w:t>
      </w:r>
      <w:r>
        <w:rPr>
          <w:rFonts w:ascii="Century" w:hAnsi="Century" w:cs="Century"/>
          <w:rtl w:val="true"/>
        </w:rPr>
        <w:t xml:space="preserve">שתי עבירות של סחיטה באיומים לפי </w:t>
      </w:r>
      <w:hyperlink r:id="rId35">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428</w:t>
        </w:r>
      </w:hyperlink>
      <w:r>
        <w:rPr>
          <w:rFonts w:cs="Century" w:ascii="Century" w:hAnsi="Century"/>
          <w:rtl w:val="true"/>
        </w:rPr>
        <w:t xml:space="preserve"> </w:t>
      </w:r>
      <w:r>
        <w:rPr>
          <w:rFonts w:ascii="Century" w:hAnsi="Century" w:cs="Century"/>
          <w:rtl w:val="true"/>
        </w:rPr>
        <w:t>לחוק העונשין</w:t>
      </w:r>
      <w:r>
        <w:rPr>
          <w:rFonts w:cs="Century" w:ascii="Century" w:hAnsi="Century"/>
          <w:rtl w:val="true"/>
        </w:rPr>
        <w:t xml:space="preserve">; </w:t>
      </w:r>
      <w:r>
        <w:rPr>
          <w:rFonts w:ascii="Century" w:hAnsi="Century" w:cs="Century"/>
          <w:rtl w:val="true"/>
        </w:rPr>
        <w:t>שתי עבירות של גרם מעשה סדום שלא בהסכמה חופשית בקטינה בת פחות מ</w:t>
      </w:r>
      <w:r>
        <w:rPr>
          <w:rFonts w:cs="Century" w:ascii="Century" w:hAnsi="Century"/>
          <w:rtl w:val="true"/>
        </w:rPr>
        <w:t>-</w:t>
      </w:r>
      <w:r>
        <w:rPr>
          <w:rFonts w:cs="Century" w:ascii="Century" w:hAnsi="Century"/>
        </w:rPr>
        <w:t>16</w:t>
      </w:r>
      <w:r>
        <w:rPr>
          <w:rFonts w:cs="Century" w:ascii="Century" w:hAnsi="Century"/>
          <w:rtl w:val="true"/>
        </w:rPr>
        <w:t xml:space="preserve"> </w:t>
      </w:r>
      <w:r>
        <w:rPr>
          <w:rFonts w:ascii="Century" w:hAnsi="Century" w:cs="Century"/>
          <w:rtl w:val="true"/>
        </w:rPr>
        <w:t xml:space="preserve">שנה לפי </w:t>
      </w:r>
      <w:hyperlink r:id="rId36">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347</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 xml:space="preserve">ביחד עם </w:t>
      </w:r>
      <w:hyperlink r:id="rId37">
        <w:r>
          <w:rPr>
            <w:rStyle w:val="Hyperlink"/>
            <w:rFonts w:ascii="Century" w:hAnsi="Century" w:cs="Century"/>
            <w:rtl w:val="true"/>
          </w:rPr>
          <w:t>סעיפים</w:t>
        </w:r>
        <w:r>
          <w:rPr>
            <w:rStyle w:val="Hyperlink"/>
            <w:rFonts w:ascii="Century" w:hAnsi="Century" w:cs="Century"/>
            <w:rtl w:val="true"/>
          </w:rPr>
          <w:t xml:space="preserve"> </w:t>
        </w:r>
        <w:r>
          <w:rPr>
            <w:rStyle w:val="Hyperlink"/>
            <w:rFonts w:cs="Century" w:ascii="Century" w:hAnsi="Century"/>
          </w:rPr>
          <w:t>345</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r>
          <w:rPr>
            <w:rStyle w:val="Hyperlink"/>
            <w:rFonts w:cs="Century" w:ascii="Century" w:hAnsi="Century"/>
          </w:rPr>
          <w:t>1</w:t>
        </w:r>
        <w:r>
          <w:rPr>
            <w:rStyle w:val="Hyperlink"/>
            <w:rFonts w:cs="Century" w:ascii="Century" w:hAnsi="Century"/>
            <w:rtl w:val="true"/>
          </w:rPr>
          <w:t>)</w:t>
        </w:r>
      </w:hyperlink>
      <w:r>
        <w:rPr>
          <w:rFonts w:cs="Century" w:ascii="Century" w:hAnsi="Century"/>
          <w:rtl w:val="true"/>
        </w:rPr>
        <w:t xml:space="preserve">, </w:t>
      </w:r>
      <w:hyperlink r:id="rId38">
        <w:r>
          <w:rPr>
            <w:rStyle w:val="Hyperlink"/>
            <w:rFonts w:cs="Century" w:ascii="Century" w:hAnsi="Century"/>
            <w:color w:val="0000FF"/>
            <w:u w:val="single"/>
          </w:rPr>
          <w:t>345</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ו</w:t>
      </w:r>
      <w:r>
        <w:rPr>
          <w:rFonts w:cs="Century" w:ascii="Century" w:hAnsi="Century"/>
          <w:rtl w:val="true"/>
        </w:rPr>
        <w:t>-</w:t>
      </w:r>
      <w:hyperlink r:id="rId39">
        <w:r>
          <w:rPr>
            <w:rStyle w:val="Hyperlink"/>
            <w:rFonts w:cs="Century" w:ascii="Century" w:hAnsi="Century"/>
            <w:color w:val="0000FF"/>
            <w:u w:val="single"/>
          </w:rPr>
          <w:t>350</w:t>
        </w:r>
      </w:hyperlink>
      <w:r>
        <w:rPr>
          <w:rFonts w:cs="Century" w:ascii="Century" w:hAnsi="Century"/>
          <w:rtl w:val="true"/>
        </w:rPr>
        <w:t xml:space="preserve"> </w:t>
      </w:r>
      <w:r>
        <w:rPr>
          <w:rFonts w:ascii="Century" w:hAnsi="Century" w:cs="Century"/>
          <w:rtl w:val="true"/>
        </w:rPr>
        <w:t>לחוק העונשין</w:t>
      </w:r>
      <w:r>
        <w:rPr>
          <w:rFonts w:cs="Century" w:ascii="Century" w:hAnsi="Century"/>
          <w:rtl w:val="true"/>
        </w:rPr>
        <w:t xml:space="preserve">; </w:t>
      </w:r>
      <w:r>
        <w:rPr>
          <w:rFonts w:ascii="Century" w:hAnsi="Century" w:cs="Century"/>
          <w:rtl w:val="true"/>
        </w:rPr>
        <w:t xml:space="preserve">עבירה אחת של ניסיון לסחיטה באיומים לפי </w:t>
      </w:r>
      <w:hyperlink r:id="rId40">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428</w:t>
        </w:r>
      </w:hyperlink>
      <w:r>
        <w:rPr>
          <w:rFonts w:cs="Century" w:ascii="Century" w:hAnsi="Century"/>
          <w:rtl w:val="true"/>
        </w:rPr>
        <w:t xml:space="preserve"> </w:t>
      </w:r>
      <w:r>
        <w:rPr>
          <w:rFonts w:ascii="Century" w:hAnsi="Century" w:cs="Century"/>
          <w:rtl w:val="true"/>
        </w:rPr>
        <w:t xml:space="preserve">ביחד עם </w:t>
      </w:r>
      <w:hyperlink r:id="rId41">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25</w:t>
        </w:r>
      </w:hyperlink>
      <w:r>
        <w:rPr>
          <w:rFonts w:cs="Century" w:ascii="Century" w:hAnsi="Century"/>
          <w:rtl w:val="true"/>
        </w:rPr>
        <w:t xml:space="preserve"> </w:t>
      </w:r>
      <w:r>
        <w:rPr>
          <w:rFonts w:ascii="Century" w:hAnsi="Century" w:cs="Century"/>
          <w:rtl w:val="true"/>
        </w:rPr>
        <w:t>לחוק העונשין</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end="0"/>
        <w:jc w:val="both"/>
        <w:rPr/>
      </w:pPr>
      <w:r>
        <w:rPr>
          <w:rtl w:val="true"/>
        </w:rPr>
        <w:t>לפי העובדות של כתב האישום המתוקן</w:t>
      </w:r>
      <w:r>
        <w:rPr>
          <w:rtl w:val="true"/>
        </w:rPr>
        <w:t xml:space="preserve">, </w:t>
      </w:r>
      <w:r>
        <w:rPr>
          <w:rtl w:val="true"/>
        </w:rPr>
        <w:t>במועד שאינו ידוע במדויק למשיבה</w:t>
      </w:r>
      <w:r>
        <w:rPr>
          <w:rtl w:val="true"/>
        </w:rPr>
        <w:t xml:space="preserve">, </w:t>
      </w:r>
      <w:r>
        <w:rPr>
          <w:rtl w:val="true"/>
        </w:rPr>
        <w:t xml:space="preserve">במחצית השנייה של שנת </w:t>
      </w:r>
      <w:r>
        <w:rPr/>
        <w:t>2012</w:t>
      </w:r>
      <w:r>
        <w:rPr>
          <w:rtl w:val="true"/>
        </w:rPr>
        <w:t xml:space="preserve"> </w:t>
      </w:r>
      <w:r>
        <w:rPr>
          <w:rtl w:val="true"/>
        </w:rPr>
        <w:t xml:space="preserve">או תחילת שנת </w:t>
      </w:r>
      <w:r>
        <w:rPr/>
        <w:t>2013</w:t>
      </w:r>
      <w:r>
        <w:rPr>
          <w:rtl w:val="true"/>
        </w:rPr>
        <w:t xml:space="preserve">, </w:t>
      </w:r>
      <w:r>
        <w:rPr>
          <w:rtl w:val="true"/>
        </w:rPr>
        <w:t>נוצר קשר בין המערער</w:t>
      </w:r>
      <w:r>
        <w:rPr>
          <w:rtl w:val="true"/>
        </w:rPr>
        <w:t xml:space="preserve">, </w:t>
      </w:r>
      <w:r>
        <w:rPr>
          <w:rtl w:val="true"/>
        </w:rPr>
        <w:t>שהיה באותה עת בן שבע</w:t>
      </w:r>
      <w:r>
        <w:rPr>
          <w:rtl w:val="true"/>
        </w:rPr>
        <w:t>-</w:t>
      </w:r>
      <w:r>
        <w:rPr>
          <w:rtl w:val="true"/>
        </w:rPr>
        <w:t>עשרה וחצי</w:t>
      </w:r>
      <w:r>
        <w:rPr>
          <w:rtl w:val="true"/>
        </w:rPr>
        <w:t xml:space="preserve">, </w:t>
      </w:r>
      <w:r>
        <w:rPr>
          <w:rtl w:val="true"/>
        </w:rPr>
        <w:t>לבין קטינה</w:t>
      </w:r>
      <w:r>
        <w:rPr>
          <w:rtl w:val="true"/>
        </w:rPr>
        <w:t xml:space="preserve">, </w:t>
      </w:r>
      <w:r>
        <w:rPr>
          <w:rtl w:val="true"/>
        </w:rPr>
        <w:t xml:space="preserve">ילידת יולי </w:t>
      </w:r>
      <w:r>
        <w:rPr/>
        <w:t>2000</w:t>
      </w:r>
      <w:r>
        <w:rPr>
          <w:rtl w:val="true"/>
        </w:rPr>
        <w:t xml:space="preserve">, </w:t>
      </w:r>
      <w:r>
        <w:rPr>
          <w:rtl w:val="true"/>
        </w:rPr>
        <w:t>המתגוררת בארה</w:t>
      </w:r>
      <w:r>
        <w:rPr>
          <w:rtl w:val="true"/>
        </w:rPr>
        <w:t>"</w:t>
      </w:r>
      <w:r>
        <w:rPr>
          <w:rtl w:val="true"/>
        </w:rPr>
        <w:t xml:space="preserve">ב </w:t>
      </w:r>
      <w:r>
        <w:rPr>
          <w:rtl w:val="true"/>
        </w:rPr>
        <w:t>(</w:t>
      </w:r>
      <w:r>
        <w:rPr>
          <w:rtl w:val="true"/>
        </w:rPr>
        <w:t>להלן</w:t>
      </w:r>
      <w:r>
        <w:rPr>
          <w:rtl w:val="true"/>
        </w:rPr>
        <w:t xml:space="preserve">: </w:t>
      </w:r>
      <w:r>
        <w:rPr>
          <w:rFonts w:cs="Miriam"/>
          <w:b/>
          <w:b/>
          <w:spacing w:val="0"/>
          <w:szCs w:val="24"/>
          <w:rtl w:val="true"/>
        </w:rPr>
        <w:t>המתלוננת</w:t>
      </w:r>
      <w:r>
        <w:rPr>
          <w:rtl w:val="true"/>
        </w:rPr>
        <w:t xml:space="preserve">). </w:t>
      </w:r>
      <w:r>
        <w:rPr>
          <w:rtl w:val="true"/>
        </w:rPr>
        <w:t xml:space="preserve">הקשר בין השניים נוצר דרך האינטרנט באמצעות אפליקציית שיתוף תמונות והתנהל באמצעות רשתות חברתיות שונות ואפליקציות למסרים מיידים </w:t>
      </w:r>
      <w:r>
        <w:rPr>
          <w:rtl w:val="true"/>
        </w:rPr>
        <w:t>(</w:t>
      </w:r>
      <w:r>
        <w:rPr>
          <w:rtl w:val="true"/>
        </w:rPr>
        <w:t xml:space="preserve">כגון תוכנת </w:t>
      </w:r>
      <w:r>
        <w:rPr>
          <w:rFonts w:cs="Times New Roman" w:ascii="Times New Roman" w:hAnsi="Times New Roman"/>
          <w:rtl w:val="true"/>
        </w:rPr>
        <w:t>"</w:t>
      </w:r>
      <w:r>
        <w:rPr>
          <w:rFonts w:cs="Times New Roman" w:ascii="Times New Roman" w:hAnsi="Times New Roman"/>
        </w:rPr>
        <w:t>Kik</w:t>
      </w:r>
      <w:r>
        <w:rPr>
          <w:rFonts w:cs="Times New Roman" w:ascii="Times New Roman" w:hAnsi="Times New Roman"/>
          <w:rtl w:val="true"/>
        </w:rPr>
        <w:t>"</w:t>
      </w:r>
      <w:r>
        <w:rPr>
          <w:rtl w:val="true"/>
        </w:rPr>
        <w:t xml:space="preserve"> </w:t>
      </w:r>
      <w:r>
        <w:rPr>
          <w:rtl w:val="true"/>
        </w:rPr>
        <w:t xml:space="preserve">ותוכנת </w:t>
      </w:r>
      <w:r>
        <w:rPr>
          <w:rFonts w:cs="Times New Roman" w:ascii="Times New Roman" w:hAnsi="Times New Roman"/>
          <w:rtl w:val="true"/>
        </w:rPr>
        <w:t>"</w:t>
      </w:r>
      <w:r>
        <w:rPr>
          <w:rFonts w:cs="Times New Roman" w:ascii="Times New Roman" w:hAnsi="Times New Roman"/>
        </w:rPr>
        <w:t>Skype</w:t>
      </w:r>
      <w:r>
        <w:rPr>
          <w:rFonts w:cs="Times New Roman" w:ascii="Times New Roman" w:hAnsi="Times New Roman"/>
          <w:rtl w:val="true"/>
        </w:rPr>
        <w:t>"</w:t>
      </w:r>
      <w:r>
        <w:rPr>
          <w:rtl w:val="true"/>
        </w:rPr>
        <w:t xml:space="preserve">, </w:t>
      </w:r>
      <w:r>
        <w:rPr>
          <w:rtl w:val="true"/>
        </w:rPr>
        <w:t>המאפשרות שליחת קבצי תמונה ווידיאו וכן שיחות וידיאו</w:t>
      </w:r>
      <w:r>
        <w:rPr>
          <w:rtl w:val="true"/>
        </w:rPr>
        <w:t xml:space="preserve">). </w:t>
      </w:r>
      <w:r>
        <w:rPr>
          <w:rtl w:val="true"/>
        </w:rPr>
        <w:t>המערער ניהל שיחות אלה עם המתלוננת כשזו נמצאת בביתה שבארצות הברית</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end="0"/>
        <w:jc w:val="both"/>
        <w:rPr/>
      </w:pPr>
      <w:r>
        <w:rPr>
          <w:rtl w:val="true"/>
        </w:rPr>
        <w:t>בשיחתם הראשונה</w:t>
      </w:r>
      <w:r>
        <w:rPr>
          <w:rtl w:val="true"/>
        </w:rPr>
        <w:t xml:space="preserve">, </w:t>
      </w:r>
      <w:r>
        <w:rPr>
          <w:rtl w:val="true"/>
        </w:rPr>
        <w:t>ביקש המערער מהמתלוננת לשלוח אליו תמונות עירום שלה</w:t>
      </w:r>
      <w:r>
        <w:rPr>
          <w:rtl w:val="true"/>
        </w:rPr>
        <w:t xml:space="preserve">, </w:t>
      </w:r>
      <w:r>
        <w:rPr>
          <w:rtl w:val="true"/>
        </w:rPr>
        <w:t>והיא נענתה לבקשתו ושלחה לו תמונה שלה בחזייה ותחתונים</w:t>
      </w:r>
      <w:r>
        <w:rPr>
          <w:rtl w:val="true"/>
        </w:rPr>
        <w:t xml:space="preserve">. </w:t>
      </w:r>
      <w:r>
        <w:rPr>
          <w:rtl w:val="true"/>
        </w:rPr>
        <w:t xml:space="preserve">המערער והמתלוננת המשיכו לשוחח מעת לעת באמצעות </w:t>
      </w:r>
      <w:r>
        <w:rPr>
          <w:rFonts w:cs="Times New Roman" w:ascii="Times New Roman" w:hAnsi="Times New Roman"/>
        </w:rPr>
        <w:t>Kik</w:t>
      </w:r>
      <w:r>
        <w:rPr>
          <w:rtl w:val="true"/>
        </w:rPr>
        <w:t xml:space="preserve"> </w:t>
      </w:r>
      <w:r>
        <w:rPr>
          <w:rtl w:val="true"/>
        </w:rPr>
        <w:t>והמערער ביקש מהמתלוננת לשלוח לו תמונות עירום נוספות שלה</w:t>
      </w:r>
      <w:r>
        <w:rPr>
          <w:rtl w:val="true"/>
        </w:rPr>
        <w:t xml:space="preserve">, </w:t>
      </w:r>
      <w:r>
        <w:rPr>
          <w:rtl w:val="true"/>
        </w:rPr>
        <w:t>אך הפעם היא סירבה</w:t>
      </w:r>
      <w:r>
        <w:rPr>
          <w:rtl w:val="true"/>
        </w:rPr>
        <w:t xml:space="preserve">. </w:t>
      </w:r>
      <w:r>
        <w:rPr>
          <w:rtl w:val="true"/>
        </w:rPr>
        <w:t>בשלב זה החל המערער לאיים על המתלוננת כי יפרסם באינטרנט את התמונה ששלחה לו בשיחתם הראשונה</w:t>
      </w:r>
      <w:r>
        <w:rPr>
          <w:rtl w:val="true"/>
        </w:rPr>
        <w:t xml:space="preserve">, </w:t>
      </w:r>
      <w:r>
        <w:rPr>
          <w:rtl w:val="true"/>
        </w:rPr>
        <w:t>אם לא תיענה לבקשתו</w:t>
      </w:r>
      <w:r>
        <w:rPr>
          <w:rtl w:val="true"/>
        </w:rPr>
        <w:t xml:space="preserve">. </w:t>
      </w:r>
      <w:r>
        <w:rPr>
          <w:rtl w:val="true"/>
        </w:rPr>
        <w:t>בעקבות איום זה</w:t>
      </w:r>
      <w:r>
        <w:rPr>
          <w:rtl w:val="true"/>
        </w:rPr>
        <w:t xml:space="preserve">, </w:t>
      </w:r>
      <w:r>
        <w:rPr>
          <w:rtl w:val="true"/>
        </w:rPr>
        <w:t>שלחה המתלוננת למערער תמונה נוספת שבה היא מצולמת בעירום</w:t>
      </w:r>
      <w:r>
        <w:rPr>
          <w:rtl w:val="true"/>
        </w:rPr>
        <w:t xml:space="preserve">. </w:t>
      </w:r>
      <w:r>
        <w:rPr>
          <w:rtl w:val="true"/>
        </w:rPr>
        <w:t>כמתואר בכתב האישום</w:t>
      </w:r>
      <w:r>
        <w:rPr>
          <w:rtl w:val="true"/>
        </w:rPr>
        <w:t xml:space="preserve">, </w:t>
      </w:r>
      <w:r>
        <w:rPr>
          <w:rtl w:val="true"/>
        </w:rPr>
        <w:t>המפרט שניים עשר אירועים שונים</w:t>
      </w:r>
      <w:r>
        <w:rPr>
          <w:rtl w:val="true"/>
        </w:rPr>
        <w:t xml:space="preserve">, </w:t>
      </w:r>
      <w:r>
        <w:rPr>
          <w:rtl w:val="true"/>
        </w:rPr>
        <w:t>המערער המשיך להלך אימים על המתלוננת</w:t>
      </w:r>
      <w:r>
        <w:rPr>
          <w:rtl w:val="true"/>
        </w:rPr>
        <w:t xml:space="preserve">, </w:t>
      </w:r>
      <w:r>
        <w:rPr>
          <w:rtl w:val="true"/>
        </w:rPr>
        <w:t>במסגרת שיחותיהם ב</w:t>
      </w:r>
      <w:r>
        <w:rPr>
          <w:rtl w:val="true"/>
        </w:rPr>
        <w:t>-</w:t>
      </w:r>
      <w:r>
        <w:rPr>
          <w:rFonts w:cs="Times New Roman" w:ascii="Times New Roman" w:hAnsi="Times New Roman"/>
        </w:rPr>
        <w:t>Kik</w:t>
      </w:r>
      <w:r>
        <w:rPr>
          <w:rtl w:val="true"/>
        </w:rPr>
        <w:t xml:space="preserve"> </w:t>
      </w:r>
      <w:r>
        <w:rPr>
          <w:rtl w:val="true"/>
        </w:rPr>
        <w:t>וב</w:t>
      </w:r>
      <w:r>
        <w:rPr>
          <w:rtl w:val="true"/>
        </w:rPr>
        <w:t>-</w:t>
      </w:r>
      <w:r>
        <w:rPr>
          <w:rFonts w:cs="Times New Roman" w:ascii="Times New Roman" w:hAnsi="Times New Roman"/>
        </w:rPr>
        <w:t>Skype</w:t>
      </w:r>
      <w:r>
        <w:rPr>
          <w:rtl w:val="true"/>
        </w:rPr>
        <w:t xml:space="preserve"> </w:t>
      </w:r>
      <w:r>
        <w:rPr>
          <w:rtl w:val="true"/>
        </w:rPr>
        <w:t xml:space="preserve">, </w:t>
      </w:r>
      <w:r>
        <w:rPr>
          <w:rtl w:val="true"/>
        </w:rPr>
        <w:t>תוך שהוא מאיים עליה כי אם לא תמלא אחר דרישותיו הוא יפרסם באינטרנט את התמונות ששלחה לו</w:t>
      </w:r>
      <w:r>
        <w:rPr>
          <w:rtl w:val="true"/>
        </w:rPr>
        <w:t xml:space="preserve">. </w:t>
      </w:r>
      <w:r>
        <w:rPr>
          <w:rtl w:val="true"/>
        </w:rPr>
        <w:t>כך</w:t>
      </w:r>
      <w:r>
        <w:rPr>
          <w:rtl w:val="true"/>
        </w:rPr>
        <w:t xml:space="preserve">, </w:t>
      </w:r>
      <w:r>
        <w:rPr>
          <w:rtl w:val="true"/>
        </w:rPr>
        <w:t>המערער שוחח עם המתלוננת על תכנים מיניים ודרש ממנה לבצע מעשים מיניים בעצמה</w:t>
      </w:r>
      <w:r>
        <w:rPr>
          <w:rtl w:val="true"/>
        </w:rPr>
        <w:t xml:space="preserve">. </w:t>
      </w:r>
      <w:r>
        <w:rPr>
          <w:rtl w:val="true"/>
        </w:rPr>
        <w:t>מעשים אלה כללו התערטלות המתלוננת מול המצלמה</w:t>
      </w:r>
      <w:r>
        <w:rPr>
          <w:rtl w:val="true"/>
        </w:rPr>
        <w:t xml:space="preserve">, </w:t>
      </w:r>
      <w:r>
        <w:rPr>
          <w:rtl w:val="true"/>
        </w:rPr>
        <w:t xml:space="preserve">מגע בשדיה ובאיבר מינה וכן החדרת אצבעות וידית של מברשת שיער לאיבר מינה ולפי הטבעת שלה </w:t>
      </w:r>
      <w:r>
        <w:rPr>
          <w:rtl w:val="true"/>
        </w:rPr>
        <w:t>–</w:t>
      </w:r>
      <w:r>
        <w:rPr>
          <w:rtl w:val="true"/>
        </w:rPr>
        <w:t xml:space="preserve"> תוך שהוא</w:t>
      </w:r>
      <w:r>
        <w:rPr>
          <w:rtl w:val="true"/>
        </w:rPr>
        <w:t xml:space="preserve">, </w:t>
      </w:r>
      <w:r>
        <w:rPr>
          <w:rtl w:val="true"/>
        </w:rPr>
        <w:t>המערער</w:t>
      </w:r>
      <w:r>
        <w:rPr>
          <w:rtl w:val="true"/>
        </w:rPr>
        <w:t xml:space="preserve">, </w:t>
      </w:r>
      <w:r>
        <w:rPr>
          <w:rtl w:val="true"/>
        </w:rPr>
        <w:t>צופה בנעשה לשם גירוי וסיפוק מיני</w:t>
      </w:r>
      <w:r>
        <w:rPr>
          <w:rtl w:val="true"/>
        </w:rPr>
        <w:t xml:space="preserve">. </w:t>
      </w:r>
      <w:r>
        <w:rPr>
          <w:rtl w:val="true"/>
        </w:rPr>
        <w:t>בשל איומי המערער</w:t>
      </w:r>
      <w:r>
        <w:rPr>
          <w:rtl w:val="true"/>
        </w:rPr>
        <w:t xml:space="preserve">, </w:t>
      </w:r>
      <w:r>
        <w:rPr>
          <w:rtl w:val="true"/>
        </w:rPr>
        <w:t>המתלוננת ביצעה בעצמה את המעשים האמורים כאשר הוא צופה בה בזמן אמת בשיחת וידיאו או דרך תמונות וסרטונים ששלחה לו בהתאם לדרישותיו</w:t>
      </w:r>
      <w:r>
        <w:rPr>
          <w:rtl w:val="true"/>
        </w:rPr>
        <w:t xml:space="preserve">. </w:t>
      </w:r>
      <w:r>
        <w:rPr>
          <w:rtl w:val="true"/>
        </w:rPr>
        <w:t>כאשר לא יכלה המתלוננת לבצע בעצמה את המעשים המיניים</w:t>
      </w:r>
      <w:r>
        <w:rPr>
          <w:rtl w:val="true"/>
        </w:rPr>
        <w:t xml:space="preserve">, </w:t>
      </w:r>
      <w:r>
        <w:rPr>
          <w:rtl w:val="true"/>
        </w:rPr>
        <w:t>היא ניהלה עם המערער שיח מיני</w:t>
      </w:r>
      <w:r>
        <w:rPr>
          <w:rtl w:val="true"/>
        </w:rPr>
        <w:t xml:space="preserve">, </w:t>
      </w:r>
      <w:r>
        <w:rPr>
          <w:rtl w:val="true"/>
        </w:rPr>
        <w:t>תוך שהוא מענג את עצמו עד אשר מגיע לסיפוקו</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end="0"/>
        <w:jc w:val="both"/>
        <w:rPr/>
      </w:pPr>
      <w:r>
        <w:rPr>
          <w:rtl w:val="true"/>
        </w:rPr>
        <w:t>כתב האישום המתוקן מחזיק</w:t>
      </w:r>
      <w:r>
        <w:rPr>
          <w:rtl w:val="true"/>
        </w:rPr>
        <w:t xml:space="preserve">, </w:t>
      </w:r>
      <w:r>
        <w:rPr>
          <w:rtl w:val="true"/>
        </w:rPr>
        <w:t>כאמור</w:t>
      </w:r>
      <w:r>
        <w:rPr>
          <w:rtl w:val="true"/>
        </w:rPr>
        <w:t xml:space="preserve">, </w:t>
      </w:r>
      <w:r>
        <w:rPr>
          <w:rtl w:val="true"/>
        </w:rPr>
        <w:t>שנים עשר אישומים ומתפרש על פני שמונה עשר עמודים</w:t>
      </w:r>
      <w:r>
        <w:rPr>
          <w:rtl w:val="true"/>
        </w:rPr>
        <w:t xml:space="preserve">. </w:t>
      </w:r>
      <w:r>
        <w:rPr>
          <w:rtl w:val="true"/>
        </w:rPr>
        <w:t>איני רואה צורך וטעם בפירוט כל מעשיו מעוררי הסלידה של המערער</w:t>
      </w:r>
      <w:r>
        <w:rPr>
          <w:rtl w:val="true"/>
        </w:rPr>
        <w:t xml:space="preserve">, </w:t>
      </w:r>
      <w:r>
        <w:rPr>
          <w:rtl w:val="true"/>
        </w:rPr>
        <w:t>אך כדי לעמוד על טיב המעשים הללו ועל אופיים אתאר שניים מהאישומים</w:t>
      </w:r>
      <w:r>
        <w:rPr>
          <w:rtl w:val="true"/>
        </w:rPr>
        <w:t xml:space="preserve">. </w:t>
      </w:r>
      <w:r>
        <w:rPr>
          <w:rtl w:val="true"/>
        </w:rPr>
        <w:t>האמור באישומים אלה מייצג נאמנה את שיטת פועלו של המערער</w:t>
      </w:r>
      <w:r>
        <w:rPr>
          <w:rtl w:val="true"/>
        </w:rPr>
        <w:t xml:space="preserve">. </w:t>
      </w:r>
      <w:r>
        <w:rPr>
          <w:rtl w:val="true"/>
        </w:rPr>
        <w:t>לפי אחד מהאישומים</w:t>
      </w:r>
      <w:r>
        <w:rPr>
          <w:rtl w:val="true"/>
        </w:rPr>
        <w:t xml:space="preserve">, </w:t>
      </w:r>
      <w:r>
        <w:rPr>
          <w:rtl w:val="true"/>
        </w:rPr>
        <w:t xml:space="preserve">ביום </w:t>
      </w:r>
      <w:r>
        <w:rPr/>
        <w:t>26.11.2013</w:t>
      </w:r>
      <w:r>
        <w:rPr>
          <w:rtl w:val="true"/>
        </w:rPr>
        <w:t xml:space="preserve">, </w:t>
      </w:r>
      <w:r>
        <w:rPr>
          <w:rtl w:val="true"/>
        </w:rPr>
        <w:t>ניהלו המערער והמתלוננת שיחת וידיאו באמצעות ה</w:t>
      </w:r>
      <w:r>
        <w:rPr>
          <w:rtl w:val="true"/>
        </w:rPr>
        <w:t>-</w:t>
      </w:r>
      <w:r>
        <w:rPr>
          <w:rFonts w:cs="Times New Roman" w:ascii="Times New Roman" w:hAnsi="Times New Roman"/>
        </w:rPr>
        <w:t>Skype</w:t>
      </w:r>
      <w:r>
        <w:rPr>
          <w:rtl w:val="true"/>
        </w:rPr>
        <w:t xml:space="preserve">. </w:t>
      </w:r>
      <w:r>
        <w:rPr>
          <w:rtl w:val="true"/>
        </w:rPr>
        <w:t>המערער הורה למתלוננת להוריד את בגדיה</w:t>
      </w:r>
      <w:r>
        <w:rPr>
          <w:rtl w:val="true"/>
        </w:rPr>
        <w:t xml:space="preserve">, </w:t>
      </w:r>
      <w:r>
        <w:rPr>
          <w:rtl w:val="true"/>
        </w:rPr>
        <w:t>לגעת בשדיה ולדבר באופן מיני</w:t>
      </w:r>
      <w:r>
        <w:rPr>
          <w:rtl w:val="true"/>
        </w:rPr>
        <w:t xml:space="preserve">, </w:t>
      </w:r>
      <w:r>
        <w:rPr>
          <w:rtl w:val="true"/>
        </w:rPr>
        <w:t>תוך שהוא מנחה אותה כיצד לפעול ומה להגיד</w:t>
      </w:r>
      <w:r>
        <w:rPr>
          <w:rtl w:val="true"/>
        </w:rPr>
        <w:t xml:space="preserve">. </w:t>
      </w:r>
      <w:r>
        <w:rPr>
          <w:rtl w:val="true"/>
        </w:rPr>
        <w:t>גם כאשר אמרה המתלוננת שעליה לסיים את השיחה בשל הגעת הוריה</w:t>
      </w:r>
      <w:r>
        <w:rPr>
          <w:rtl w:val="true"/>
        </w:rPr>
        <w:t xml:space="preserve">, </w:t>
      </w:r>
      <w:r>
        <w:rPr>
          <w:rtl w:val="true"/>
        </w:rPr>
        <w:t>הוא דרש ממנה להמשיך את השיחה ולנעול את דלת חדרה</w:t>
      </w:r>
      <w:r>
        <w:rPr>
          <w:rtl w:val="true"/>
        </w:rPr>
        <w:t xml:space="preserve">. </w:t>
      </w:r>
      <w:r>
        <w:rPr>
          <w:rtl w:val="true"/>
        </w:rPr>
        <w:t>המתלוננת ביקשה שהמערער יסתפק בכך שהיא תשלח לו תמונת עירום</w:t>
      </w:r>
      <w:r>
        <w:rPr>
          <w:rtl w:val="true"/>
        </w:rPr>
        <w:t xml:space="preserve">, </w:t>
      </w:r>
      <w:r>
        <w:rPr>
          <w:rtl w:val="true"/>
        </w:rPr>
        <w:t>אך הוא דרש לראותה בזמן אמת</w:t>
      </w:r>
      <w:r>
        <w:rPr>
          <w:rtl w:val="true"/>
        </w:rPr>
        <w:t xml:space="preserve">, </w:t>
      </w:r>
      <w:r>
        <w:rPr>
          <w:rtl w:val="true"/>
        </w:rPr>
        <w:t xml:space="preserve">וכדבריו </w:t>
      </w:r>
      <w:r>
        <w:rPr>
          <w:rtl w:val="true"/>
        </w:rPr>
        <w:t>–</w:t>
      </w:r>
      <w:r>
        <w:rPr>
          <w:rtl w:val="true"/>
        </w:rPr>
        <w:t xml:space="preserve"> </w:t>
      </w:r>
      <w:r>
        <w:rPr>
          <w:rFonts w:cs="Times New Roman" w:ascii="Times New Roman" w:hAnsi="Times New Roman"/>
          <w:rtl w:val="true"/>
        </w:rPr>
        <w:t>"</w:t>
      </w:r>
      <w:r>
        <w:rPr>
          <w:rFonts w:cs="Times New Roman" w:ascii="Times New Roman" w:hAnsi="Times New Roman"/>
        </w:rPr>
        <w:t>Live</w:t>
      </w:r>
      <w:r>
        <w:rPr>
          <w:rFonts w:cs="Times New Roman" w:ascii="Times New Roman" w:hAnsi="Times New Roman"/>
          <w:rtl w:val="true"/>
        </w:rPr>
        <w:t>"</w:t>
      </w:r>
      <w:r>
        <w:rPr>
          <w:rtl w:val="true"/>
        </w:rPr>
        <w:t xml:space="preserve">. </w:t>
      </w:r>
      <w:r>
        <w:rPr>
          <w:rtl w:val="true"/>
        </w:rPr>
        <w:t>המערער דרש מהמתלוננת להחדיר את אצבעותיה לאיבר מינה ולהשמיע קולות הנאה ולאחר מכן דרש ממנה להחדיר חפץ לאיבר מינה</w:t>
      </w:r>
      <w:r>
        <w:rPr>
          <w:rtl w:val="true"/>
        </w:rPr>
        <w:t xml:space="preserve">, </w:t>
      </w:r>
      <w:r>
        <w:rPr>
          <w:rtl w:val="true"/>
        </w:rPr>
        <w:t>על אף שהמתלוננת הבהירה כי אינה מעוניינת בכך</w:t>
      </w:r>
      <w:r>
        <w:rPr>
          <w:rtl w:val="true"/>
        </w:rPr>
        <w:t xml:space="preserve">. </w:t>
      </w:r>
      <w:r>
        <w:rPr>
          <w:rtl w:val="true"/>
        </w:rPr>
        <w:t>בשל הפצרותיו של המערער</w:t>
      </w:r>
      <w:r>
        <w:rPr>
          <w:rtl w:val="true"/>
        </w:rPr>
        <w:t xml:space="preserve">, </w:t>
      </w:r>
      <w:r>
        <w:rPr>
          <w:rtl w:val="true"/>
        </w:rPr>
        <w:t>החדירה המתלוננת לאיבר מינה ידית של מברשת שיער</w:t>
      </w:r>
      <w:r>
        <w:rPr>
          <w:rtl w:val="true"/>
        </w:rPr>
        <w:t xml:space="preserve">, </w:t>
      </w:r>
      <w:r>
        <w:rPr>
          <w:rtl w:val="true"/>
        </w:rPr>
        <w:t>ולאחר מכן ביקשה את רשות המערער להחדיר אצבעות במקום ידית המברשת</w:t>
      </w:r>
      <w:r>
        <w:rPr>
          <w:rtl w:val="true"/>
        </w:rPr>
        <w:t xml:space="preserve">, </w:t>
      </w:r>
      <w:r>
        <w:rPr>
          <w:rtl w:val="true"/>
        </w:rPr>
        <w:t>שהכאיבה לה מאד</w:t>
      </w:r>
      <w:r>
        <w:rPr>
          <w:rtl w:val="true"/>
        </w:rPr>
        <w:t xml:space="preserve">. </w:t>
      </w:r>
      <w:r>
        <w:rPr>
          <w:rtl w:val="true"/>
        </w:rPr>
        <w:t>המערער דרש כי המתלוננת תחדיר שלוש אצבעות לאיבר מינה</w:t>
      </w:r>
      <w:r>
        <w:rPr>
          <w:rtl w:val="true"/>
        </w:rPr>
        <w:t xml:space="preserve">, </w:t>
      </w:r>
      <w:r>
        <w:rPr>
          <w:rtl w:val="true"/>
        </w:rPr>
        <w:t>ומשאמרה לו המתלוננת שאינה יכולה לעשות זאת</w:t>
      </w:r>
      <w:r>
        <w:rPr>
          <w:rtl w:val="true"/>
        </w:rPr>
        <w:t xml:space="preserve">, </w:t>
      </w:r>
      <w:r>
        <w:rPr>
          <w:rtl w:val="true"/>
        </w:rPr>
        <w:t>חזר ודרש ממנה להחדיר שוב את ידית המברשת</w:t>
      </w:r>
      <w:r>
        <w:rPr>
          <w:rtl w:val="true"/>
        </w:rPr>
        <w:t xml:space="preserve">. </w:t>
      </w:r>
      <w:r>
        <w:rPr>
          <w:rtl w:val="true"/>
        </w:rPr>
        <w:t>כאשר המתלוננת אמרה שאינה יכולה לעשות זאת</w:t>
      </w:r>
      <w:r>
        <w:rPr>
          <w:rtl w:val="true"/>
        </w:rPr>
        <w:t xml:space="preserve">, </w:t>
      </w:r>
      <w:r>
        <w:rPr>
          <w:rtl w:val="true"/>
        </w:rPr>
        <w:t>החל המערער לספור מאחד עד חמש כדי לתת לה להבין שאחרי שיגיע ל״חמש״ יפרסם את תמונות העירום שלה באינטרנט</w:t>
      </w:r>
      <w:r>
        <w:rPr>
          <w:rtl w:val="true"/>
        </w:rPr>
        <w:t xml:space="preserve">. </w:t>
      </w:r>
      <w:r>
        <w:rPr>
          <w:rtl w:val="true"/>
        </w:rPr>
        <w:t>נוכח איום זה</w:t>
      </w:r>
      <w:r>
        <w:rPr>
          <w:rtl w:val="true"/>
        </w:rPr>
        <w:t xml:space="preserve">, </w:t>
      </w:r>
      <w:r>
        <w:rPr>
          <w:rtl w:val="true"/>
        </w:rPr>
        <w:t>החדירה המתלוננת את ידית המברשת לאיבר מינה תוך שהיא מתחננת בפני המערער שירשה לה להפסיק את המעשה</w:t>
      </w:r>
      <w:r>
        <w:rPr>
          <w:rtl w:val="true"/>
        </w:rPr>
        <w:t xml:space="preserve">. </w:t>
      </w:r>
      <w:r>
        <w:rPr>
          <w:rtl w:val="true"/>
        </w:rPr>
        <w:t>המערער המשיך בשלו</w:t>
      </w:r>
      <w:r>
        <w:rPr>
          <w:rtl w:val="true"/>
        </w:rPr>
        <w:t xml:space="preserve">. </w:t>
      </w:r>
      <w:r>
        <w:rPr>
          <w:rtl w:val="true"/>
        </w:rPr>
        <w:t>הוא דרש מהמתלוננת להחדיר אצבעות לאיבר מינה ולגעת בשדיה תוך שהמתלוננת ממשיכה להתחנן בפניו שיפסיק ונכנעת לדרישותיו</w:t>
      </w:r>
      <w:r>
        <w:rPr>
          <w:rtl w:val="true"/>
        </w:rPr>
        <w:t xml:space="preserve">. </w:t>
      </w:r>
      <w:r>
        <w:rPr>
          <w:rtl w:val="true"/>
        </w:rPr>
        <w:t>בהמשך</w:t>
      </w:r>
      <w:r>
        <w:rPr>
          <w:rtl w:val="true"/>
        </w:rPr>
        <w:t xml:space="preserve">, </w:t>
      </w:r>
      <w:r>
        <w:rPr>
          <w:rtl w:val="true"/>
        </w:rPr>
        <w:t xml:space="preserve">הורה המערער למתלוננת </w:t>
      </w:r>
      <w:r>
        <w:rPr>
          <w:rtl w:val="true"/>
        </w:rPr>
        <w:t>"</w:t>
      </w:r>
      <w:r>
        <w:rPr>
          <w:rtl w:val="true"/>
        </w:rPr>
        <w:t>לגנוח כמו כלבה</w:t>
      </w:r>
      <w:r>
        <w:rPr>
          <w:rtl w:val="true"/>
        </w:rPr>
        <w:t xml:space="preserve">" </w:t>
      </w:r>
      <w:r>
        <w:rPr>
          <w:rtl w:val="true"/>
        </w:rPr>
        <w:t>והחל</w:t>
      </w:r>
      <w:r>
        <w:rPr>
          <w:rtl w:val="true"/>
        </w:rPr>
        <w:t xml:space="preserve">, </w:t>
      </w:r>
      <w:r>
        <w:rPr>
          <w:rtl w:val="true"/>
        </w:rPr>
        <w:t>כמו קודם</w:t>
      </w:r>
      <w:r>
        <w:rPr>
          <w:rtl w:val="true"/>
        </w:rPr>
        <w:t xml:space="preserve">, </w:t>
      </w:r>
      <w:r>
        <w:rPr>
          <w:rtl w:val="true"/>
        </w:rPr>
        <w:t>לספור מאחד עד חמש כדי שהמתלוננת תחשוב שאם וכאשר יגיע ל״חמש״ יפרסם את תמונותיה באינטרנט</w:t>
      </w:r>
      <w:r>
        <w:rPr>
          <w:rtl w:val="true"/>
        </w:rPr>
        <w:t xml:space="preserve">. </w:t>
      </w:r>
      <w:r>
        <w:rPr>
          <w:rtl w:val="true"/>
        </w:rPr>
        <w:t>לאחר שהגיע לסיפוקו המיני</w:t>
      </w:r>
      <w:r>
        <w:rPr>
          <w:rtl w:val="true"/>
        </w:rPr>
        <w:t xml:space="preserve">, </w:t>
      </w:r>
      <w:r>
        <w:rPr>
          <w:rtl w:val="true"/>
        </w:rPr>
        <w:t>הורה המערער למתלוננת לחדול וסיים את השיחה</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end="0"/>
        <w:jc w:val="both"/>
        <w:rPr/>
      </w:pPr>
      <w:r>
        <w:rPr>
          <w:rtl w:val="true"/>
        </w:rPr>
        <w:t xml:space="preserve">באירוע נוסף שהתרחש ביום </w:t>
      </w:r>
      <w:r>
        <w:rPr/>
        <w:t>14.7.2014</w:t>
      </w:r>
      <w:r>
        <w:rPr>
          <w:rtl w:val="true"/>
        </w:rPr>
        <w:t xml:space="preserve">, </w:t>
      </w:r>
      <w:r>
        <w:rPr>
          <w:rtl w:val="true"/>
        </w:rPr>
        <w:t>שוחח המערער עם המתלוננת ב</w:t>
      </w:r>
      <w:r>
        <w:rPr>
          <w:rtl w:val="true"/>
        </w:rPr>
        <w:t>-</w:t>
      </w:r>
      <w:r>
        <w:rPr/>
        <w:t>Kik</w:t>
      </w:r>
      <w:r>
        <w:rPr>
          <w:rtl w:val="true"/>
        </w:rPr>
        <w:t xml:space="preserve"> </w:t>
      </w:r>
      <w:r>
        <w:rPr>
          <w:rtl w:val="true"/>
        </w:rPr>
        <w:t xml:space="preserve">ושאל אותה האם השיגה עבורו תמונות עירום של חברתה </w:t>
      </w:r>
      <w:r>
        <w:rPr>
          <w:rtl w:val="true"/>
        </w:rPr>
        <w:t>(</w:t>
      </w:r>
      <w:r>
        <w:rPr>
          <w:rtl w:val="true"/>
        </w:rPr>
        <w:t>לאחר שדרש זאת ממנה בשיחה קודמת והקציב לה זמן לשם ביצוע המשימה</w:t>
      </w:r>
      <w:r>
        <w:rPr>
          <w:rtl w:val="true"/>
        </w:rPr>
        <w:t xml:space="preserve">). </w:t>
      </w:r>
      <w:r>
        <w:rPr>
          <w:rtl w:val="true"/>
        </w:rPr>
        <w:t xml:space="preserve">משענתה המתלוננת כי היא </w:t>
      </w:r>
      <w:r>
        <w:rPr>
          <w:rtl w:val="true"/>
        </w:rPr>
        <w:t>"</w:t>
      </w:r>
      <w:r>
        <w:rPr>
          <w:rtl w:val="true"/>
        </w:rPr>
        <w:t>עובדת על זה</w:t>
      </w:r>
      <w:r>
        <w:rPr>
          <w:rtl w:val="true"/>
        </w:rPr>
        <w:t xml:space="preserve">", </w:t>
      </w:r>
      <w:r>
        <w:rPr>
          <w:rtl w:val="true"/>
        </w:rPr>
        <w:t>אמר לה המערער כי יש לה יום נוסף לבצע זאת</w:t>
      </w:r>
      <w:r>
        <w:rPr>
          <w:rtl w:val="true"/>
        </w:rPr>
        <w:t xml:space="preserve">, </w:t>
      </w:r>
      <w:r>
        <w:rPr>
          <w:rtl w:val="true"/>
        </w:rPr>
        <w:t xml:space="preserve">אחרת </w:t>
      </w:r>
      <w:r>
        <w:rPr>
          <w:rtl w:val="true"/>
        </w:rPr>
        <w:t>"</w:t>
      </w:r>
      <w:r>
        <w:rPr>
          <w:rtl w:val="true"/>
        </w:rPr>
        <w:t>היא יודעת מה יקרה</w:t>
      </w:r>
      <w:r>
        <w:rPr>
          <w:rtl w:val="true"/>
        </w:rPr>
        <w:t xml:space="preserve">", </w:t>
      </w:r>
      <w:r>
        <w:rPr>
          <w:rtl w:val="true"/>
        </w:rPr>
        <w:t>בהתכוונו שוב לפרסום תמונותיה באינטרנט</w:t>
      </w:r>
      <w:r>
        <w:rPr>
          <w:rtl w:val="true"/>
        </w:rPr>
        <w:t xml:space="preserve">. </w:t>
      </w:r>
      <w:r>
        <w:rPr>
          <w:rtl w:val="true"/>
        </w:rPr>
        <w:t>לאחר מכן</w:t>
      </w:r>
      <w:r>
        <w:rPr>
          <w:rtl w:val="true"/>
        </w:rPr>
        <w:t xml:space="preserve">, </w:t>
      </w:r>
      <w:r>
        <w:rPr>
          <w:rtl w:val="true"/>
        </w:rPr>
        <w:t>דרש המערער מהמתלוננת שתשלח לו תמונות נוספות שבהן היא מצולמת בעירום והמשיך לדרוש ממנה עוד ועוד תמונות</w:t>
      </w:r>
      <w:r>
        <w:rPr>
          <w:rtl w:val="true"/>
        </w:rPr>
        <w:t xml:space="preserve">. </w:t>
      </w:r>
      <w:r>
        <w:rPr>
          <w:rtl w:val="true"/>
        </w:rPr>
        <w:t>המתלוננת נכנעה לדרישות אלה ושלחה למערער תמונות בהן רואים את איבר מינה ואת פי הטבעת שלה וכן תמונה שלה עם ידית המברשת בתוך איבר מינה</w:t>
      </w:r>
      <w:r>
        <w:rPr>
          <w:rtl w:val="true"/>
        </w:rPr>
        <w:t xml:space="preserve">. </w:t>
      </w:r>
      <w:r>
        <w:rPr>
          <w:rtl w:val="true"/>
        </w:rPr>
        <w:t>לאחר מכן</w:t>
      </w:r>
      <w:r>
        <w:rPr>
          <w:rtl w:val="true"/>
        </w:rPr>
        <w:t xml:space="preserve">, </w:t>
      </w:r>
      <w:r>
        <w:rPr>
          <w:rtl w:val="true"/>
        </w:rPr>
        <w:t>דרש המערער מהמתלוננת שתחדיר את ידית המברשת לפי הטבעת שלה וסירב להיענות לבקשתה להשתמש באצבע במקום ידית המברשת שהכאיבה לה</w:t>
      </w:r>
      <w:r>
        <w:rPr>
          <w:rtl w:val="true"/>
        </w:rPr>
        <w:t xml:space="preserve">. </w:t>
      </w:r>
      <w:r>
        <w:rPr>
          <w:rtl w:val="true"/>
        </w:rPr>
        <w:t>המתלוננת שלחה למערער תמונה בה ניתן לראות את איבר מינה ואת אצבעה בתוך פי הטבעת</w:t>
      </w:r>
      <w:r>
        <w:rPr>
          <w:rtl w:val="true"/>
        </w:rPr>
        <w:t xml:space="preserve">, </w:t>
      </w:r>
      <w:r>
        <w:rPr>
          <w:rtl w:val="true"/>
        </w:rPr>
        <w:t>והמערער חזר ודרש ממנה שתחדיר את ידית המברשת לפי הטבעת שלה</w:t>
      </w:r>
      <w:r>
        <w:rPr>
          <w:rtl w:val="true"/>
        </w:rPr>
        <w:t xml:space="preserve">. </w:t>
      </w:r>
      <w:r>
        <w:rPr>
          <w:rtl w:val="true"/>
        </w:rPr>
        <w:t>המתלוננת נכנעה גם לדרישה זו ושלחה למערער תמונה בה ניתן לראות את איבר מינה ואת ידית המברשת בתוך פי הטבעת שלה</w:t>
      </w:r>
      <w:r>
        <w:rPr>
          <w:rtl w:val="true"/>
        </w:rPr>
        <w:t xml:space="preserve">. </w:t>
      </w:r>
      <w:r>
        <w:rPr>
          <w:rtl w:val="true"/>
        </w:rPr>
        <w:t>בתגובה</w:t>
      </w:r>
      <w:r>
        <w:rPr>
          <w:rtl w:val="true"/>
        </w:rPr>
        <w:t xml:space="preserve">, </w:t>
      </w:r>
      <w:r>
        <w:rPr>
          <w:rtl w:val="true"/>
        </w:rPr>
        <w:t>דרש המערער מהמתלוננת שתחדיר את ידית המברשת עמוק יותר לפי הטבעת שלה ושתשלח לו תמונה בה ניתן לראות את פניה</w:t>
      </w:r>
      <w:r>
        <w:rPr>
          <w:rtl w:val="true"/>
        </w:rPr>
        <w:t xml:space="preserve">. </w:t>
      </w:r>
      <w:r>
        <w:rPr>
          <w:rtl w:val="true"/>
        </w:rPr>
        <w:t>המתלוננת שלחה למערער תמונות נוספות</w:t>
      </w:r>
      <w:r>
        <w:rPr>
          <w:rtl w:val="true"/>
        </w:rPr>
        <w:t xml:space="preserve">, </w:t>
      </w:r>
      <w:r>
        <w:rPr>
          <w:rtl w:val="true"/>
        </w:rPr>
        <w:t>תוך שהיא מתחננת בפניו שיפסיק בשל הכאבים</w:t>
      </w:r>
      <w:r>
        <w:rPr>
          <w:rtl w:val="true"/>
        </w:rPr>
        <w:t xml:space="preserve">, </w:t>
      </w:r>
      <w:r>
        <w:rPr>
          <w:rtl w:val="true"/>
        </w:rPr>
        <w:t>אולם המערער המשיך לעמוד על שלו</w:t>
      </w:r>
      <w:r>
        <w:rPr>
          <w:rtl w:val="true"/>
        </w:rPr>
        <w:t xml:space="preserve">. </w:t>
      </w:r>
      <w:r>
        <w:rPr>
          <w:rtl w:val="true"/>
        </w:rPr>
        <w:t>לאחר קבלת התמונות הנוספות מהמתלוננת</w:t>
      </w:r>
      <w:r>
        <w:rPr>
          <w:rtl w:val="true"/>
        </w:rPr>
        <w:t xml:space="preserve">, </w:t>
      </w:r>
      <w:r>
        <w:rPr>
          <w:rtl w:val="true"/>
        </w:rPr>
        <w:t>הוא שב ודרש ממנה להחדיר את ידית המברשת לאיבר מינה</w:t>
      </w:r>
      <w:r>
        <w:rPr>
          <w:rtl w:val="true"/>
        </w:rPr>
        <w:t xml:space="preserve">. </w:t>
      </w:r>
      <w:r>
        <w:rPr>
          <w:rtl w:val="true"/>
        </w:rPr>
        <w:t xml:space="preserve">המתלוננת עשתה כן ושלחה למערער תמונה המתעדת זאת </w:t>
      </w:r>
      <w:r>
        <w:rPr>
          <w:rtl w:val="true"/>
        </w:rPr>
        <w:t>–</w:t>
      </w:r>
      <w:r>
        <w:rPr>
          <w:rtl w:val="true"/>
        </w:rPr>
        <w:t xml:space="preserve"> כך</w:t>
      </w:r>
      <w:r>
        <w:rPr>
          <w:rtl w:val="true"/>
        </w:rPr>
        <w:t xml:space="preserve">, </w:t>
      </w:r>
      <w:r>
        <w:rPr>
          <w:rtl w:val="true"/>
        </w:rPr>
        <w:t>עד שהמערער הגיע לסיפוקו וסיים את השיחה</w:t>
      </w:r>
      <w:r>
        <w:rPr>
          <w:rtl w:val="true"/>
        </w:rPr>
        <w:t xml:space="preserve">. </w:t>
      </w:r>
    </w:p>
    <w:p>
      <w:pPr>
        <w:pStyle w:val="Ruller4"/>
        <w:ind w:end="0"/>
        <w:jc w:val="both"/>
        <w:rPr>
          <w:rFonts w:ascii="Century" w:hAnsi="Century" w:cs="Century"/>
        </w:rPr>
      </w:pPr>
      <w:r>
        <w:rPr>
          <w:rFonts w:cs="Century" w:ascii="Century" w:hAnsi="Century"/>
          <w:rtl w:val="true"/>
        </w:rPr>
        <w:tab/>
      </w:r>
    </w:p>
    <w:p>
      <w:pPr>
        <w:pStyle w:val="Ruller4"/>
        <w:ind w:end="0"/>
        <w:jc w:val="both"/>
        <w:rPr>
          <w:rFonts w:ascii="Century" w:hAnsi="Century" w:cs="Century"/>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
        <w:ind w:end="0"/>
        <w:jc w:val="both"/>
        <w:rPr>
          <w:rFonts w:ascii="Century" w:hAnsi="Century" w:cs="Century"/>
        </w:rPr>
      </w:pPr>
      <w:r>
        <w:rPr>
          <w:rFonts w:cs="Century" w:ascii="Century" w:hAnsi="Century"/>
          <w:rtl w:val="true"/>
        </w:rPr>
      </w:r>
    </w:p>
    <w:p>
      <w:pPr>
        <w:pStyle w:val="Ruller41"/>
        <w:numPr>
          <w:ilvl w:val="0"/>
          <w:numId w:val="1"/>
        </w:numPr>
        <w:ind w:end="0"/>
        <w:jc w:val="both"/>
        <w:rPr/>
      </w:pPr>
      <w:r>
        <w:rPr>
          <w:rtl w:val="true"/>
        </w:rPr>
        <w:t xml:space="preserve">בגזר דינו מיום </w:t>
      </w:r>
      <w:r>
        <w:rPr/>
        <w:t>28.3.2018</w:t>
      </w:r>
      <w:r>
        <w:rPr>
          <w:rtl w:val="true"/>
        </w:rPr>
        <w:t xml:space="preserve">, </w:t>
      </w:r>
      <w:r>
        <w:rPr>
          <w:rtl w:val="true"/>
        </w:rPr>
        <w:t>עמד בית המשפט המחוזי על חומרת מעשיו של המערער</w:t>
      </w:r>
      <w:r>
        <w:rPr>
          <w:rtl w:val="true"/>
        </w:rPr>
        <w:t xml:space="preserve">, </w:t>
      </w:r>
      <w:r>
        <w:rPr>
          <w:rtl w:val="true"/>
        </w:rPr>
        <w:t>אשר ביצע את עבירות המין ושאר העבירות המתוארות לעיל בקטינה בת שלוש</w:t>
      </w:r>
      <w:r>
        <w:rPr>
          <w:rtl w:val="true"/>
        </w:rPr>
        <w:t>-</w:t>
      </w:r>
      <w:r>
        <w:rPr>
          <w:rtl w:val="true"/>
        </w:rPr>
        <w:t>עשרה במשך תקופה שארכה למעלה משנה</w:t>
      </w:r>
      <w:r>
        <w:rPr>
          <w:rtl w:val="true"/>
        </w:rPr>
        <w:t xml:space="preserve">. </w:t>
      </w:r>
      <w:r>
        <w:rPr>
          <w:rtl w:val="true"/>
        </w:rPr>
        <w:t>בית המשפט התייחס לחומרתן היתירה של עבירות מין ברשת האינטרנט ולפגיעה הקשה בערכים חברתיים בסיסיים אשר גלומה בעבירות אלה</w:t>
      </w:r>
      <w:r>
        <w:rPr>
          <w:rtl w:val="true"/>
        </w:rPr>
        <w:t xml:space="preserve">. </w:t>
      </w:r>
      <w:r>
        <w:rPr>
          <w:rtl w:val="true"/>
        </w:rPr>
        <w:t>כך</w:t>
      </w:r>
      <w:r>
        <w:rPr>
          <w:rtl w:val="true"/>
        </w:rPr>
        <w:t xml:space="preserve">, </w:t>
      </w:r>
      <w:r>
        <w:rPr>
          <w:rtl w:val="true"/>
        </w:rPr>
        <w:t>קבע בית משפט קמא כי מידת הפגיעה במתלוננת ובחברה בכללותה הינה משמעותית ביותר נוכח המעשים המיניים הקשים שגרם המערער למתלוננת לבצע בעצמה בניגוד לרצונה</w:t>
      </w:r>
      <w:r>
        <w:rPr>
          <w:rtl w:val="true"/>
        </w:rPr>
        <w:t xml:space="preserve">, </w:t>
      </w:r>
      <w:r>
        <w:rPr>
          <w:rtl w:val="true"/>
        </w:rPr>
        <w:t>תוך הטלת אימה על המתלוננת כי אם לא תפעל בהתאם לגחמותיו הוא יפרסם ברבים תמונות וסרטונים המתעדים אותה במצבים אינטימיים</w:t>
      </w:r>
      <w:r>
        <w:rPr>
          <w:rtl w:val="true"/>
        </w:rPr>
        <w:t xml:space="preserve">. </w:t>
      </w:r>
      <w:r>
        <w:rPr>
          <w:rtl w:val="true"/>
        </w:rPr>
        <w:t>בית המשפט התייחס בגזר דינו המפורט לביזוי וההשפלה שהמתלוננת סבלה מידי המערער כאשר זה חודר לפרטיותה בעודה בביתה</w:t>
      </w:r>
      <w:r>
        <w:rPr>
          <w:rtl w:val="true"/>
        </w:rPr>
        <w:t xml:space="preserve">, </w:t>
      </w:r>
      <w:r>
        <w:rPr>
          <w:rtl w:val="true"/>
        </w:rPr>
        <w:t>רומס את כבודה ואת חופש רצונה ופוגע בשלומה הנפשי והגופני</w:t>
      </w:r>
      <w:r>
        <w:rPr>
          <w:rtl w:val="true"/>
        </w:rPr>
        <w:t xml:space="preserve">, </w:t>
      </w:r>
      <w:r>
        <w:rPr>
          <w:rtl w:val="true"/>
        </w:rPr>
        <w:t>תוך שהוא זורע בה</w:t>
      </w:r>
      <w:r>
        <w:rPr>
          <w:rtl w:val="true"/>
        </w:rPr>
        <w:t xml:space="preserve">, </w:t>
      </w:r>
      <w:r>
        <w:rPr>
          <w:rtl w:val="true"/>
        </w:rPr>
        <w:t>בצד הכאב הפיזי</w:t>
      </w:r>
      <w:r>
        <w:rPr>
          <w:rtl w:val="true"/>
        </w:rPr>
        <w:t xml:space="preserve">, </w:t>
      </w:r>
      <w:r>
        <w:rPr>
          <w:rtl w:val="true"/>
        </w:rPr>
        <w:t>אימה וחוסר אונים</w:t>
      </w:r>
      <w:r>
        <w:rPr>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ind w:end="0"/>
        <w:jc w:val="both"/>
        <w:rPr/>
      </w:pPr>
      <w:r>
        <w:rPr>
          <w:rtl w:val="true"/>
        </w:rPr>
        <w:t>כמו</w:t>
      </w:r>
      <w:r>
        <w:rPr>
          <w:rtl w:val="true"/>
        </w:rPr>
        <w:t>-</w:t>
      </w:r>
      <w:r>
        <w:rPr>
          <w:rtl w:val="true"/>
        </w:rPr>
        <w:t>כן נתן בית משפט קמא את דעתו על תסקירי שירות המבחן אשר פירטו את נסיבות חייו של המערער</w:t>
      </w:r>
      <w:r>
        <w:rPr>
          <w:rtl w:val="true"/>
        </w:rPr>
        <w:t xml:space="preserve">. </w:t>
      </w:r>
      <w:r>
        <w:rPr>
          <w:rtl w:val="true"/>
        </w:rPr>
        <w:t xml:space="preserve">המערער הוא בחור צעיר </w:t>
      </w:r>
      <w:r>
        <w:rPr>
          <w:rtl w:val="true"/>
        </w:rPr>
        <w:t>(</w:t>
      </w:r>
      <w:r>
        <w:rPr>
          <w:rtl w:val="true"/>
        </w:rPr>
        <w:t>כבן שמונה עשרה בעת ביצוע המעשים המתוארים לעיל</w:t>
      </w:r>
      <w:r>
        <w:rPr>
          <w:rtl w:val="true"/>
        </w:rPr>
        <w:t xml:space="preserve">) </w:t>
      </w:r>
      <w:r>
        <w:rPr>
          <w:rtl w:val="true"/>
        </w:rPr>
        <w:t>ונטול עבר פלילי</w:t>
      </w:r>
      <w:r>
        <w:rPr>
          <w:rtl w:val="true"/>
        </w:rPr>
        <w:t xml:space="preserve">. </w:t>
      </w:r>
      <w:r>
        <w:rPr>
          <w:rtl w:val="true"/>
        </w:rPr>
        <w:t>הוא תיפקד באופן חיובי במסגרות הלימודיות ובשירותו הצבאי</w:t>
      </w:r>
      <w:r>
        <w:rPr>
          <w:rtl w:val="true"/>
        </w:rPr>
        <w:t xml:space="preserve">. </w:t>
      </w:r>
      <w:r>
        <w:rPr>
          <w:rtl w:val="true"/>
        </w:rPr>
        <w:t>המערער הודה בכתב האישום המתוקן ולקח אחריות על מעשיו</w:t>
      </w:r>
      <w:r>
        <w:rPr>
          <w:rtl w:val="true"/>
        </w:rPr>
        <w:t xml:space="preserve">, </w:t>
      </w:r>
      <w:r>
        <w:rPr>
          <w:rtl w:val="true"/>
        </w:rPr>
        <w:t>וכך ייתר את העדת המתלוננת ואת המעמד הקשה של מסירת עדות</w:t>
      </w:r>
      <w:r>
        <w:rPr>
          <w:rtl w:val="true"/>
        </w:rPr>
        <w:t xml:space="preserve">, </w:t>
      </w:r>
      <w:r>
        <w:rPr>
          <w:rtl w:val="true"/>
        </w:rPr>
        <w:t>על כל הכרוך בכך</w:t>
      </w:r>
      <w:r>
        <w:rPr>
          <w:rtl w:val="true"/>
        </w:rPr>
        <w:t xml:space="preserve">. </w:t>
      </w:r>
      <w:r>
        <w:rPr>
          <w:rtl w:val="true"/>
        </w:rPr>
        <w:t>כעולה מתסקירי המבחן</w:t>
      </w:r>
      <w:r>
        <w:rPr>
          <w:rtl w:val="true"/>
        </w:rPr>
        <w:t xml:space="preserve">, </w:t>
      </w:r>
      <w:r>
        <w:rPr>
          <w:rtl w:val="true"/>
        </w:rPr>
        <w:t>המערער לקח חלק בהליך טיפולי משמעותי ואינטנסיבי וביטא הבנה כלפי התנהלותו הפוגענית והפסולה</w:t>
      </w:r>
      <w:r>
        <w:rPr>
          <w:rtl w:val="true"/>
        </w:rPr>
        <w:t xml:space="preserve">. </w:t>
      </w:r>
      <w:r>
        <w:rPr>
          <w:rtl w:val="true"/>
        </w:rPr>
        <w:t>יחד עם זאת</w:t>
      </w:r>
      <w:r>
        <w:rPr>
          <w:rtl w:val="true"/>
        </w:rPr>
        <w:t xml:space="preserve">, </w:t>
      </w:r>
      <w:r>
        <w:rPr>
          <w:rtl w:val="true"/>
        </w:rPr>
        <w:t>מהתסקירים עלה כי חרף ההליך הטיפולי</w:t>
      </w:r>
      <w:r>
        <w:rPr>
          <w:rtl w:val="true"/>
        </w:rPr>
        <w:t xml:space="preserve">, </w:t>
      </w:r>
      <w:r>
        <w:rPr>
          <w:rtl w:val="true"/>
        </w:rPr>
        <w:t>המערער עודנו מחזיק בעמדה מנותקת רגשית כלפי מעשיו ועוד נכונה לו כברת דרך ממושכת לשיקום מלא ועליה לפסי חיים נורמטיביים</w:t>
      </w:r>
      <w:r>
        <w:rPr>
          <w:rtl w:val="true"/>
        </w:rPr>
        <w:t xml:space="preserve">. </w:t>
      </w:r>
      <w:r>
        <w:rPr>
          <w:rtl w:val="true"/>
        </w:rPr>
        <w:t>בית המשפט עמד גם על מסוכנות המערער בשים לב למאפייני אישיותו</w:t>
      </w:r>
      <w:r>
        <w:rPr>
          <w:rtl w:val="true"/>
        </w:rPr>
        <w:t xml:space="preserve">, </w:t>
      </w:r>
      <w:r>
        <w:rPr>
          <w:rtl w:val="true"/>
        </w:rPr>
        <w:t>מורכבות מצבו ואבחנות פסיכיאטריות בתחום המיני</w:t>
      </w:r>
      <w:r>
        <w:rPr>
          <w:rtl w:val="true"/>
        </w:rPr>
        <w:t xml:space="preserve">, </w:t>
      </w:r>
      <w:r>
        <w:rPr>
          <w:rtl w:val="true"/>
        </w:rPr>
        <w:t>וקבע כי משלא מוצה הליך טיפולי ייעודי ארוך</w:t>
      </w:r>
      <w:r>
        <w:rPr>
          <w:rtl w:val="true"/>
        </w:rPr>
        <w:t>-</w:t>
      </w:r>
      <w:r>
        <w:rPr>
          <w:rtl w:val="true"/>
        </w:rPr>
        <w:t>טווח לא ניתן לבטל את הסיכון כי המערער יבצע בעתיד עבירות מין נוספות</w:t>
      </w:r>
      <w:r>
        <w:rPr>
          <w:rtl w:val="true"/>
        </w:rPr>
        <w:t xml:space="preserve">. </w:t>
      </w:r>
      <w:r>
        <w:rPr>
          <w:rtl w:val="true"/>
        </w:rPr>
        <w:t>לבסוף</w:t>
      </w:r>
      <w:r>
        <w:rPr>
          <w:rtl w:val="true"/>
        </w:rPr>
        <w:t xml:space="preserve">, </w:t>
      </w:r>
      <w:r>
        <w:rPr>
          <w:rtl w:val="true"/>
        </w:rPr>
        <w:t>התייחס בית משפט קמא גם לתסקיר הקורבן אשר תיאר את מצבה של המתלוננת</w:t>
      </w:r>
      <w:r>
        <w:rPr>
          <w:rtl w:val="true"/>
        </w:rPr>
        <w:t xml:space="preserve">, </w:t>
      </w:r>
      <w:r>
        <w:rPr>
          <w:rtl w:val="true"/>
        </w:rPr>
        <w:t>כיום בת שבע עשרה</w:t>
      </w:r>
      <w:r>
        <w:rPr>
          <w:rtl w:val="true"/>
        </w:rPr>
        <w:t xml:space="preserve">. </w:t>
      </w:r>
      <w:r>
        <w:rPr>
          <w:rtl w:val="true"/>
        </w:rPr>
        <w:t xml:space="preserve">תסקיר זה קובע כי המעשים שביצע המערער במתלוננת הותירו אצלה </w:t>
      </w:r>
      <w:r>
        <w:rPr>
          <w:rtl w:val="true"/>
        </w:rPr>
        <w:t>(</w:t>
      </w:r>
      <w:r>
        <w:rPr>
          <w:rtl w:val="true"/>
        </w:rPr>
        <w:t>שלא במפתיע</w:t>
      </w:r>
      <w:r>
        <w:rPr>
          <w:rtl w:val="true"/>
        </w:rPr>
        <w:t xml:space="preserve">) </w:t>
      </w:r>
      <w:r>
        <w:rPr>
          <w:rtl w:val="true"/>
        </w:rPr>
        <w:t>נזקים נפשיים שפגעו בכל מישורי חייה</w:t>
      </w:r>
      <w:r>
        <w:rPr>
          <w:rtl w:val="true"/>
        </w:rPr>
        <w:t xml:space="preserve">, </w:t>
      </w:r>
      <w:r>
        <w:rPr>
          <w:rtl w:val="true"/>
        </w:rPr>
        <w:t>אשר כוללים קשיי שינה</w:t>
      </w:r>
      <w:r>
        <w:rPr>
          <w:rtl w:val="true"/>
        </w:rPr>
        <w:t xml:space="preserve">, </w:t>
      </w:r>
      <w:r>
        <w:rPr>
          <w:rtl w:val="true"/>
        </w:rPr>
        <w:t>סיוטים וחרדות</w:t>
      </w:r>
      <w:r>
        <w:rPr>
          <w:rtl w:val="true"/>
        </w:rPr>
        <w:t xml:space="preserve">. </w:t>
      </w:r>
      <w:r>
        <w:rPr>
          <w:rtl w:val="true"/>
        </w:rPr>
        <w:t>המתלוננת נמנעת משימוש במחשב ובאינטרנט נוכח החשש שתיפגע שוב</w:t>
      </w:r>
      <w:r>
        <w:rPr>
          <w:rtl w:val="true"/>
        </w:rPr>
        <w:t xml:space="preserve">. </w:t>
      </w:r>
      <w:r>
        <w:rPr>
          <w:rtl w:val="true"/>
        </w:rPr>
        <w:t>המערער גרם למתלוננת לעשות מעשים אקטיביים כדי לפגוע בעצמה</w:t>
      </w:r>
      <w:r>
        <w:rPr>
          <w:rtl w:val="true"/>
        </w:rPr>
        <w:t xml:space="preserve">, </w:t>
      </w:r>
      <w:r>
        <w:rPr>
          <w:rtl w:val="true"/>
        </w:rPr>
        <w:t>וכתוצאה מכך המתלוננת אינה מצליחה להשתחרר מתחושה עזה של בושה ורגשות אשם</w:t>
      </w:r>
      <w:r>
        <w:rPr>
          <w:rtl w:val="true"/>
        </w:rPr>
        <w:t xml:space="preserve">. </w:t>
      </w:r>
      <w:r>
        <w:rPr>
          <w:rtl w:val="true"/>
        </w:rPr>
        <w:t>תחושות כאמור גורמות למתלוננת להתבודד ואף לחשוב מחשבות אובדניות</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end="0"/>
        <w:jc w:val="both"/>
        <w:rPr/>
      </w:pPr>
      <w:r>
        <w:rPr>
          <w:rtl w:val="true"/>
        </w:rPr>
        <w:t>בהתבסס על המכלול המידע הרלוונטי שקיבל לידיו</w:t>
      </w:r>
      <w:r>
        <w:rPr>
          <w:rtl w:val="true"/>
        </w:rPr>
        <w:t xml:space="preserve">, </w:t>
      </w:r>
      <w:r>
        <w:rPr>
          <w:rtl w:val="true"/>
        </w:rPr>
        <w:t xml:space="preserve">קבע בית משפט קמא כי מתחם העונש ההולם בגין העבירות שביצע המערער עומד על </w:t>
      </w:r>
      <w:r>
        <w:rPr/>
        <w:t>7-4</w:t>
      </w:r>
      <w:r>
        <w:rPr>
          <w:rtl w:val="true"/>
        </w:rPr>
        <w:t xml:space="preserve"> </w:t>
      </w:r>
      <w:r>
        <w:rPr>
          <w:rtl w:val="true"/>
        </w:rPr>
        <w:t>שנות מאסר בפועל</w:t>
      </w:r>
      <w:r>
        <w:rPr>
          <w:rtl w:val="true"/>
        </w:rPr>
        <w:t xml:space="preserve">. </w:t>
      </w:r>
      <w:r>
        <w:rPr>
          <w:rtl w:val="true"/>
        </w:rPr>
        <w:t>בית המשפט לא מצא טעמים לסטייה ממתחם הענישה הנוהג לקולא</w:t>
      </w:r>
      <w:r>
        <w:rPr>
          <w:rtl w:val="true"/>
        </w:rPr>
        <w:t xml:space="preserve">, </w:t>
      </w:r>
      <w:r>
        <w:rPr>
          <w:rtl w:val="true"/>
        </w:rPr>
        <w:t>אך לאור האפיק השיקומי בו נמצא המערער ובהתחשב בגילו הצעיר</w:t>
      </w:r>
      <w:r>
        <w:rPr>
          <w:rtl w:val="true"/>
        </w:rPr>
        <w:t xml:space="preserve">, </w:t>
      </w:r>
      <w:r>
        <w:rPr>
          <w:rtl w:val="true"/>
        </w:rPr>
        <w:t>החליט לגזור את עונשו ברף התחתון של המתחם</w:t>
      </w:r>
      <w:r>
        <w:rPr>
          <w:rtl w:val="true"/>
        </w:rPr>
        <w:t xml:space="preserve">. </w:t>
      </w:r>
      <w:r>
        <w:rPr>
          <w:rtl w:val="true"/>
        </w:rPr>
        <w:t>לפיכך</w:t>
      </w:r>
      <w:r>
        <w:rPr>
          <w:rtl w:val="true"/>
        </w:rPr>
        <w:t xml:space="preserve">, </w:t>
      </w:r>
      <w:r>
        <w:rPr>
          <w:rtl w:val="true"/>
        </w:rPr>
        <w:t>גזר בית משפט קמא על המערער ארבע וחצי שנות מאסר בפועל</w:t>
      </w:r>
      <w:r>
        <w:rPr>
          <w:rtl w:val="true"/>
        </w:rPr>
        <w:t xml:space="preserve">, </w:t>
      </w:r>
      <w:r>
        <w:rPr>
          <w:rtl w:val="true"/>
        </w:rPr>
        <w:t>שמונה עשר חודשי מאסר על תנאי</w:t>
      </w:r>
      <w:r>
        <w:rPr>
          <w:rtl w:val="true"/>
        </w:rPr>
        <w:t xml:space="preserve">, </w:t>
      </w:r>
      <w:r>
        <w:rPr>
          <w:rtl w:val="true"/>
        </w:rPr>
        <w:t xml:space="preserve">וחייבו לשלם למתלוננת פיצוי כספי בסך של </w:t>
      </w:r>
      <w:r>
        <w:rPr/>
        <w:t>75,000</w:t>
      </w:r>
      <w:r>
        <w:rPr>
          <w:rtl w:val="true"/>
        </w:rPr>
        <w:t xml:space="preserve"> </w:t>
      </w:r>
      <w:r>
        <w:rPr>
          <w:rtl w:val="true"/>
        </w:rPr>
        <w:t>ש</w:t>
      </w:r>
      <w:r>
        <w:rPr>
          <w:rtl w:val="true"/>
        </w:rPr>
        <w:t>"</w:t>
      </w:r>
      <w:r>
        <w:rPr>
          <w:rtl w:val="true"/>
        </w:rPr>
        <w:t>ח</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pPr>
      <w:r>
        <w:rPr>
          <w:rFonts w:cs="Century" w:ascii="Century" w:hAnsi="Century"/>
          <w:rtl w:val="true"/>
        </w:rPr>
        <w:tab/>
      </w:r>
      <w:r>
        <w:rPr>
          <w:rFonts w:ascii="Century" w:hAnsi="Century" w:cs="Century"/>
          <w:rtl w:val="true"/>
        </w:rPr>
        <w:t>מכאן הערעור שבפנינו</w:t>
      </w:r>
      <w:r>
        <w:rPr>
          <w:rFonts w:cs="Century" w:ascii="Century" w:hAnsi="Century"/>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סניגורו של המערער טען בפנינו</w:t>
      </w:r>
      <w:r>
        <w:rPr>
          <w:rtl w:val="true"/>
        </w:rPr>
        <w:t xml:space="preserve">, </w:t>
      </w:r>
      <w:r>
        <w:rPr>
          <w:rtl w:val="true"/>
        </w:rPr>
        <w:t>כי שגה בית משפט קמא בכך שלא מצא טעמים לסטייה לקולא ממתחם הענישה</w:t>
      </w:r>
      <w:r>
        <w:rPr>
          <w:rtl w:val="true"/>
        </w:rPr>
        <w:t xml:space="preserve">. </w:t>
      </w:r>
      <w:r>
        <w:rPr>
          <w:rtl w:val="true"/>
        </w:rPr>
        <w:t>לטענת הסניגור</w:t>
      </w:r>
      <w:r>
        <w:rPr>
          <w:rtl w:val="true"/>
        </w:rPr>
        <w:t xml:space="preserve">, </w:t>
      </w:r>
      <w:r>
        <w:rPr>
          <w:rtl w:val="true"/>
        </w:rPr>
        <w:t>מן הדין היה להתחשב במאמצי השיקום המשמעותיים של המערער</w:t>
      </w:r>
      <w:r>
        <w:rPr>
          <w:rtl w:val="true"/>
        </w:rPr>
        <w:t xml:space="preserve">, </w:t>
      </w:r>
      <w:r>
        <w:rPr>
          <w:rtl w:val="true"/>
        </w:rPr>
        <w:t>בגילו הצעיר</w:t>
      </w:r>
      <w:r>
        <w:rPr>
          <w:rtl w:val="true"/>
        </w:rPr>
        <w:t xml:space="preserve">, </w:t>
      </w:r>
      <w:r>
        <w:rPr>
          <w:rtl w:val="true"/>
        </w:rPr>
        <w:t>בלקיחה מיידית של האחריות על מעשיו</w:t>
      </w:r>
      <w:r>
        <w:rPr>
          <w:rtl w:val="true"/>
        </w:rPr>
        <w:t xml:space="preserve">, </w:t>
      </w:r>
      <w:r>
        <w:rPr>
          <w:rtl w:val="true"/>
        </w:rPr>
        <w:t>ובהיותו נטול עבר פלילי</w:t>
      </w:r>
      <w:r>
        <w:rPr>
          <w:rtl w:val="true"/>
        </w:rPr>
        <w:t xml:space="preserve">. </w:t>
      </w:r>
      <w:r>
        <w:rPr>
          <w:rtl w:val="true"/>
        </w:rPr>
        <w:t xml:space="preserve">מטעמים אלה </w:t>
      </w:r>
      <w:r>
        <w:rPr>
          <w:rtl w:val="true"/>
        </w:rPr>
        <w:t>–</w:t>
      </w:r>
      <w:r>
        <w:rPr>
          <w:rtl w:val="true"/>
        </w:rPr>
        <w:t xml:space="preserve"> כך לדברי הסניגור </w:t>
      </w:r>
      <w:r>
        <w:rPr>
          <w:rtl w:val="true"/>
        </w:rPr>
        <w:t>–</w:t>
      </w:r>
      <w:r>
        <w:rPr>
          <w:rtl w:val="true"/>
        </w:rPr>
        <w:t xml:space="preserve"> ניתן וראוי היה לסטות ממתחם הענישה ולהפחית מתקופת המאסר שהושתה על המערער</w:t>
      </w:r>
      <w:r>
        <w:rPr>
          <w:rtl w:val="true"/>
        </w:rPr>
        <w:t xml:space="preserve">, </w:t>
      </w:r>
      <w:r>
        <w:rPr>
          <w:rtl w:val="true"/>
        </w:rPr>
        <w:t>כך שעונשו יהא מידתי ויאפשר לו לחזור מהר יותר לחיים נורמטיביים</w:t>
      </w:r>
      <w:r>
        <w:rPr>
          <w:rtl w:val="true"/>
        </w:rPr>
        <w:t xml:space="preserve">. </w:t>
      </w:r>
      <w:r>
        <w:rPr>
          <w:rtl w:val="true"/>
        </w:rPr>
        <w:t>הסניגור הוסיף וטען</w:t>
      </w:r>
      <w:r>
        <w:rPr>
          <w:rtl w:val="true"/>
        </w:rPr>
        <w:t xml:space="preserve">, </w:t>
      </w:r>
      <w:r>
        <w:rPr>
          <w:rtl w:val="true"/>
        </w:rPr>
        <w:t>כי טעה בית משפט קמא בכך שקבע את מתחם הענישה מבלי להתחשב בסיבות שהביאו את המערער לבצע את העבירות</w:t>
      </w:r>
      <w:r>
        <w:rPr>
          <w:rtl w:val="true"/>
        </w:rPr>
        <w:t xml:space="preserve">, </w:t>
      </w:r>
      <w:r>
        <w:rPr>
          <w:rtl w:val="true"/>
        </w:rPr>
        <w:t>ובפרט את יכולתו המוגבלת</w:t>
      </w:r>
      <w:r>
        <w:rPr>
          <w:rtl w:val="true"/>
        </w:rPr>
        <w:t xml:space="preserve">, </w:t>
      </w:r>
      <w:r>
        <w:rPr>
          <w:rtl w:val="true"/>
        </w:rPr>
        <w:t>כנער מתבגר</w:t>
      </w:r>
      <w:r>
        <w:rPr>
          <w:rtl w:val="true"/>
        </w:rPr>
        <w:t xml:space="preserve">, </w:t>
      </w:r>
      <w:r>
        <w:rPr>
          <w:rtl w:val="true"/>
        </w:rPr>
        <w:t xml:space="preserve">להבין את פשר מעשיו ואת הפסול שבהם </w:t>
      </w:r>
      <w:r>
        <w:rPr>
          <w:rtl w:val="true"/>
        </w:rPr>
        <w:t>–</w:t>
      </w:r>
      <w:r>
        <w:rPr>
          <w:rtl w:val="true"/>
        </w:rPr>
        <w:t xml:space="preserve"> נסיבות שבית המשפט חייב היה לקחת בחשבון</w:t>
      </w:r>
      <w:r>
        <w:rPr>
          <w:rtl w:val="true"/>
        </w:rPr>
        <w:t xml:space="preserve">, </w:t>
      </w:r>
      <w:r>
        <w:rPr>
          <w:rtl w:val="true"/>
        </w:rPr>
        <w:t xml:space="preserve">אילו פעל לפי </w:t>
      </w:r>
      <w:hyperlink r:id="rId42">
        <w:r>
          <w:rPr>
            <w:rStyle w:val="Hyperlink"/>
            <w:color w:val="0000FF"/>
            <w:u w:val="single"/>
            <w:rtl w:val="true"/>
          </w:rPr>
          <w:t>סעיפים</w:t>
        </w:r>
        <w:r>
          <w:rPr>
            <w:rStyle w:val="Hyperlink"/>
            <w:color w:val="0000FF"/>
            <w:u w:val="single"/>
            <w:rtl w:val="true"/>
          </w:rPr>
          <w:t xml:space="preserve"> </w:t>
        </w:r>
        <w:r>
          <w:rPr>
            <w:rStyle w:val="Hyperlink"/>
            <w:color w:val="0000FF"/>
            <w:u w:val="single"/>
          </w:rPr>
          <w:t>40</w:t>
        </w:r>
        <w:r>
          <w:rPr>
            <w:rStyle w:val="Hyperlink"/>
            <w:color w:val="0000FF"/>
            <w:u w:val="single"/>
            <w:rtl w:val="true"/>
          </w:rPr>
          <w:t>ט</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5</w:t>
        </w:r>
        <w:r>
          <w:rPr>
            <w:rStyle w:val="Hyperlink"/>
            <w:color w:val="0000FF"/>
            <w:u w:val="single"/>
            <w:rtl w:val="true"/>
          </w:rPr>
          <w:t>)</w:t>
        </w:r>
      </w:hyperlink>
      <w:r>
        <w:rPr>
          <w:rtl w:val="true"/>
        </w:rPr>
        <w:t xml:space="preserve"> </w:t>
      </w:r>
      <w:r>
        <w:rPr>
          <w:rtl w:val="true"/>
        </w:rPr>
        <w:t>ו</w:t>
      </w:r>
      <w:r>
        <w:rPr>
          <w:rtl w:val="true"/>
        </w:rPr>
        <w:t>-</w:t>
      </w:r>
      <w:hyperlink r:id="rId43">
        <w:r>
          <w:rPr>
            <w:rStyle w:val="Hyperlink"/>
            <w:color w:val="0000FF"/>
            <w:u w:val="single"/>
          </w:rPr>
          <w:t>40</w:t>
        </w:r>
        <w:r>
          <w:rPr>
            <w:rStyle w:val="Hyperlink"/>
            <w:color w:val="0000FF"/>
            <w:u w:val="single"/>
            <w:rtl w:val="true"/>
          </w:rPr>
          <w:t>ט</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6</w:t>
        </w:r>
        <w:r>
          <w:rPr>
            <w:rStyle w:val="Hyperlink"/>
            <w:color w:val="0000FF"/>
            <w:u w:val="single"/>
            <w:rtl w:val="true"/>
          </w:rPr>
          <w:t>)</w:t>
        </w:r>
      </w:hyperlink>
      <w:r>
        <w:rPr>
          <w:rtl w:val="true"/>
        </w:rPr>
        <w:t xml:space="preserve"> </w:t>
      </w:r>
      <w:r>
        <w:rPr>
          <w:rtl w:val="true"/>
        </w:rPr>
        <w:t>ל</w:t>
      </w:r>
      <w:hyperlink r:id="rId4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end="0"/>
        <w:jc w:val="both"/>
        <w:rPr/>
      </w:pPr>
      <w:r>
        <w:rPr>
          <w:rtl w:val="true"/>
        </w:rPr>
        <w:t>באשר לפסקי הדין שהדריכו את בית משפט קמא בקביעת המתחם</w:t>
      </w:r>
      <w:r>
        <w:rPr>
          <w:rtl w:val="true"/>
        </w:rPr>
        <w:t xml:space="preserve">, </w:t>
      </w:r>
      <w:r>
        <w:rPr>
          <w:rtl w:val="true"/>
        </w:rPr>
        <w:t>טען הסניגור כי אלו אינם שייכים לעניין מאחר שרובם עוסקים בנאשמים שעברו את גיל הקטינות לפני שנים רבות ושפגעו בקורבנות רבים</w:t>
      </w:r>
      <w:r>
        <w:rPr>
          <w:rtl w:val="true"/>
        </w:rPr>
        <w:t xml:space="preserve">, </w:t>
      </w:r>
      <w:r>
        <w:rPr>
          <w:rtl w:val="true"/>
        </w:rPr>
        <w:t>להבדיל מקורבן אחד</w:t>
      </w:r>
      <w:r>
        <w:rPr>
          <w:rtl w:val="true"/>
        </w:rPr>
        <w:t xml:space="preserve">, </w:t>
      </w:r>
      <w:r>
        <w:rPr>
          <w:rtl w:val="true"/>
        </w:rPr>
        <w:t>כמו בענייננו</w:t>
      </w:r>
      <w:r>
        <w:rPr>
          <w:rtl w:val="true"/>
        </w:rPr>
        <w:t xml:space="preserve">. </w:t>
      </w:r>
      <w:r>
        <w:rPr>
          <w:rtl w:val="true"/>
        </w:rPr>
        <w:t>לשיטת הסניגור</w:t>
      </w:r>
      <w:r>
        <w:rPr>
          <w:rtl w:val="true"/>
        </w:rPr>
        <w:t xml:space="preserve">, </w:t>
      </w:r>
      <w:r>
        <w:rPr>
          <w:rtl w:val="true"/>
        </w:rPr>
        <w:t xml:space="preserve">שקלול כל הנסיבות דלעיל </w:t>
      </w:r>
      <w:r>
        <w:rPr>
          <w:rtl w:val="true"/>
        </w:rPr>
        <w:t>–</w:t>
      </w:r>
      <w:r>
        <w:rPr>
          <w:rtl w:val="true"/>
        </w:rPr>
        <w:t xml:space="preserve"> לרבות פוטנציאל החזרה לחיים נורמטיביים הגלום במערער </w:t>
      </w:r>
      <w:r>
        <w:rPr>
          <w:rtl w:val="true"/>
        </w:rPr>
        <w:t>–</w:t>
      </w:r>
      <w:r>
        <w:rPr>
          <w:rtl w:val="true"/>
        </w:rPr>
        <w:t xml:space="preserve"> צריך היה להוביל את בית משפט קמא לקביעת מתחם ענישה מחמיר פחות מזה שנקבע</w:t>
      </w:r>
      <w:r>
        <w:rPr>
          <w:rtl w:val="true"/>
        </w:rPr>
        <w:t xml:space="preserve">. </w:t>
      </w:r>
      <w:r>
        <w:rPr>
          <w:rtl w:val="true"/>
        </w:rPr>
        <w:t xml:space="preserve">הסניגור ביקש גם שנתחשב במצבו הנפשי הרעוע של המערער בעקבות ההרשעה והעונש וכי נעמיד מול עינינו את מאמציו הכנים לתקן את תוצאות מעשיו אשר כללו תשלום מזורז של הפיצויים </w:t>
      </w:r>
      <w:r>
        <w:rPr>
          <w:rtl w:val="true"/>
        </w:rPr>
        <w:t>(</w:t>
      </w:r>
      <w:r>
        <w:rPr/>
        <w:t>75,000</w:t>
      </w:r>
      <w:r>
        <w:rPr>
          <w:rtl w:val="true"/>
        </w:rPr>
        <w:t xml:space="preserve"> </w:t>
      </w:r>
      <w:r>
        <w:rPr>
          <w:rtl w:val="true"/>
        </w:rPr>
        <w:t>ש</w:t>
      </w:r>
      <w:r>
        <w:rPr>
          <w:rtl w:val="true"/>
        </w:rPr>
        <w:t>"</w:t>
      </w:r>
      <w:r>
        <w:rPr>
          <w:rtl w:val="true"/>
        </w:rPr>
        <w:t>ח</w:t>
      </w:r>
      <w:r>
        <w:rPr>
          <w:rtl w:val="true"/>
        </w:rPr>
        <w:t xml:space="preserve">) </w:t>
      </w:r>
      <w:r>
        <w:rPr>
          <w:rtl w:val="true"/>
        </w:rPr>
        <w:t xml:space="preserve">שכאמור נפסקו לטובת המתלוננת </w:t>
      </w:r>
      <w:r>
        <w:rPr>
          <w:rtl w:val="true"/>
        </w:rPr>
        <w:t>(</w:t>
      </w:r>
      <w:r>
        <w:rPr>
          <w:rtl w:val="true"/>
        </w:rPr>
        <w:t xml:space="preserve">ראו בהקשר זה את הנחיות הענישה </w:t>
      </w:r>
      <w:hyperlink r:id="rId45">
        <w:r>
          <w:rPr>
            <w:rStyle w:val="Hyperlink"/>
            <w:color w:val="0000FF"/>
            <w:u w:val="single"/>
            <w:rtl w:val="true"/>
          </w:rPr>
          <w:t>שבסעיף</w:t>
        </w:r>
        <w:r>
          <w:rPr>
            <w:rStyle w:val="Hyperlink"/>
            <w:color w:val="0000FF"/>
            <w:u w:val="single"/>
            <w:rtl w:val="true"/>
          </w:rPr>
          <w:t xml:space="preserve"> </w:t>
        </w:r>
        <w:r>
          <w:rPr>
            <w:rStyle w:val="Hyperlink"/>
            <w:color w:val="0000FF"/>
            <w:u w:val="single"/>
          </w:rPr>
          <w:t>40</w:t>
        </w:r>
        <w:r>
          <w:rPr>
            <w:rStyle w:val="Hyperlink"/>
            <w:color w:val="0000FF"/>
            <w:u w:val="single"/>
            <w:rtl w:val="true"/>
          </w:rPr>
          <w:t xml:space="preserve"> </w:t>
        </w:r>
        <w:r>
          <w:rPr>
            <w:rStyle w:val="Hyperlink"/>
            <w:color w:val="0000FF"/>
            <w:u w:val="single"/>
            <w:rtl w:val="true"/>
          </w:rPr>
          <w:t>יא</w:t>
        </w:r>
        <w:r>
          <w:rPr>
            <w:rStyle w:val="Hyperlink"/>
            <w:color w:val="0000FF"/>
            <w:u w:val="single"/>
            <w:rtl w:val="true"/>
          </w:rPr>
          <w:t>(</w:t>
        </w:r>
        <w:r>
          <w:rPr>
            <w:rStyle w:val="Hyperlink"/>
            <w:color w:val="0000FF"/>
            <w:u w:val="single"/>
          </w:rPr>
          <w:t>5</w:t>
        </w:r>
        <w:r>
          <w:rPr>
            <w:rStyle w:val="Hyperlink"/>
            <w:color w:val="0000FF"/>
            <w:u w:val="single"/>
            <w:rtl w:val="true"/>
          </w:rPr>
          <w:t>)</w:t>
        </w:r>
      </w:hyperlink>
      <w:r>
        <w:rPr>
          <w:rtl w:val="true"/>
        </w:rPr>
        <w:t xml:space="preserve"> </w:t>
      </w:r>
      <w:r>
        <w:rPr>
          <w:rtl w:val="true"/>
        </w:rPr>
        <w:t>ל</w:t>
      </w:r>
      <w:hyperlink r:id="rId4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end="0"/>
        <w:jc w:val="both"/>
        <w:rPr/>
      </w:pPr>
      <w:r>
        <w:rPr>
          <w:rtl w:val="true"/>
        </w:rPr>
        <w:t>המשיבה לא רואה את הדברים עין בעין עם הסניגור</w:t>
      </w:r>
      <w:r>
        <w:rPr>
          <w:rtl w:val="true"/>
        </w:rPr>
        <w:t xml:space="preserve">. </w:t>
      </w:r>
      <w:r>
        <w:rPr>
          <w:rtl w:val="true"/>
        </w:rPr>
        <w:t>לטענתה</w:t>
      </w:r>
      <w:r>
        <w:rPr>
          <w:rtl w:val="true"/>
        </w:rPr>
        <w:t xml:space="preserve">, </w:t>
      </w:r>
      <w:r>
        <w:rPr>
          <w:rtl w:val="true"/>
        </w:rPr>
        <w:t xml:space="preserve">עונשו של המערער הוא עונש ראוי </w:t>
      </w:r>
      <w:r>
        <w:rPr>
          <w:rtl w:val="true"/>
        </w:rPr>
        <w:t>–</w:t>
      </w:r>
      <w:r>
        <w:rPr>
          <w:rtl w:val="true"/>
        </w:rPr>
        <w:t xml:space="preserve"> ואף קל </w:t>
      </w:r>
      <w:r>
        <w:rPr>
          <w:rtl w:val="true"/>
        </w:rPr>
        <w:t>–</w:t>
      </w:r>
      <w:r>
        <w:rPr>
          <w:rtl w:val="true"/>
        </w:rPr>
        <w:t xml:space="preserve"> בהתחשב בכך שמדובר בפגיעה אכזרית</w:t>
      </w:r>
      <w:r>
        <w:rPr>
          <w:rtl w:val="true"/>
        </w:rPr>
        <w:t xml:space="preserve">, </w:t>
      </w:r>
      <w:r>
        <w:rPr>
          <w:rtl w:val="true"/>
        </w:rPr>
        <w:t>סדרתית</w:t>
      </w:r>
      <w:r>
        <w:rPr>
          <w:rtl w:val="true"/>
        </w:rPr>
        <w:t xml:space="preserve">, </w:t>
      </w:r>
      <w:r>
        <w:rPr>
          <w:rtl w:val="true"/>
        </w:rPr>
        <w:t>שיטתית ומחושבת בקטינה בת שלוש</w:t>
      </w:r>
      <w:r>
        <w:rPr>
          <w:rtl w:val="true"/>
        </w:rPr>
        <w:t>-</w:t>
      </w:r>
      <w:r>
        <w:rPr>
          <w:rtl w:val="true"/>
        </w:rPr>
        <w:t>עשרה</w:t>
      </w:r>
      <w:r>
        <w:rPr>
          <w:rtl w:val="true"/>
        </w:rPr>
        <w:t xml:space="preserve">, </w:t>
      </w:r>
      <w:r>
        <w:rPr>
          <w:rtl w:val="true"/>
        </w:rPr>
        <w:t>אשר ארכה למעלה משנה</w:t>
      </w:r>
      <w:r>
        <w:rPr>
          <w:rtl w:val="true"/>
        </w:rPr>
        <w:t xml:space="preserve">. </w:t>
      </w:r>
      <w:r>
        <w:rPr>
          <w:rtl w:val="true"/>
        </w:rPr>
        <w:t>המדינה סומכת אפוא את ידיה על גזר דינו של בית משפט קמא</w:t>
      </w:r>
      <w:r>
        <w:rPr>
          <w:rtl w:val="true"/>
        </w:rPr>
        <w:t xml:space="preserve">, </w:t>
      </w:r>
      <w:r>
        <w:rPr>
          <w:rtl w:val="true"/>
        </w:rPr>
        <w:t>תוך שהיא מדגישה את ריבוי האישומים בהם הורשע המערער</w:t>
      </w:r>
      <w:r>
        <w:rPr>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rFonts w:ascii="Century" w:hAnsi="Century" w:cs="Miriam"/>
          <w:b/>
          <w:b/>
          <w:spacing w:val="0"/>
          <w:szCs w:val="24"/>
          <w:rtl w:val="true"/>
        </w:rPr>
        <w:t>תסקיר</w:t>
      </w:r>
      <w:r>
        <w:rPr>
          <w:rFonts w:ascii="Century" w:hAnsi="Century" w:eastAsia="Century" w:cs="Century"/>
          <w:b/>
          <w:b/>
          <w:spacing w:val="0"/>
          <w:szCs w:val="24"/>
          <w:rtl w:val="true"/>
        </w:rPr>
        <w:t xml:space="preserve"> </w:t>
      </w:r>
      <w:r>
        <w:rPr>
          <w:rFonts w:ascii="Century" w:hAnsi="Century" w:cs="Miriam"/>
          <w:b/>
          <w:b/>
          <w:spacing w:val="0"/>
          <w:szCs w:val="24"/>
          <w:rtl w:val="true"/>
        </w:rPr>
        <w:t>משלים</w:t>
      </w:r>
      <w:r>
        <w:rPr>
          <w:rFonts w:cs="Miriam" w:ascii="Century" w:hAnsi="Century"/>
          <w:b/>
          <w:spacing w:val="0"/>
          <w:szCs w:val="24"/>
          <w:rtl w:val="true"/>
        </w:rPr>
        <w:tab/>
      </w:r>
    </w:p>
    <w:p>
      <w:pPr>
        <w:pStyle w:val="Ruller4"/>
        <w:ind w:end="0"/>
        <w:jc w:val="both"/>
        <w:rPr>
          <w:rFonts w:ascii="Century" w:hAnsi="Century" w:cs="Century"/>
          <w:b/>
          <w:spacing w:val="0"/>
          <w:szCs w:val="24"/>
        </w:rPr>
      </w:pPr>
      <w:r>
        <w:rPr>
          <w:rFonts w:cs="Century" w:ascii="Century" w:hAnsi="Century"/>
          <w:b/>
          <w:spacing w:val="0"/>
          <w:szCs w:val="24"/>
          <w:rtl w:val="true"/>
        </w:rPr>
      </w:r>
    </w:p>
    <w:p>
      <w:pPr>
        <w:pStyle w:val="Ruller41"/>
        <w:numPr>
          <w:ilvl w:val="0"/>
          <w:numId w:val="1"/>
        </w:numPr>
        <w:ind w:end="0"/>
        <w:jc w:val="both"/>
        <w:rPr/>
      </w:pPr>
      <w:r>
        <w:rPr>
          <w:rtl w:val="true"/>
        </w:rPr>
        <w:t>מהתסקיר המשלים שהוגש בפנינו על ידי שירות המבחן</w:t>
      </w:r>
      <w:r>
        <w:rPr>
          <w:rtl w:val="true"/>
        </w:rPr>
        <w:t xml:space="preserve">, </w:t>
      </w:r>
      <w:r>
        <w:rPr>
          <w:rtl w:val="true"/>
        </w:rPr>
        <w:t>עולה כי המערער אכן לוקח אחריות על מעשיו ועל הפגיעה הקשה שגרם למתלוננת</w:t>
      </w:r>
      <w:r>
        <w:rPr>
          <w:rtl w:val="true"/>
        </w:rPr>
        <w:t xml:space="preserve">, </w:t>
      </w:r>
      <w:r>
        <w:rPr>
          <w:rtl w:val="true"/>
        </w:rPr>
        <w:t>מביע חרטה ומכיר בהתנהגותו הפוגענית</w:t>
      </w:r>
      <w:r>
        <w:rPr>
          <w:rtl w:val="true"/>
        </w:rPr>
        <w:t xml:space="preserve">, </w:t>
      </w:r>
      <w:r>
        <w:rPr>
          <w:rtl w:val="true"/>
        </w:rPr>
        <w:t>אותה הוא מייחס למצבו הנפשי באותה עת</w:t>
      </w:r>
      <w:r>
        <w:rPr>
          <w:rtl w:val="true"/>
        </w:rPr>
        <w:t xml:space="preserve">. </w:t>
      </w:r>
      <w:r>
        <w:rPr>
          <w:rtl w:val="true"/>
        </w:rPr>
        <w:t>לדבריו</w:t>
      </w:r>
      <w:r>
        <w:rPr>
          <w:rtl w:val="true"/>
        </w:rPr>
        <w:t xml:space="preserve">, </w:t>
      </w:r>
      <w:r>
        <w:rPr>
          <w:rtl w:val="true"/>
        </w:rPr>
        <w:t>מצבו דאז נשלט על ידי חרדות ואגרסיות</w:t>
      </w:r>
      <w:r>
        <w:rPr>
          <w:rtl w:val="true"/>
        </w:rPr>
        <w:t xml:space="preserve">, </w:t>
      </w:r>
      <w:r>
        <w:rPr>
          <w:rtl w:val="true"/>
        </w:rPr>
        <w:t>להן לא הצליח לתת ביטוי</w:t>
      </w:r>
      <w:r>
        <w:rPr>
          <w:rtl w:val="true"/>
        </w:rPr>
        <w:t xml:space="preserve">, </w:t>
      </w:r>
      <w:r>
        <w:rPr>
          <w:rtl w:val="true"/>
        </w:rPr>
        <w:t>וכן על ידי צורך בשליטה</w:t>
      </w:r>
      <w:r>
        <w:rPr>
          <w:rtl w:val="true"/>
        </w:rPr>
        <w:t xml:space="preserve">. </w:t>
      </w:r>
      <w:r>
        <w:rPr>
          <w:rtl w:val="true"/>
        </w:rPr>
        <w:t>בנוסף</w:t>
      </w:r>
      <w:r>
        <w:rPr>
          <w:rtl w:val="true"/>
        </w:rPr>
        <w:t xml:space="preserve">, </w:t>
      </w:r>
      <w:r>
        <w:rPr>
          <w:rtl w:val="true"/>
        </w:rPr>
        <w:t>מבטא המערער נכונות להמשיך בטיפול האינטנסיבי בו החל</w:t>
      </w:r>
      <w:r>
        <w:rPr>
          <w:rtl w:val="true"/>
        </w:rPr>
        <w:t xml:space="preserve">, </w:t>
      </w:r>
      <w:r>
        <w:rPr>
          <w:rtl w:val="true"/>
        </w:rPr>
        <w:t>ומדגיש את חשיבות הטיפול עבורו ותרומתו הרבה להבנת בעיותיו וההתמודדות עמן</w:t>
      </w:r>
      <w:r>
        <w:rPr>
          <w:rtl w:val="true"/>
        </w:rPr>
        <w:t xml:space="preserve">. </w:t>
      </w:r>
      <w:r>
        <w:rPr>
          <w:rtl w:val="true"/>
        </w:rPr>
        <w:t>לצד כל אלו</w:t>
      </w:r>
      <w:r>
        <w:rPr>
          <w:rtl w:val="true"/>
        </w:rPr>
        <w:t xml:space="preserve">, </w:t>
      </w:r>
      <w:r>
        <w:rPr>
          <w:rtl w:val="true"/>
        </w:rPr>
        <w:t>מציין התסקיר המשלים כי המערער מחובר לפגיעות אותן גרם למתלוננת בעיקר שכלתנית</w:t>
      </w:r>
      <w:r>
        <w:rPr>
          <w:rtl w:val="true"/>
        </w:rPr>
        <w:t xml:space="preserve">: </w:t>
      </w:r>
      <w:r>
        <w:rPr>
          <w:rtl w:val="true"/>
        </w:rPr>
        <w:t>הוא מבין את משמעותן ומהותן</w:t>
      </w:r>
      <w:r>
        <w:rPr>
          <w:rtl w:val="true"/>
        </w:rPr>
        <w:t xml:space="preserve">, </w:t>
      </w:r>
      <w:r>
        <w:rPr>
          <w:rtl w:val="true"/>
        </w:rPr>
        <w:t>אך מתקשה בחיבור רגשי ממשי למעשיו ובהבעת אמפטיה</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לאחר ששקלתי בכובד ראש את טענות הצדדים</w:t>
      </w:r>
      <w:r>
        <w:rPr>
          <w:rtl w:val="true"/>
        </w:rPr>
        <w:t xml:space="preserve">, </w:t>
      </w:r>
      <w:r>
        <w:rPr>
          <w:rtl w:val="true"/>
        </w:rPr>
        <w:t>הגעתי למסקנה כי דין הערעור להידחות</w:t>
      </w:r>
      <w:r>
        <w:rPr>
          <w:rtl w:val="true"/>
        </w:rPr>
        <w:t xml:space="preserve">. </w:t>
      </w:r>
      <w:r>
        <w:rPr>
          <w:rtl w:val="true"/>
        </w:rPr>
        <w:t xml:space="preserve">המקרה שבפנינו איננו מסוג המקרים אשר יש בהם חריגה משמעותית מהעונש הראוי ושמצדיקים בשל כך התערבות בגזר הדין של הערכאה הראשונה </w:t>
      </w:r>
      <w:r>
        <w:rPr>
          <w:rtl w:val="true"/>
        </w:rPr>
        <w:t>(</w:t>
      </w:r>
      <w:r>
        <w:rPr>
          <w:rtl w:val="true"/>
        </w:rPr>
        <w:t xml:space="preserve">ראו </w:t>
      </w:r>
      <w:hyperlink r:id="rId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5944/13</w:t>
        </w:r>
      </w:hyperlink>
      <w:r>
        <w:rPr>
          <w:rtl w:val="true"/>
        </w:rPr>
        <w:t xml:space="preserve"> </w:t>
      </w:r>
      <w:r>
        <w:rPr>
          <w:rFonts w:cs="Miriam"/>
          <w:b/>
          <w:b/>
          <w:spacing w:val="0"/>
          <w:szCs w:val="24"/>
          <w:rtl w:val="true"/>
        </w:rPr>
        <w:t>סלמאן</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Fonts w:eastAsia="Garamond"/>
          <w:b/>
          <w:b/>
          <w:spacing w:val="0"/>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בפסקה </w:t>
      </w:r>
      <w:r>
        <w:rPr/>
        <w:t>11</w:t>
      </w:r>
      <w:r>
        <w:rPr>
          <w:rtl w:val="true"/>
        </w:rPr>
        <w:t xml:space="preserve"> (</w:t>
      </w:r>
      <w:r>
        <w:rPr/>
        <w:t>18.2.2014</w:t>
      </w:r>
      <w:r>
        <w:rPr>
          <w:rtl w:val="true"/>
        </w:rPr>
        <w:t xml:space="preserve">); </w:t>
      </w: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322/16</w:t>
        </w:r>
      </w:hyperlink>
      <w:r>
        <w:rPr>
          <w:rtl w:val="true"/>
        </w:rPr>
        <w:t xml:space="preserve"> </w:t>
      </w:r>
      <w:r>
        <w:rPr>
          <w:rFonts w:cs="Miriam"/>
          <w:b/>
          <w:b/>
          <w:spacing w:val="0"/>
          <w:szCs w:val="24"/>
          <w:rtl w:val="true"/>
        </w:rPr>
        <w:t>פלוני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בפסקה </w:t>
      </w:r>
      <w:r>
        <w:rPr/>
        <w:t>5</w:t>
      </w:r>
      <w:r>
        <w:rPr>
          <w:rtl w:val="true"/>
        </w:rPr>
        <w:t xml:space="preserve"> (</w:t>
      </w:r>
      <w:r>
        <w:rPr/>
        <w:t>9.10.2016</w:t>
      </w:r>
      <w:r>
        <w:rPr>
          <w:rtl w:val="true"/>
        </w:rPr>
        <w:t xml:space="preserve">); </w:t>
      </w:r>
      <w:hyperlink r:id="rId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3091/08</w:t>
        </w:r>
      </w:hyperlink>
      <w:r>
        <w:rPr>
          <w:rtl w:val="true"/>
        </w:rPr>
        <w:t xml:space="preserve"> </w:t>
      </w:r>
      <w:r>
        <w:rPr>
          <w:rFonts w:cs="Miriam"/>
          <w:b/>
          <w:b/>
          <w:spacing w:val="0"/>
          <w:szCs w:val="24"/>
          <w:rtl w:val="true"/>
        </w:rPr>
        <w:t>טייגר</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Fonts w:eastAsia="Garamond"/>
          <w:b/>
          <w:b/>
          <w:spacing w:val="0"/>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בפסקה </w:t>
      </w:r>
      <w:r>
        <w:rPr/>
        <w:t>11</w:t>
      </w:r>
      <w:r>
        <w:rPr>
          <w:rtl w:val="true"/>
        </w:rPr>
        <w:t xml:space="preserve"> (</w:t>
      </w:r>
      <w:r>
        <w:rPr/>
        <w:t>29.1.2009</w:t>
      </w:r>
      <w:r>
        <w:rPr>
          <w:rtl w:val="true"/>
        </w:rPr>
        <w:t xml:space="preserve">); </w:t>
      </w:r>
      <w:hyperlink r:id="rId50">
        <w:r>
          <w:rPr>
            <w:rStyle w:val="Hyperlink"/>
            <w:rFonts w:ascii="Times New Roman" w:hAnsi="Times New Roman" w:cs="Times New Roman"/>
            <w:color w:val="0000FF"/>
            <w:sz w:val="22"/>
            <w:sz w:val="22"/>
            <w:u w:val="single"/>
            <w:rtl w:val="true"/>
          </w:rPr>
          <w:t>ע</w:t>
        </w:r>
        <w:r>
          <w:rPr>
            <w:rStyle w:val="Hyperlink"/>
            <w:rFonts w:cs="Times New Roman" w:ascii="Times New Roman" w:hAnsi="Times New Roman"/>
            <w:color w:val="0000FF"/>
            <w:sz w:val="22"/>
            <w:u w:val="single"/>
            <w:rtl w:val="true"/>
          </w:rPr>
          <w:t>"</w:t>
        </w:r>
        <w:r>
          <w:rPr>
            <w:rStyle w:val="Hyperlink"/>
            <w:rFonts w:ascii="Times New Roman" w:hAnsi="Times New Roman" w:cs="Times New Roman"/>
            <w:color w:val="0000FF"/>
            <w:sz w:val="22"/>
            <w:sz w:val="22"/>
            <w:u w:val="single"/>
            <w:rtl w:val="true"/>
          </w:rPr>
          <w:t xml:space="preserve">פ </w:t>
        </w:r>
        <w:r>
          <w:rPr>
            <w:rStyle w:val="Hyperlink"/>
            <w:rFonts w:cs="Times New Roman" w:ascii="Times New Roman" w:hAnsi="Times New Roman"/>
            <w:color w:val="0000FF"/>
            <w:sz w:val="22"/>
            <w:u w:val="single"/>
          </w:rPr>
          <w:t>707/14</w:t>
        </w:r>
      </w:hyperlink>
      <w:r>
        <w:rPr>
          <w:rtl w:val="true"/>
        </w:rPr>
        <w:t xml:space="preserve"> </w:t>
      </w:r>
      <w:r>
        <w:rPr>
          <w:rFonts w:ascii="Times New Roman" w:hAnsi="Times New Roman" w:cs="Miriam"/>
          <w:spacing w:val="0"/>
          <w:sz w:val="28"/>
          <w:sz w:val="28"/>
          <w:szCs w:val="24"/>
          <w:rtl w:val="true"/>
        </w:rPr>
        <w:t>פלוני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בפסקה </w:t>
      </w:r>
      <w:r>
        <w:rPr/>
        <w:t>15</w:t>
      </w:r>
      <w:r>
        <w:rPr>
          <w:rtl w:val="true"/>
        </w:rPr>
        <w:t xml:space="preserve"> (</w:t>
      </w:r>
      <w:r>
        <w:rPr/>
        <w:t>6.7.2015</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end="0"/>
        <w:jc w:val="both"/>
        <w:rPr/>
      </w:pPr>
      <w:r>
        <w:rPr>
          <w:rtl w:val="true"/>
        </w:rPr>
        <w:t>עסקינן בעבירות מין חמורות אשר בוצעו באמצעות האינטרנט</w:t>
      </w:r>
      <w:r>
        <w:rPr>
          <w:rtl w:val="true"/>
        </w:rPr>
        <w:t xml:space="preserve">, </w:t>
      </w:r>
      <w:r>
        <w:rPr>
          <w:rtl w:val="true"/>
        </w:rPr>
        <w:t>במשך למעלה משנה</w:t>
      </w:r>
      <w:r>
        <w:rPr>
          <w:rtl w:val="true"/>
        </w:rPr>
        <w:t xml:space="preserve">, </w:t>
      </w:r>
      <w:r>
        <w:rPr>
          <w:rtl w:val="true"/>
        </w:rPr>
        <w:t>בילדה בת שלוש</w:t>
      </w:r>
      <w:r>
        <w:rPr>
          <w:rtl w:val="true"/>
        </w:rPr>
        <w:t>-</w:t>
      </w:r>
      <w:r>
        <w:rPr>
          <w:rtl w:val="true"/>
        </w:rPr>
        <w:t xml:space="preserve">עשרה </w:t>
      </w:r>
      <w:r>
        <w:rPr>
          <w:rtl w:val="true"/>
        </w:rPr>
        <w:t>(</w:t>
      </w:r>
      <w:r>
        <w:rPr>
          <w:rtl w:val="true"/>
        </w:rPr>
        <w:t>שסבלה מידי המערער גם לאחר הגיעה לגיל ארבע</w:t>
      </w:r>
      <w:r>
        <w:rPr>
          <w:rtl w:val="true"/>
        </w:rPr>
        <w:t>-</w:t>
      </w:r>
      <w:r>
        <w:rPr>
          <w:rtl w:val="true"/>
        </w:rPr>
        <w:t>עשרה</w:t>
      </w:r>
      <w:r>
        <w:rPr>
          <w:rtl w:val="true"/>
        </w:rPr>
        <w:t xml:space="preserve">). </w:t>
      </w:r>
      <w:r>
        <w:rPr>
          <w:rtl w:val="true"/>
        </w:rPr>
        <w:t xml:space="preserve">בית משפט זה פסק לא אחת כי עבירות מין המבוצעות דרך האינטרנט ראויות לעונשים מחמירים חרף העובדה שמדובר במרחב ווירטואלי ולמרות העדרו של מגע פיזי בין התוקף לקורבן </w:t>
      </w:r>
      <w:r>
        <w:rPr>
          <w:rtl w:val="true"/>
        </w:rPr>
        <w:t>(</w:t>
      </w:r>
      <w:hyperlink r:id="rId51">
        <w:r>
          <w:rPr>
            <w:rStyle w:val="Hyperlink"/>
            <w:rFonts w:ascii="Times New Roman" w:hAnsi="Times New Roman" w:cs="Times New Roman"/>
            <w:color w:val="0000FF"/>
            <w:sz w:val="22"/>
            <w:sz w:val="22"/>
            <w:u w:val="single"/>
            <w:rtl w:val="true"/>
          </w:rPr>
          <w:t>ע</w:t>
        </w:r>
        <w:r>
          <w:rPr>
            <w:rStyle w:val="Hyperlink"/>
            <w:rFonts w:cs="Times New Roman" w:ascii="Times New Roman" w:hAnsi="Times New Roman"/>
            <w:color w:val="0000FF"/>
            <w:sz w:val="22"/>
            <w:u w:val="single"/>
            <w:rtl w:val="true"/>
          </w:rPr>
          <w:t>"</w:t>
        </w:r>
        <w:r>
          <w:rPr>
            <w:rStyle w:val="Hyperlink"/>
            <w:rFonts w:ascii="Times New Roman" w:hAnsi="Times New Roman" w:cs="Times New Roman"/>
            <w:color w:val="0000FF"/>
            <w:sz w:val="22"/>
            <w:sz w:val="22"/>
            <w:u w:val="single"/>
            <w:rtl w:val="true"/>
          </w:rPr>
          <w:t xml:space="preserve">פ </w:t>
        </w:r>
        <w:r>
          <w:rPr>
            <w:rStyle w:val="Hyperlink"/>
            <w:rFonts w:cs="Times New Roman" w:ascii="Times New Roman" w:hAnsi="Times New Roman"/>
            <w:color w:val="0000FF"/>
            <w:sz w:val="22"/>
            <w:u w:val="single"/>
          </w:rPr>
          <w:t>707/14</w:t>
        </w:r>
      </w:hyperlink>
      <w:r>
        <w:rPr>
          <w:rtl w:val="true"/>
        </w:rPr>
        <w:t xml:space="preserve"> </w:t>
      </w:r>
      <w:r>
        <w:rPr>
          <w:rFonts w:ascii="Times New Roman" w:hAnsi="Times New Roman" w:cs="Times New Roman"/>
          <w:sz w:val="22"/>
          <w:sz w:val="22"/>
          <w:rtl w:val="true"/>
        </w:rPr>
        <w:t>לעיל</w:t>
      </w:r>
      <w:r>
        <w:rPr>
          <w:rtl w:val="true"/>
        </w:rPr>
        <w:t xml:space="preserve">; </w:t>
      </w:r>
      <w:hyperlink r:id="rId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6703/13</w:t>
        </w:r>
      </w:hyperlink>
      <w:r>
        <w:rPr>
          <w:rtl w:val="true"/>
        </w:rPr>
        <w:t xml:space="preserve"> </w:t>
      </w:r>
      <w:r>
        <w:rPr>
          <w:rFonts w:cs="Miriam"/>
          <w:b/>
          <w:b/>
          <w:spacing w:val="0"/>
          <w:szCs w:val="24"/>
          <w:rtl w:val="true"/>
        </w:rPr>
        <w:t>כהן</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Fonts w:eastAsia="Garamond"/>
          <w:b/>
          <w:b/>
          <w:spacing w:val="0"/>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16.1.2014</w:t>
      </w:r>
      <w:r>
        <w:rPr>
          <w:rtl w:val="true"/>
        </w:rPr>
        <w:t xml:space="preserve">)). </w:t>
      </w:r>
      <w:r>
        <w:rPr>
          <w:rtl w:val="true"/>
        </w:rPr>
        <w:t>לעבירות אלה יש חומרה יתרה נוכח הקלות שבה ניתן לבצען כשהתוקף פועל מתוך ביתו</w:t>
      </w:r>
      <w:r>
        <w:rPr>
          <w:rtl w:val="true"/>
        </w:rPr>
        <w:t>-</w:t>
      </w:r>
      <w:r>
        <w:rPr>
          <w:rtl w:val="true"/>
        </w:rPr>
        <w:t>מבצרו</w:t>
      </w:r>
      <w:r>
        <w:rPr>
          <w:rtl w:val="true"/>
        </w:rPr>
        <w:t xml:space="preserve">, </w:t>
      </w:r>
      <w:r>
        <w:rPr>
          <w:rtl w:val="true"/>
        </w:rPr>
        <w:t>כשהוא מתחבא במרחבו המוכר</w:t>
      </w:r>
      <w:r>
        <w:rPr>
          <w:rtl w:val="true"/>
        </w:rPr>
        <w:t xml:space="preserve">, </w:t>
      </w:r>
      <w:r>
        <w:rPr>
          <w:rtl w:val="true"/>
        </w:rPr>
        <w:t>הבטוח</w:t>
      </w:r>
      <w:r>
        <w:rPr>
          <w:rtl w:val="true"/>
        </w:rPr>
        <w:t xml:space="preserve">, </w:t>
      </w:r>
      <w:r>
        <w:rPr>
          <w:rtl w:val="true"/>
        </w:rPr>
        <w:t xml:space="preserve">והבלתי נראה וביכולתו לפגוע בקורבנות רבים </w:t>
      </w:r>
      <w:r>
        <w:rPr>
          <w:rtl w:val="true"/>
        </w:rPr>
        <w:t>–</w:t>
      </w:r>
      <w:r>
        <w:rPr>
          <w:rtl w:val="true"/>
        </w:rPr>
        <w:t xml:space="preserve"> או להסב פגיעה מתמשכת לקורבן אחד</w:t>
      </w:r>
      <w:r>
        <w:rPr>
          <w:rtl w:val="true"/>
        </w:rPr>
        <w:t xml:space="preserve">, </w:t>
      </w:r>
      <w:r>
        <w:rPr>
          <w:rtl w:val="true"/>
        </w:rPr>
        <w:t xml:space="preserve">כמו במקרה דכאן </w:t>
      </w:r>
      <w:r>
        <w:rPr>
          <w:rtl w:val="true"/>
        </w:rPr>
        <w:t>–</w:t>
      </w:r>
      <w:r>
        <w:rPr>
          <w:rtl w:val="true"/>
        </w:rPr>
        <w:t xml:space="preserve"> כאשר הסיכוי שייתפ</w:t>
      </w:r>
      <w:r>
        <w:rPr>
          <w:rtl w:val="true"/>
        </w:rPr>
        <w:t>ס</w:t>
      </w:r>
      <w:r>
        <w:rPr>
          <w:rtl w:val="true"/>
        </w:rPr>
        <w:t xml:space="preserve"> וייתן את הדין על מעשיו הוא נמוך</w:t>
      </w:r>
      <w:r>
        <w:rPr>
          <w:rtl w:val="true"/>
        </w:rPr>
        <w:t xml:space="preserve">. </w:t>
      </w:r>
      <w:r>
        <w:rPr>
          <w:rtl w:val="true"/>
        </w:rPr>
        <w:t>הסביבה הווירטואלית והריחוק הפיזי בין התוקף לקורבן מביאים גם לריחוק נפשי של התוקף מהעבירות אותן הוא מבצע</w:t>
      </w:r>
      <w:r>
        <w:rPr>
          <w:rtl w:val="true"/>
        </w:rPr>
        <w:t xml:space="preserve">, </w:t>
      </w:r>
      <w:r>
        <w:rPr>
          <w:rtl w:val="true"/>
        </w:rPr>
        <w:t>דבר שבמקרים רבים מקל על ביצוע העבירה</w:t>
      </w:r>
      <w:r>
        <w:rPr>
          <w:rtl w:val="true"/>
        </w:rPr>
        <w:t xml:space="preserve">. </w:t>
      </w:r>
      <w:r>
        <w:rPr>
          <w:rtl w:val="true"/>
        </w:rPr>
        <w:t>בעיני התוקף</w:t>
      </w:r>
      <w:r>
        <w:rPr>
          <w:rtl w:val="true"/>
        </w:rPr>
        <w:t xml:space="preserve">, </w:t>
      </w:r>
      <w:r>
        <w:rPr>
          <w:rtl w:val="true"/>
        </w:rPr>
        <w:t xml:space="preserve">קורבנו </w:t>
      </w:r>
      <w:r>
        <w:rPr>
          <w:rtl w:val="true"/>
        </w:rPr>
        <w:t>–</w:t>
      </w:r>
      <w:r>
        <w:rPr>
          <w:rtl w:val="true"/>
        </w:rPr>
        <w:t xml:space="preserve"> ילדה</w:t>
      </w:r>
      <w:r>
        <w:rPr>
          <w:rtl w:val="true"/>
        </w:rPr>
        <w:t xml:space="preserve">, </w:t>
      </w:r>
      <w:r>
        <w:rPr>
          <w:rtl w:val="true"/>
        </w:rPr>
        <w:t>נערה או אישה הנמצאת אי שם בעיר אחרת</w:t>
      </w:r>
      <w:r>
        <w:rPr>
          <w:rtl w:val="true"/>
        </w:rPr>
        <w:t xml:space="preserve">, </w:t>
      </w:r>
      <w:r>
        <w:rPr>
          <w:rtl w:val="true"/>
        </w:rPr>
        <w:t xml:space="preserve">או במדינת הים </w:t>
      </w:r>
      <w:r>
        <w:rPr>
          <w:rtl w:val="true"/>
        </w:rPr>
        <w:t>–</w:t>
      </w:r>
      <w:r>
        <w:rPr>
          <w:rtl w:val="true"/>
        </w:rPr>
        <w:t xml:space="preserve"> משול לדמות הלקוחה מסרט ואיננו נתפס</w:t>
      </w:r>
      <w:r>
        <w:rPr>
          <w:rtl w:val="true"/>
        </w:rPr>
        <w:t xml:space="preserve">, </w:t>
      </w:r>
      <w:r>
        <w:rPr>
          <w:rtl w:val="true"/>
        </w:rPr>
        <w:t>על</w:t>
      </w:r>
      <w:r>
        <w:rPr>
          <w:rtl w:val="true"/>
        </w:rPr>
        <w:t>-</w:t>
      </w:r>
      <w:r>
        <w:rPr>
          <w:rtl w:val="true"/>
        </w:rPr>
        <w:t>פי רוב</w:t>
      </w:r>
      <w:r>
        <w:rPr>
          <w:rtl w:val="true"/>
        </w:rPr>
        <w:t xml:space="preserve">, </w:t>
      </w:r>
      <w:r>
        <w:rPr>
          <w:rtl w:val="true"/>
        </w:rPr>
        <w:t>כאדם אמיתי העובר באותן דקות או שעות מסכת התעללות קשה</w:t>
      </w:r>
      <w:r>
        <w:rPr>
          <w:rtl w:val="true"/>
        </w:rPr>
        <w:t xml:space="preserve">, </w:t>
      </w:r>
      <w:r>
        <w:rPr>
          <w:rtl w:val="true"/>
        </w:rPr>
        <w:t>שבצד הפגיעה הגופנית מותירה צלקות עמוקות בנפשו</w:t>
      </w:r>
      <w:r>
        <w:rPr>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ind w:end="0"/>
        <w:jc w:val="both"/>
        <w:rPr/>
      </w:pPr>
      <w:r>
        <w:rPr>
          <w:rtl w:val="true"/>
        </w:rPr>
        <w:t>מן הצד השני ניצב הקורבן הנסחט והמנוצל מינית</w:t>
      </w:r>
      <w:r>
        <w:rPr>
          <w:rtl w:val="true"/>
        </w:rPr>
        <w:t xml:space="preserve">: </w:t>
      </w:r>
      <w:r>
        <w:rPr>
          <w:rtl w:val="true"/>
        </w:rPr>
        <w:t>המתלוננת</w:t>
      </w:r>
      <w:r>
        <w:rPr>
          <w:rtl w:val="true"/>
        </w:rPr>
        <w:t xml:space="preserve">. </w:t>
      </w:r>
      <w:r>
        <w:rPr>
          <w:rtl w:val="true"/>
        </w:rPr>
        <w:t>המתלוננת</w:t>
      </w:r>
      <w:r>
        <w:rPr>
          <w:rtl w:val="true"/>
        </w:rPr>
        <w:t xml:space="preserve">, </w:t>
      </w:r>
      <w:r>
        <w:rPr>
          <w:rtl w:val="true"/>
        </w:rPr>
        <w:t>בדיוק כמו התוקף</w:t>
      </w:r>
      <w:r>
        <w:rPr>
          <w:rtl w:val="true"/>
        </w:rPr>
        <w:t xml:space="preserve">, </w:t>
      </w:r>
      <w:r>
        <w:rPr>
          <w:rtl w:val="true"/>
        </w:rPr>
        <w:t>נמצאת בביתה</w:t>
      </w:r>
      <w:r>
        <w:rPr>
          <w:rtl w:val="true"/>
        </w:rPr>
        <w:t xml:space="preserve">, </w:t>
      </w:r>
      <w:r>
        <w:rPr>
          <w:rtl w:val="true"/>
        </w:rPr>
        <w:t>אך ביתה כבר אינו מבצרה מאחר שהתוקף יכול לפגוע בה שם בכל עת שיחפוץ</w:t>
      </w:r>
      <w:r>
        <w:rPr>
          <w:rtl w:val="true"/>
        </w:rPr>
        <w:t xml:space="preserve">. </w:t>
      </w:r>
      <w:r>
        <w:rPr>
          <w:rtl w:val="true"/>
        </w:rPr>
        <w:t>המאפיין הייחודי של עבירות מין</w:t>
      </w:r>
      <w:r>
        <w:rPr>
          <w:rtl w:val="true"/>
        </w:rPr>
        <w:t>-</w:t>
      </w:r>
      <w:r>
        <w:rPr>
          <w:rtl w:val="true"/>
        </w:rPr>
        <w:t xml:space="preserve">בסחיטה המבוצעות ברשת האינטרנט הוא היכולת </w:t>
      </w:r>
      <w:r>
        <w:rPr>
          <w:rtl w:val="true"/>
        </w:rPr>
        <w:t>"</w:t>
      </w:r>
      <w:r>
        <w:rPr>
          <w:rtl w:val="true"/>
        </w:rPr>
        <w:t>לתפוס</w:t>
      </w:r>
      <w:r>
        <w:rPr>
          <w:rtl w:val="true"/>
        </w:rPr>
        <w:t xml:space="preserve">" </w:t>
      </w:r>
      <w:r>
        <w:rPr>
          <w:rtl w:val="true"/>
        </w:rPr>
        <w:t>את הקורבן בכל עת ובכל מקום</w:t>
      </w:r>
      <w:r>
        <w:rPr>
          <w:rtl w:val="true"/>
        </w:rPr>
        <w:t xml:space="preserve">, </w:t>
      </w:r>
      <w:r>
        <w:rPr>
          <w:rtl w:val="true"/>
        </w:rPr>
        <w:t>גם במקום שנראה בטוח ביותר</w:t>
      </w:r>
      <w:r>
        <w:rPr>
          <w:rtl w:val="true"/>
        </w:rPr>
        <w:t xml:space="preserve">, </w:t>
      </w:r>
      <w:r>
        <w:rPr>
          <w:rtl w:val="true"/>
        </w:rPr>
        <w:t>כמו חדרה הפרטי של המתלוננת בבית הוריה</w:t>
      </w:r>
      <w:r>
        <w:rPr>
          <w:rtl w:val="true"/>
        </w:rPr>
        <w:t xml:space="preserve">, </w:t>
      </w:r>
      <w:r>
        <w:rPr>
          <w:rtl w:val="true"/>
        </w:rPr>
        <w:t xml:space="preserve">ולתקוף אותה שם ללא רחמים כאשר בני ביתה </w:t>
      </w:r>
      <w:r>
        <w:rPr>
          <w:rtl w:val="true"/>
        </w:rPr>
        <w:t>–</w:t>
      </w:r>
      <w:r>
        <w:rPr>
          <w:rtl w:val="true"/>
        </w:rPr>
        <w:t xml:space="preserve"> הורים</w:t>
      </w:r>
      <w:r>
        <w:rPr>
          <w:rtl w:val="true"/>
        </w:rPr>
        <w:t xml:space="preserve">, </w:t>
      </w:r>
      <w:r>
        <w:rPr>
          <w:rtl w:val="true"/>
        </w:rPr>
        <w:t>אחים</w:t>
      </w:r>
      <w:r>
        <w:rPr>
          <w:rtl w:val="true"/>
        </w:rPr>
        <w:t xml:space="preserve">, </w:t>
      </w:r>
      <w:r>
        <w:rPr>
          <w:rtl w:val="true"/>
        </w:rPr>
        <w:t xml:space="preserve">ואפילו בני זוג </w:t>
      </w:r>
      <w:r>
        <w:rPr>
          <w:rtl w:val="true"/>
        </w:rPr>
        <w:t>–</w:t>
      </w:r>
      <w:r>
        <w:rPr>
          <w:rtl w:val="true"/>
        </w:rPr>
        <w:t xml:space="preserve"> נמצאים מעבר לדלת ואינם יודעים דבר</w:t>
      </w:r>
      <w:r>
        <w:rPr>
          <w:rtl w:val="true"/>
        </w:rPr>
        <w:t xml:space="preserve">. </w:t>
      </w:r>
      <w:r>
        <w:rPr>
          <w:rtl w:val="true"/>
        </w:rPr>
        <w:t>החדירה הקשה לפרטיותה ולחייה של המתלוננת וההרס של המרחב המוגן שלה הינם חמורים פי כמה עת שמדובר בילדה או בנערה</w:t>
      </w:r>
      <w:r>
        <w:rPr>
          <w:rtl w:val="true"/>
        </w:rPr>
        <w:t xml:space="preserve">. </w:t>
      </w:r>
      <w:r>
        <w:rPr>
          <w:rtl w:val="true"/>
        </w:rPr>
        <w:t>המאפיין הייחודי הנוסף של עבירות מין</w:t>
      </w:r>
      <w:r>
        <w:rPr>
          <w:rtl w:val="true"/>
        </w:rPr>
        <w:t>-</w:t>
      </w:r>
      <w:r>
        <w:rPr>
          <w:rtl w:val="true"/>
        </w:rPr>
        <w:t>בסחיטה המבוצעות במרחב הווירטואלי הוא מעשים מתוחכמים של סחיטה ואיומים אשר גורמים לקורבן לפגוע בעצמו</w:t>
      </w:r>
      <w:r>
        <w:rPr>
          <w:rtl w:val="true"/>
        </w:rPr>
        <w:t xml:space="preserve">, </w:t>
      </w:r>
      <w:r>
        <w:rPr>
          <w:rtl w:val="true"/>
        </w:rPr>
        <w:t>בניגוד גמור לרצונו</w:t>
      </w:r>
      <w:r>
        <w:rPr>
          <w:rtl w:val="true"/>
        </w:rPr>
        <w:t xml:space="preserve">, </w:t>
      </w:r>
      <w:r>
        <w:rPr>
          <w:rtl w:val="true"/>
        </w:rPr>
        <w:t>על ידי פעולות בעלות אופי מיני</w:t>
      </w:r>
      <w:r>
        <w:rPr>
          <w:rtl w:val="true"/>
        </w:rPr>
        <w:t xml:space="preserve">. </w:t>
      </w:r>
      <w:r>
        <w:rPr>
          <w:rtl w:val="true"/>
        </w:rPr>
        <w:t>ביזוי וביטול ה</w:t>
      </w:r>
      <w:r>
        <w:rPr>
          <w:rtl w:val="true"/>
        </w:rPr>
        <w:t>"</w:t>
      </w:r>
      <w:r>
        <w:rPr>
          <w:rtl w:val="true"/>
        </w:rPr>
        <w:t>אני</w:t>
      </w:r>
      <w:r>
        <w:rPr>
          <w:rtl w:val="true"/>
        </w:rPr>
        <w:t xml:space="preserve">" </w:t>
      </w:r>
      <w:r>
        <w:rPr>
          <w:rtl w:val="true"/>
        </w:rPr>
        <w:t>שחווה ילדה או נערה דוגמת המתלוננת דכאן הם קשים ביותר</w:t>
      </w:r>
      <w:r>
        <w:rPr>
          <w:rtl w:val="true"/>
        </w:rPr>
        <w:t xml:space="preserve">. </w:t>
      </w:r>
      <w:r>
        <w:rPr>
          <w:rtl w:val="true"/>
        </w:rPr>
        <w:t>מדובר באובדן מוחלט של שליטה על גופה ועל חייה</w:t>
      </w:r>
      <w:r>
        <w:rPr>
          <w:rtl w:val="true"/>
        </w:rPr>
        <w:t xml:space="preserve">, </w:t>
      </w:r>
      <w:r>
        <w:rPr>
          <w:rtl w:val="true"/>
        </w:rPr>
        <w:t>אובדן של תחושת החירות האישית</w:t>
      </w:r>
      <w:r>
        <w:rPr>
          <w:rtl w:val="true"/>
        </w:rPr>
        <w:t xml:space="preserve">, </w:t>
      </w:r>
      <w:r>
        <w:rPr>
          <w:rtl w:val="true"/>
        </w:rPr>
        <w:t>ביטול הפרטיות</w:t>
      </w:r>
      <w:r>
        <w:rPr>
          <w:rtl w:val="true"/>
        </w:rPr>
        <w:t xml:space="preserve">, </w:t>
      </w:r>
      <w:r>
        <w:rPr>
          <w:rtl w:val="true"/>
        </w:rPr>
        <w:t>חיים בצל פחד</w:t>
      </w:r>
      <w:r>
        <w:rPr>
          <w:rtl w:val="true"/>
        </w:rPr>
        <w:t xml:space="preserve">, </w:t>
      </w:r>
      <w:r>
        <w:rPr>
          <w:rtl w:val="true"/>
        </w:rPr>
        <w:t xml:space="preserve">וחשש תמידי מסחיטות מין נוספות ומביזוי פומבי </w:t>
      </w:r>
      <w:r>
        <w:rPr>
          <w:rtl w:val="true"/>
        </w:rPr>
        <w:t>(</w:t>
      </w:r>
      <w:r>
        <w:rPr>
          <w:rtl w:val="true"/>
        </w:rPr>
        <w:t>במקרה שהתוקף יפרסם באינטרנט את תמונותיה ואת סרטי הווידאו של המתלוננת</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end="0"/>
        <w:jc w:val="both"/>
        <w:rPr/>
      </w:pPr>
      <w:r>
        <w:rPr>
          <w:rtl w:val="true"/>
        </w:rPr>
        <w:t>ברי הוא</w:t>
      </w:r>
      <w:r>
        <w:rPr>
          <w:rtl w:val="true"/>
        </w:rPr>
        <w:t xml:space="preserve">, </w:t>
      </w:r>
      <w:r>
        <w:rPr>
          <w:rtl w:val="true"/>
        </w:rPr>
        <w:t>כי מאפיינים אלה מוסיפים לחומרת העבירה ולצורך החברתי בהרתעת יחיד ובהרתעת רבים מן המעשים שלהם היינו עדים כאן</w:t>
      </w:r>
      <w:r>
        <w:rPr>
          <w:rtl w:val="true"/>
        </w:rPr>
        <w:t xml:space="preserve">. </w:t>
      </w:r>
      <w:r>
        <w:rPr>
          <w:rtl w:val="true"/>
        </w:rPr>
        <w:t>הדברים מקבלים משנה תוקף כאשר העבירה מבוצעות כלפי קטינים וקטינות שנפשם</w:t>
      </w:r>
      <w:r>
        <w:rPr>
          <w:rtl w:val="true"/>
        </w:rPr>
        <w:t xml:space="preserve">, </w:t>
      </w:r>
      <w:r>
        <w:rPr>
          <w:rtl w:val="true"/>
        </w:rPr>
        <w:t xml:space="preserve">אישיותם וזהותם המינית טרם התעצבה </w:t>
      </w:r>
      <w:r>
        <w:rPr>
          <w:rtl w:val="true"/>
        </w:rPr>
        <w:t>(</w:t>
      </w:r>
      <w:hyperlink r:id="rId5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6802/14</w:t>
        </w:r>
      </w:hyperlink>
      <w:r>
        <w:rPr>
          <w:rtl w:val="true"/>
        </w:rPr>
        <w:t xml:space="preserve"> </w:t>
      </w:r>
      <w:r>
        <w:rPr>
          <w:rFonts w:cs="Miriam"/>
          <w:b/>
          <w:b/>
          <w:spacing w:val="0"/>
          <w:szCs w:val="24"/>
          <w:rtl w:val="true"/>
        </w:rPr>
        <w:t>פלוני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Fonts w:eastAsia="Garamond"/>
          <w:b/>
          <w:b/>
          <w:spacing w:val="0"/>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6.1.2015</w:t>
      </w:r>
      <w:r>
        <w:rPr>
          <w:rtl w:val="true"/>
        </w:rPr>
        <w:t xml:space="preserve">); </w:t>
      </w:r>
      <w:hyperlink r:id="rId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6092/10</w:t>
        </w:r>
      </w:hyperlink>
      <w:r>
        <w:rPr>
          <w:rtl w:val="true"/>
        </w:rPr>
        <w:t xml:space="preserve"> </w:t>
      </w:r>
      <w:r>
        <w:rPr>
          <w:rFonts w:cs="Miriam"/>
          <w:b/>
          <w:b/>
          <w:spacing w:val="0"/>
          <w:szCs w:val="24"/>
          <w:rtl w:val="true"/>
        </w:rPr>
        <w:t>פלוני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Fonts w:eastAsia="Garamond"/>
          <w:b/>
          <w:b/>
          <w:spacing w:val="0"/>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18.7.2012</w:t>
      </w:r>
      <w:r>
        <w:rPr>
          <w:rtl w:val="true"/>
        </w:rPr>
        <w:t xml:space="preserve">)). </w:t>
      </w:r>
      <w:r>
        <w:rPr>
          <w:rtl w:val="true"/>
        </w:rPr>
        <w:t>עבירות מין במרחב האינטרנטי</w:t>
      </w:r>
      <w:r>
        <w:rPr>
          <w:rtl w:val="true"/>
        </w:rPr>
        <w:t xml:space="preserve">, </w:t>
      </w:r>
      <w:r>
        <w:rPr>
          <w:rtl w:val="true"/>
        </w:rPr>
        <w:t>ובפרט עבירות של סחיטת מין מקטינים</w:t>
      </w:r>
      <w:r>
        <w:rPr>
          <w:rtl w:val="true"/>
        </w:rPr>
        <w:t xml:space="preserve">, </w:t>
      </w:r>
      <w:r>
        <w:rPr>
          <w:rtl w:val="true"/>
        </w:rPr>
        <w:t xml:space="preserve">הפכו זה מכבר לתופעה גלובלית נפוצה שאותה יש להוקיע מכל וכל </w:t>
      </w:r>
      <w:r>
        <w:rPr>
          <w:rtl w:val="true"/>
        </w:rPr>
        <w:t>(</w:t>
      </w:r>
      <w:r>
        <w:rPr>
          <w:rtl w:val="true"/>
        </w:rPr>
        <w:t>ראו</w:t>
      </w:r>
      <w:r>
        <w:rPr>
          <w:rtl w:val="true"/>
        </w:rPr>
        <w:t xml:space="preserve">, </w:t>
      </w:r>
      <w:r>
        <w:rPr>
          <w:rtl w:val="true"/>
        </w:rPr>
        <w:t>למשל</w:t>
      </w:r>
      <w:r>
        <w:rPr>
          <w:rtl w:val="true"/>
        </w:rPr>
        <w:t xml:space="preserve">, </w:t>
      </w:r>
      <w:r>
        <w:rPr>
          <w:rtl w:val="true"/>
        </w:rPr>
        <w:t>את פסק דינו של בית המשפט האנגלי לערעורים פליליים</w:t>
      </w:r>
      <w:r>
        <w:rPr>
          <w:rtl w:val="true"/>
        </w:rPr>
        <w:t xml:space="preserve">, </w:t>
      </w:r>
      <w:r>
        <w:rPr>
          <w:rtl w:val="true"/>
        </w:rPr>
        <w:t>אשר דן נאשם בן</w:t>
      </w:r>
      <w:r>
        <w:rPr>
          <w:rtl w:val="true"/>
        </w:rPr>
        <w:t>-</w:t>
      </w:r>
      <w:r>
        <w:rPr/>
        <w:t>31</w:t>
      </w:r>
      <w:r>
        <w:rPr>
          <w:rtl w:val="true"/>
        </w:rPr>
        <w:t xml:space="preserve"> </w:t>
      </w:r>
      <w:r>
        <w:rPr>
          <w:rtl w:val="true"/>
        </w:rPr>
        <w:t>שביצע עבירות הדומות לאלו שבהן עסקינן</w:t>
      </w:r>
      <w:r>
        <w:rPr>
          <w:rtl w:val="true"/>
        </w:rPr>
        <w:t xml:space="preserve">, </w:t>
      </w:r>
      <w:r>
        <w:rPr>
          <w:rtl w:val="true"/>
        </w:rPr>
        <w:t>למאסר בפועל של תשע שנים וחודשיים</w:t>
      </w:r>
      <w:r>
        <w:rPr>
          <w:rtl w:val="true"/>
        </w:rPr>
        <w:t xml:space="preserve">, </w:t>
      </w:r>
      <w:r>
        <w:rPr>
          <w:rtl w:val="true"/>
        </w:rPr>
        <w:t>אחרי שהתחשב בכך שמדובר היה באזרח נורמטיבי מכל יתר הבחינות</w:t>
      </w:r>
      <w:r>
        <w:rPr>
          <w:rtl w:val="true"/>
        </w:rPr>
        <w:t xml:space="preserve">, </w:t>
      </w:r>
      <w:r>
        <w:rPr>
          <w:rtl w:val="true"/>
        </w:rPr>
        <w:t>שהביע חרטה כנה על מעשיו</w:t>
      </w:r>
      <w:r>
        <w:rPr>
          <w:rtl w:val="true"/>
        </w:rPr>
        <w:t xml:space="preserve">: </w:t>
      </w:r>
      <w:r>
        <w:rPr>
          <w:rFonts w:cs="Times New Roman" w:ascii="Times New Roman" w:hAnsi="Times New Roman"/>
        </w:rPr>
        <w:t>R. v. W. [2013] EWCA Crim. 1475</w:t>
      </w:r>
      <w:r>
        <w:rPr>
          <w:rtl w:val="true"/>
        </w:rPr>
        <w:t xml:space="preserve">). </w:t>
      </w:r>
      <w:r>
        <w:rPr>
          <w:rtl w:val="true"/>
        </w:rPr>
        <w:t>תופעה זו הטרידה את ארגון האומות המאוחדות שהזמין דו</w:t>
      </w:r>
      <w:r>
        <w:rPr>
          <w:rtl w:val="true"/>
        </w:rPr>
        <w:t>"</w:t>
      </w:r>
      <w:r>
        <w:rPr>
          <w:rtl w:val="true"/>
        </w:rPr>
        <w:t>ח מיוחד אודותיה</w:t>
      </w:r>
      <w:r>
        <w:rPr>
          <w:rtl w:val="true"/>
        </w:rPr>
        <w:t xml:space="preserve">, </w:t>
      </w:r>
      <w:r>
        <w:rPr>
          <w:rtl w:val="true"/>
        </w:rPr>
        <w:t>אשר עמד על חומרת מצב במרחב האינטרנטי באומרו כך</w:t>
      </w:r>
      <w:r>
        <w:rPr>
          <w:rtl w:val="true"/>
        </w:rPr>
        <w:t>:</w:t>
      </w:r>
    </w:p>
    <w:p>
      <w:pPr>
        <w:pStyle w:val="Ruller4"/>
        <w:ind w:end="0"/>
        <w:jc w:val="both"/>
        <w:rPr>
          <w:rFonts w:ascii="Century" w:hAnsi="Century" w:cs="Century"/>
        </w:rPr>
      </w:pPr>
      <w:r>
        <w:rPr>
          <w:rFonts w:cs="Century" w:ascii="Century" w:hAnsi="Century"/>
          <w:rtl w:val="true"/>
        </w:rPr>
      </w:r>
    </w:p>
    <w:p>
      <w:pPr>
        <w:pStyle w:val="Ruller5"/>
        <w:bidi w:val="0"/>
        <w:ind w:end="1282"/>
        <w:rPr/>
      </w:pPr>
      <w:r>
        <w:rPr>
          <w:rFonts w:cs="Times New Roman" w:ascii="Times New Roman" w:hAnsi="Times New Roman"/>
        </w:rPr>
        <w:t xml:space="preserve">"Fast-paced technological innovation and widespread and increasing accessibility of ICTs, including high-speed Internet and mobile devices with Internet connectivity, have transformed societies around the world. Children in particular have increased access to ICTs and, in recent decades, have tended to adopt these technologies from an early age, resulting in ICTs becoming thoroughly embedded in their lives. This context facilitates opportunities for the misuse of ICTs to abuse and exploit children. Children can easily engage with strangers and exchange large data files, while the possibilities for parental supervision and monitoring are restricted. Children are also at particular risk as they often do not fully understand threats associated with the use of ICTs, or are not sufficiently aware that, once shared, control over such material is effectively waived." (United Nations Office on Drugs and Crime, </w:t>
      </w:r>
      <w:r>
        <w:rPr>
          <w:rFonts w:cs="Times New Roman" w:ascii="Times New Roman" w:hAnsi="Times New Roman"/>
          <w:i/>
          <w:iCs/>
        </w:rPr>
        <w:t>Study on the Effects of New Information Technologies on the Abuse of Children</w:t>
      </w:r>
      <w:r>
        <w:rPr>
          <w:rFonts w:cs="Times New Roman" w:ascii="Times New Roman" w:hAnsi="Times New Roman"/>
        </w:rPr>
        <w:t xml:space="preserve"> 1 (2015))</w:t>
      </w:r>
    </w:p>
    <w:p>
      <w:pPr>
        <w:pStyle w:val="Ruller5"/>
        <w:bidi w:val="0"/>
        <w:ind w:end="1282"/>
        <w:rPr>
          <w:rFonts w:ascii="Times New Roman" w:hAnsi="Times New Roman" w:cs="Times New Roman"/>
        </w:rPr>
      </w:pPr>
      <w:r>
        <w:rPr>
          <w:rFonts w:cs="Times New Roman" w:ascii="Times New Roman" w:hAnsi="Times New Roman"/>
        </w:rPr>
      </w:r>
    </w:p>
    <w:p>
      <w:pPr>
        <w:pStyle w:val="Ruller4"/>
        <w:bidi w:val="0"/>
        <w:rPr>
          <w:rFonts w:ascii="Times New Roman" w:hAnsi="Times New Roman" w:cs="Times New Roman"/>
          <w:sz w:val="24"/>
          <w:szCs w:val="24"/>
        </w:rPr>
      </w:pPr>
      <w:r>
        <w:rPr>
          <w:rFonts w:cs="Times New Roman" w:ascii="Times New Roman" w:hAnsi="Times New Roman"/>
          <w:sz w:val="24"/>
          <w:szCs w:val="24"/>
        </w:rPr>
      </w:r>
    </w:p>
    <w:p>
      <w:pPr>
        <w:pStyle w:val="Ruller4"/>
        <w:ind w:end="0"/>
        <w:jc w:val="both"/>
        <w:rPr>
          <w:rFonts w:ascii="Century" w:hAnsi="Century" w:cs="Century"/>
        </w:rPr>
      </w:pPr>
      <w:r>
        <w:rPr>
          <w:rtl w:val="true"/>
        </w:rPr>
        <w:tab/>
      </w:r>
      <w:r>
        <w:rPr>
          <w:rtl w:val="true"/>
        </w:rPr>
        <w:t>כפי</w:t>
      </w:r>
      <w:r>
        <w:rPr>
          <w:rFonts w:eastAsia="Arial TUR;Arial" w:cs="Arial TUR;Arial"/>
          <w:rtl w:val="true"/>
        </w:rPr>
        <w:t xml:space="preserve"> </w:t>
      </w:r>
      <w:r>
        <w:rPr>
          <w:rtl w:val="true"/>
        </w:rPr>
        <w:t>שצויין</w:t>
      </w:r>
      <w:r>
        <w:rPr>
          <w:rFonts w:eastAsia="Arial TUR;Arial" w:cs="Arial TUR;Arial"/>
          <w:rtl w:val="true"/>
        </w:rPr>
        <w:t xml:space="preserve"> </w:t>
      </w:r>
      <w:r>
        <w:rPr>
          <w:rtl w:val="true"/>
        </w:rPr>
        <w:t>בדו</w:t>
      </w:r>
      <w:r>
        <w:rPr>
          <w:rtl w:val="true"/>
        </w:rPr>
        <w:t>"</w:t>
      </w:r>
      <w:r>
        <w:rPr>
          <w:rtl w:val="true"/>
        </w:rPr>
        <w:t>ח</w:t>
      </w:r>
      <w:r>
        <w:rPr>
          <w:rtl w:val="true"/>
        </w:rPr>
        <w:t xml:space="preserve">, </w:t>
      </w:r>
      <w:r>
        <w:rPr>
          <w:rFonts w:ascii="Century" w:hAnsi="Century" w:cs="Century"/>
          <w:rtl w:val="true"/>
        </w:rPr>
        <w:t>חשוב ורצוי להתמודד עם תופעה זו באמצעות חינוך</w:t>
      </w:r>
      <w:r>
        <w:rPr>
          <w:rFonts w:cs="Century" w:ascii="Century" w:hAnsi="Century"/>
          <w:rtl w:val="true"/>
        </w:rPr>
        <w:t xml:space="preserve">, </w:t>
      </w:r>
      <w:r>
        <w:rPr>
          <w:rFonts w:ascii="Century" w:hAnsi="Century" w:cs="Century"/>
          <w:rtl w:val="true"/>
        </w:rPr>
        <w:t xml:space="preserve">אולם כאשר החינוך נכשל </w:t>
      </w:r>
      <w:r>
        <w:rPr>
          <w:rFonts w:cs="Century" w:ascii="Century" w:hAnsi="Century"/>
          <w:rtl w:val="true"/>
        </w:rPr>
        <w:t>(</w:t>
      </w:r>
      <w:r>
        <w:rPr>
          <w:rFonts w:ascii="Century" w:hAnsi="Century" w:cs="Century"/>
          <w:rtl w:val="true"/>
        </w:rPr>
        <w:t>או איננו בנמצא</w:t>
      </w:r>
      <w:r>
        <w:rPr>
          <w:rFonts w:cs="Century" w:ascii="Century" w:hAnsi="Century"/>
          <w:rtl w:val="true"/>
        </w:rPr>
        <w:t xml:space="preserve">) </w:t>
      </w:r>
      <w:r>
        <w:rPr>
          <w:rFonts w:ascii="Century" w:hAnsi="Century" w:cs="Century"/>
          <w:rtl w:val="true"/>
        </w:rPr>
        <w:t>מן ראוי להפעיל</w:t>
      </w:r>
      <w:r>
        <w:rPr>
          <w:rFonts w:cs="Century" w:ascii="Century" w:hAnsi="Century"/>
          <w:rtl w:val="true"/>
        </w:rPr>
        <w:t xml:space="preserve">, </w:t>
      </w:r>
      <w:r>
        <w:rPr>
          <w:rFonts w:ascii="Century" w:hAnsi="Century" w:cs="Century"/>
          <w:rtl w:val="true"/>
        </w:rPr>
        <w:t>למען הרתעה</w:t>
      </w:r>
      <w:r>
        <w:rPr>
          <w:rFonts w:cs="Century" w:ascii="Century" w:hAnsi="Century"/>
          <w:rtl w:val="true"/>
        </w:rPr>
        <w:t xml:space="preserve">, </w:t>
      </w:r>
      <w:r>
        <w:rPr>
          <w:rFonts w:ascii="Century" w:hAnsi="Century" w:cs="Century"/>
          <w:rtl w:val="true"/>
        </w:rPr>
        <w:t>אמצעי ענישה מחמירים שאינם חסים על מבצעי העבירות גם כשאלו ראויים</w:t>
      </w:r>
      <w:r>
        <w:rPr>
          <w:rFonts w:cs="Century" w:ascii="Century" w:hAnsi="Century"/>
          <w:rtl w:val="true"/>
        </w:rPr>
        <w:t xml:space="preserve">, </w:t>
      </w:r>
      <w:r>
        <w:rPr>
          <w:rFonts w:ascii="Century" w:hAnsi="Century" w:cs="Century"/>
          <w:rtl w:val="true"/>
        </w:rPr>
        <w:t>לכאורה</w:t>
      </w:r>
      <w:r>
        <w:rPr>
          <w:rFonts w:cs="Century" w:ascii="Century" w:hAnsi="Century"/>
          <w:rtl w:val="true"/>
        </w:rPr>
        <w:t xml:space="preserve">, </w:t>
      </w:r>
      <w:r>
        <w:rPr>
          <w:rFonts w:ascii="Century" w:hAnsi="Century" w:cs="Century"/>
          <w:rtl w:val="true"/>
        </w:rPr>
        <w:t>למידת הרחמים בענישה</w:t>
      </w:r>
      <w:r>
        <w:rPr>
          <w:rFonts w:cs="Century" w:ascii="Century" w:hAnsi="Century"/>
          <w:rtl w:val="true"/>
        </w:rPr>
        <w:t xml:space="preserve">. </w:t>
      </w:r>
      <w:r>
        <w:rPr>
          <w:rFonts w:ascii="Century" w:hAnsi="Century" w:cs="Century"/>
          <w:rtl w:val="true"/>
        </w:rPr>
        <w:t>רחמים בענישתם של עברייני מין במרחב האינטרנטי</w:t>
      </w:r>
      <w:r>
        <w:rPr>
          <w:rFonts w:cs="Century" w:ascii="Century" w:hAnsi="Century"/>
          <w:rtl w:val="true"/>
        </w:rPr>
        <w:t xml:space="preserve">, </w:t>
      </w:r>
      <w:r>
        <w:rPr>
          <w:rFonts w:ascii="Century" w:hAnsi="Century" w:cs="Century"/>
          <w:rtl w:val="true"/>
        </w:rPr>
        <w:t>כמוהם כמשחק</w:t>
      </w:r>
      <w:r>
        <w:rPr>
          <w:rFonts w:cs="Century" w:ascii="Century" w:hAnsi="Century"/>
          <w:rtl w:val="true"/>
        </w:rPr>
        <w:t>-</w:t>
      </w:r>
      <w:r>
        <w:rPr>
          <w:rFonts w:ascii="Century" w:hAnsi="Century" w:cs="Century"/>
          <w:rtl w:val="true"/>
        </w:rPr>
        <w:t>סכום</w:t>
      </w:r>
      <w:r>
        <w:rPr>
          <w:rFonts w:cs="Century" w:ascii="Century" w:hAnsi="Century"/>
          <w:rtl w:val="true"/>
        </w:rPr>
        <w:t>-</w:t>
      </w:r>
      <w:r>
        <w:rPr>
          <w:rFonts w:ascii="Century" w:hAnsi="Century" w:cs="Century"/>
          <w:rtl w:val="true"/>
        </w:rPr>
        <w:t>אפס</w:t>
      </w:r>
      <w:r>
        <w:rPr>
          <w:rFonts w:cs="Century" w:ascii="Century" w:hAnsi="Century"/>
          <w:rtl w:val="true"/>
        </w:rPr>
        <w:t xml:space="preserve">: </w:t>
      </w:r>
      <w:r>
        <w:rPr>
          <w:rFonts w:ascii="Century" w:hAnsi="Century" w:cs="Century"/>
          <w:rtl w:val="true"/>
        </w:rPr>
        <w:t>שופט שמרחם על עבריין ומפחית את עונשו</w:t>
      </w:r>
      <w:r>
        <w:rPr>
          <w:rFonts w:cs="Century" w:ascii="Century" w:hAnsi="Century"/>
          <w:rtl w:val="true"/>
        </w:rPr>
        <w:t xml:space="preserve">, </w:t>
      </w:r>
      <w:r>
        <w:rPr>
          <w:rFonts w:ascii="Century" w:hAnsi="Century" w:cs="Century"/>
          <w:rtl w:val="true"/>
        </w:rPr>
        <w:t>תוך החלשת ההרתעה הכללית</w:t>
      </w:r>
      <w:r>
        <w:rPr>
          <w:rFonts w:cs="Century" w:ascii="Century" w:hAnsi="Century"/>
          <w:rtl w:val="true"/>
        </w:rPr>
        <w:t xml:space="preserve">, </w:t>
      </w:r>
      <w:r>
        <w:rPr>
          <w:rFonts w:ascii="Century" w:hAnsi="Century" w:cs="Century"/>
          <w:rtl w:val="true"/>
        </w:rPr>
        <w:t>איננו מרחם על הקורבנות</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end="0"/>
        <w:jc w:val="both"/>
        <w:rPr>
          <w:rFonts w:ascii="Century" w:hAnsi="Century" w:cs="Century"/>
        </w:rPr>
      </w:pPr>
      <w:r>
        <w:rPr>
          <w:rtl w:val="true"/>
        </w:rPr>
        <w:t>כאן המקום לציין כי המערער אכן ראוי להתחשבות מיוחדת לקולא בשל גילו הצעיר</w:t>
      </w:r>
      <w:r>
        <w:rPr>
          <w:rtl w:val="true"/>
        </w:rPr>
        <w:t xml:space="preserve">, </w:t>
      </w:r>
      <w:r>
        <w:rPr>
          <w:rtl w:val="true"/>
        </w:rPr>
        <w:t>היעדר עבר פלילי ופוטנציאל שיקום גבוה</w:t>
      </w:r>
      <w:r>
        <w:rPr>
          <w:rtl w:val="true"/>
        </w:rPr>
        <w:t xml:space="preserve">. </w:t>
      </w:r>
      <w:r>
        <w:rPr>
          <w:rtl w:val="true"/>
        </w:rPr>
        <w:t>היות המערער ראוי להתחשבות מיוחדת כאמור מחייבת אותנו לבדוק אם הוא זכה לה בגזר דינו של בית משפט קמא</w:t>
      </w:r>
      <w:r>
        <w:rPr>
          <w:rtl w:val="true"/>
        </w:rPr>
        <w:t xml:space="preserve">. </w:t>
      </w:r>
      <w:r>
        <w:rPr>
          <w:rtl w:val="true"/>
        </w:rPr>
        <w:t>בדקתי</w:t>
      </w:r>
      <w:r>
        <w:rPr>
          <w:rtl w:val="true"/>
        </w:rPr>
        <w:t xml:space="preserve">, </w:t>
      </w:r>
      <w:r>
        <w:rPr>
          <w:rtl w:val="true"/>
        </w:rPr>
        <w:t>ומצאתי שאכן כך היה</w:t>
      </w:r>
      <w:r>
        <w:rPr>
          <w:rtl w:val="true"/>
        </w:rPr>
        <w:t xml:space="preserve">: </w:t>
      </w:r>
      <w:r>
        <w:rPr>
          <w:rtl w:val="true"/>
        </w:rPr>
        <w:t>בית משפט קמא גזר על המערער עונש מופחת בהשוואה לעונשים שראוי להטיל בגין פשעיו על נאשמים שאינם שייכים לקבוצה של בגיר</w:t>
      </w:r>
      <w:r>
        <w:rPr>
          <w:rtl w:val="true"/>
        </w:rPr>
        <w:t>-</w:t>
      </w:r>
      <w:r>
        <w:rPr>
          <w:rtl w:val="true"/>
        </w:rPr>
        <w:t>צעיר</w:t>
      </w:r>
      <w:r>
        <w:rPr>
          <w:rtl w:val="true"/>
        </w:rPr>
        <w:t xml:space="preserve">, </w:t>
      </w:r>
      <w:r>
        <w:rPr>
          <w:rtl w:val="true"/>
        </w:rPr>
        <w:t>שלחובתם נרשמו בעבר מעשי עבירה ושאין תחזית אופטימית ברורה לגבי שיקומם</w:t>
      </w:r>
      <w:r>
        <w:rPr>
          <w:rtl w:val="true"/>
        </w:rPr>
        <w:t xml:space="preserve">. </w:t>
      </w:r>
      <w:r>
        <w:rPr>
          <w:rtl w:val="true"/>
        </w:rPr>
        <w:t>כעולה מפסקי הדין אשר סוקרו על ידי בית משפט קמא</w:t>
      </w:r>
      <w:r>
        <w:rPr>
          <w:rtl w:val="true"/>
        </w:rPr>
        <w:t xml:space="preserve">, </w:t>
      </w:r>
      <w:r>
        <w:rPr>
          <w:rtl w:val="true"/>
        </w:rPr>
        <w:t xml:space="preserve">טווח העונשים שראוי להטיל על נאשמים כאלה </w:t>
      </w:r>
      <w:r>
        <w:rPr>
          <w:rtl w:val="true"/>
        </w:rPr>
        <w:t>–</w:t>
      </w:r>
      <w:r>
        <w:rPr>
          <w:rtl w:val="true"/>
        </w:rPr>
        <w:t xml:space="preserve"> לאחר שנמצאו אשמים בעבירות הדומות לאלו שבוצעו על ידי המערער</w:t>
      </w:r>
      <w:r>
        <w:rPr>
          <w:rtl w:val="true"/>
        </w:rPr>
        <w:t xml:space="preserve">, </w:t>
      </w:r>
      <w:r>
        <w:rPr>
          <w:rtl w:val="true"/>
        </w:rPr>
        <w:t xml:space="preserve">וקורבנם היה קטין </w:t>
      </w:r>
      <w:r>
        <w:rPr>
          <w:rtl w:val="true"/>
        </w:rPr>
        <w:t>–</w:t>
      </w:r>
      <w:r>
        <w:rPr>
          <w:rtl w:val="true"/>
        </w:rPr>
        <w:t xml:space="preserve"> נע בין ארבע לשבע שנות מאסר בפועל</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end="0"/>
        <w:jc w:val="both"/>
        <w:rPr>
          <w:lang w:val="en-GB"/>
        </w:rPr>
      </w:pPr>
      <w:r>
        <w:rPr>
          <w:rtl w:val="true"/>
        </w:rPr>
        <w:t>נמצא אפוא כי בית משפט קמא הקל במידה הראויה את עונשו של המערער וכאן</w:t>
      </w:r>
      <w:r>
        <w:rPr>
          <w:rtl w:val="true"/>
        </w:rPr>
        <w:t xml:space="preserve">, </w:t>
      </w:r>
      <w:r>
        <w:rPr>
          <w:rtl w:val="true"/>
        </w:rPr>
        <w:t>לדעתי</w:t>
      </w:r>
      <w:r>
        <w:rPr>
          <w:rtl w:val="true"/>
        </w:rPr>
        <w:t xml:space="preserve">, </w:t>
      </w:r>
      <w:r>
        <w:rPr>
          <w:rtl w:val="true"/>
        </w:rPr>
        <w:t>צריך לעצור</w:t>
      </w:r>
      <w:r>
        <w:rPr>
          <w:rtl w:val="true"/>
        </w:rPr>
        <w:t xml:space="preserve">, </w:t>
      </w:r>
      <w:r>
        <w:rPr>
          <w:rtl w:val="true"/>
        </w:rPr>
        <w:t>חרף התחזית האופטימית לגבי שיקום המערער בתסקיר המשלים והעדכני ביחס למצבו אשר הונח בפנינו על ידי שירות המבחן</w:t>
      </w:r>
      <w:r>
        <w:rPr>
          <w:rtl w:val="true"/>
        </w:rPr>
        <w:t xml:space="preserve">. </w:t>
      </w:r>
      <w:r>
        <w:rPr>
          <w:rtl w:val="true"/>
        </w:rPr>
        <w:t>לכך יש שתי סיבות</w:t>
      </w:r>
      <w:r>
        <w:rPr>
          <w:rtl w:val="true"/>
        </w:rPr>
        <w:t xml:space="preserve">. </w:t>
      </w:r>
      <w:r>
        <w:rPr>
          <w:rtl w:val="true"/>
        </w:rPr>
        <w:t xml:space="preserve">הקלה נוספת בעונש המאסר שהושת על המערער תפגע בהרתעה כללית </w:t>
      </w:r>
      <w:r>
        <w:rPr>
          <w:rtl w:val="true"/>
        </w:rPr>
        <w:t>–</w:t>
      </w:r>
      <w:r>
        <w:rPr>
          <w:rtl w:val="true"/>
        </w:rPr>
        <w:t xml:space="preserve"> שיקול חשוב שיש לקחתו בחשבון בגבולות העונש ההולם</w:t>
      </w:r>
      <w:r>
        <w:rPr>
          <w:rtl w:val="true"/>
        </w:rPr>
        <w:t xml:space="preserve">, </w:t>
      </w:r>
      <w:r>
        <w:rPr>
          <w:rtl w:val="true"/>
        </w:rPr>
        <w:t xml:space="preserve">כאמור </w:t>
      </w:r>
      <w:hyperlink r:id="rId55">
        <w:r>
          <w:rPr>
            <w:rStyle w:val="Hyperlink"/>
            <w:color w:val="0000FF"/>
            <w:u w:val="single"/>
            <w:rtl w:val="true"/>
          </w:rPr>
          <w:t>בסעיף</w:t>
        </w:r>
        <w:r>
          <w:rPr>
            <w:rStyle w:val="Hyperlink"/>
            <w:color w:val="0000FF"/>
            <w:u w:val="single"/>
            <w:rtl w:val="true"/>
          </w:rPr>
          <w:t xml:space="preserve"> </w:t>
        </w:r>
        <w:r>
          <w:rPr>
            <w:rStyle w:val="Hyperlink"/>
            <w:color w:val="0000FF"/>
            <w:u w:val="single"/>
          </w:rPr>
          <w:t>40</w:t>
        </w:r>
        <w:r>
          <w:rPr>
            <w:rStyle w:val="Hyperlink"/>
            <w:color w:val="0000FF"/>
            <w:u w:val="single"/>
            <w:rtl w:val="true"/>
          </w:rPr>
          <w:t>ז</w:t>
        </w:r>
      </w:hyperlink>
      <w:r>
        <w:rPr>
          <w:rtl w:val="true"/>
        </w:rPr>
        <w:t xml:space="preserve"> ל</w:t>
      </w:r>
      <w:hyperlink r:id="rId5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שיקול זה הוא חשוב</w:t>
      </w:r>
      <w:r>
        <w:rPr>
          <w:rtl w:val="true"/>
        </w:rPr>
        <w:t xml:space="preserve">, </w:t>
      </w:r>
      <w:r>
        <w:rPr>
          <w:rtl w:val="true"/>
        </w:rPr>
        <w:t>ולדידי אף מכריע</w:t>
      </w:r>
      <w:r>
        <w:rPr>
          <w:rtl w:val="true"/>
        </w:rPr>
        <w:t xml:space="preserve">, </w:t>
      </w:r>
      <w:r>
        <w:rPr>
          <w:rtl w:val="true"/>
        </w:rPr>
        <w:t>לנוכח העובדה שכבר ציינתי</w:t>
      </w:r>
      <w:r>
        <w:rPr>
          <w:rtl w:val="true"/>
        </w:rPr>
        <w:t xml:space="preserve">: </w:t>
      </w:r>
      <w:r>
        <w:rPr>
          <w:rtl w:val="true"/>
        </w:rPr>
        <w:t>סחיטת</w:t>
      </w:r>
      <w:r>
        <w:rPr>
          <w:rtl w:val="true"/>
        </w:rPr>
        <w:t>-</w:t>
      </w:r>
      <w:r>
        <w:rPr>
          <w:rtl w:val="true"/>
        </w:rPr>
        <w:t>מין מקטין באמצעות האינטרנט היא עבירה של חדרי</w:t>
      </w:r>
      <w:r>
        <w:rPr>
          <w:rtl w:val="true"/>
        </w:rPr>
        <w:t>-</w:t>
      </w:r>
      <w:r>
        <w:rPr>
          <w:rtl w:val="true"/>
        </w:rPr>
        <w:t>חדרים</w:t>
      </w:r>
      <w:r>
        <w:rPr>
          <w:rtl w:val="true"/>
        </w:rPr>
        <w:t xml:space="preserve">, </w:t>
      </w:r>
      <w:r>
        <w:rPr>
          <w:rtl w:val="true"/>
        </w:rPr>
        <w:t>נגישה</w:t>
      </w:r>
      <w:r>
        <w:rPr>
          <w:rtl w:val="true"/>
        </w:rPr>
        <w:t xml:space="preserve">, </w:t>
      </w:r>
      <w:r>
        <w:rPr>
          <w:rtl w:val="true"/>
        </w:rPr>
        <w:t>קלה לביצוע וקשה לגילוי</w:t>
      </w:r>
      <w:r>
        <w:rPr>
          <w:rtl w:val="true"/>
        </w:rPr>
        <w:t xml:space="preserve">. </w:t>
      </w:r>
      <w:r>
        <w:rPr>
          <w:rtl w:val="true"/>
        </w:rPr>
        <w:t>עובדת חיים מצערת זו מעצימה את תמריציהם של עברייני מין לממש את מאווייהם מעוררי הסלידה ולספק את יצריהם המעוותים על ידי פגיעה בקטינים</w:t>
      </w:r>
      <w:r>
        <w:rPr>
          <w:rtl w:val="true"/>
        </w:rPr>
        <w:t xml:space="preserve">, </w:t>
      </w:r>
      <w:r>
        <w:rPr>
          <w:rtl w:val="true"/>
        </w:rPr>
        <w:t>כפי שקרה במקרה שבפנינו</w:t>
      </w:r>
      <w:r>
        <w:rPr>
          <w:rtl w:val="true"/>
        </w:rPr>
        <w:t xml:space="preserve">. </w:t>
      </w:r>
      <w:r>
        <w:rPr>
          <w:rtl w:val="true"/>
        </w:rPr>
        <w:t>בנסיבות אלו</w:t>
      </w:r>
      <w:r>
        <w:rPr>
          <w:rtl w:val="true"/>
        </w:rPr>
        <w:t xml:space="preserve">, </w:t>
      </w:r>
      <w:r>
        <w:rPr>
          <w:rtl w:val="true"/>
        </w:rPr>
        <w:t xml:space="preserve">הדרך הטובה ביותר להקטין את התמריץ המעוות ועמו את הפיתוי לבצע עבירות מן הסוג שבו עסקינן היא להגדיל את עונש המאסר המוטל על העבריין </w:t>
      </w:r>
      <w:r>
        <w:rPr>
          <w:rtl w:val="true"/>
        </w:rPr>
        <w:t>(</w:t>
      </w:r>
      <w:r>
        <w:rPr>
          <w:rtl w:val="true"/>
        </w:rPr>
        <w:t>ראו</w:t>
      </w:r>
      <w:r>
        <w:rPr>
          <w:rtl w:val="true"/>
        </w:rPr>
        <w:t xml:space="preserve">: </w:t>
      </w:r>
      <w:r>
        <w:rPr>
          <w:rFonts w:cs="Times New Roman" w:ascii="Times New Roman" w:hAnsi="Times New Roman"/>
        </w:rPr>
        <w:t xml:space="preserve">Gary S. Becker, </w:t>
      </w:r>
      <w:r>
        <w:rPr>
          <w:rFonts w:cs="Times New Roman" w:ascii="Times New Roman" w:hAnsi="Times New Roman"/>
          <w:i/>
          <w:iCs/>
        </w:rPr>
        <w:t>Crime and Punishment: An Economic Approach</w:t>
      </w:r>
      <w:r>
        <w:rPr>
          <w:rFonts w:cs="Times New Roman" w:ascii="Times New Roman" w:hAnsi="Times New Roman"/>
        </w:rPr>
        <w:t>,</w:t>
      </w:r>
      <w:r>
        <w:rPr>
          <w:rFonts w:cs="Times New Roman" w:ascii="Times New Roman" w:hAnsi="Times New Roman"/>
          <w:spacing w:val="1"/>
          <w:sz w:val="20"/>
        </w:rPr>
        <w:t xml:space="preserve"> </w:t>
      </w:r>
      <w:r>
        <w:rPr>
          <w:rFonts w:cs="Times New Roman" w:ascii="Times New Roman" w:hAnsi="Times New Roman"/>
          <w:smallCaps/>
          <w:spacing w:val="1"/>
          <w:sz w:val="20"/>
        </w:rPr>
        <w:t xml:space="preserve">76 </w:t>
      </w:r>
      <w:r>
        <w:rPr>
          <w:rFonts w:cs="Times New Roman" w:ascii="Times New Roman" w:hAnsi="Times New Roman"/>
          <w:smallCaps/>
          <w:lang w:val="en-GB"/>
        </w:rPr>
        <w:t>Journal of Political Economy</w:t>
      </w:r>
      <w:r>
        <w:rPr>
          <w:rFonts w:cs="Times New Roman" w:ascii="Times New Roman" w:hAnsi="Times New Roman"/>
          <w:lang w:val="en-GB"/>
        </w:rPr>
        <w:t xml:space="preserve"> 169</w:t>
      </w:r>
      <w:r>
        <w:rPr>
          <w:rFonts w:cs="Times New Roman" w:ascii="Times New Roman" w:hAnsi="Times New Roman"/>
        </w:rPr>
        <w:t>, 180</w:t>
      </w:r>
      <w:r>
        <w:rPr>
          <w:rFonts w:cs="Times New Roman" w:ascii="Times New Roman" w:hAnsi="Times New Roman"/>
          <w:lang w:val="en-GB"/>
        </w:rPr>
        <w:t xml:space="preserve"> (1968)</w:t>
      </w:r>
      <w:r>
        <w:rPr>
          <w:lang w:val="en-GB"/>
        </w:rPr>
        <w:t xml:space="preserve">; </w:t>
      </w:r>
      <w:r>
        <w:rPr>
          <w:rFonts w:cs="Times New Roman" w:ascii="Times New Roman" w:hAnsi="Times New Roman"/>
        </w:rPr>
        <w:t xml:space="preserve">David S. Abrams, </w:t>
      </w:r>
      <w:r>
        <w:rPr>
          <w:rFonts w:cs="Times New Roman" w:ascii="Times New Roman" w:hAnsi="Times New Roman"/>
          <w:i/>
          <w:iCs/>
        </w:rPr>
        <w:t>Estimating the Deterrent Effect of Incarceration using Sentencing Enhancements</w:t>
      </w:r>
      <w:r>
        <w:rPr>
          <w:rFonts w:cs="Times New Roman" w:ascii="Times New Roman" w:hAnsi="Times New Roman"/>
        </w:rPr>
        <w:t xml:space="preserve">, 4(4) </w:t>
      </w:r>
      <w:r>
        <w:rPr>
          <w:rFonts w:cs="Times New Roman" w:ascii="Times New Roman" w:hAnsi="Times New Roman"/>
          <w:smallCaps/>
        </w:rPr>
        <w:t>American Economic Journal: Applied Economics</w:t>
      </w:r>
      <w:r>
        <w:rPr>
          <w:rFonts w:cs="Times New Roman" w:ascii="Times New Roman" w:hAnsi="Times New Roman"/>
        </w:rPr>
        <w:t xml:space="preserve"> 32 (2012)</w:t>
      </w:r>
      <w:r>
        <w:rPr>
          <w:rtl w:val="true"/>
        </w:rPr>
        <w:t xml:space="preserve">). </w:t>
      </w:r>
      <w:r>
        <w:rPr>
          <w:rtl w:val="true"/>
          <w:lang w:val="en-GB"/>
        </w:rPr>
        <w:t xml:space="preserve"> </w:t>
      </w:r>
      <w:r>
        <w:rPr>
          <w:rtl w:val="true"/>
          <w:lang w:val="en-GB"/>
        </w:rPr>
        <w:t>בהקשר זה חשוב להדגיש</w:t>
      </w:r>
      <w:r>
        <w:rPr>
          <w:rtl w:val="true"/>
          <w:lang w:val="en-GB"/>
        </w:rPr>
        <w:t xml:space="preserve">, </w:t>
      </w:r>
      <w:r>
        <w:rPr>
          <w:rtl w:val="true"/>
          <w:lang w:val="en-GB"/>
        </w:rPr>
        <w:t>כי בענייננו די בהרתעה חלקית כדי להצדיק את החמרת עונשו של עבריין מין</w:t>
      </w:r>
      <w:r>
        <w:rPr>
          <w:rtl w:val="true"/>
          <w:lang w:val="en-GB"/>
        </w:rPr>
        <w:t xml:space="preserve">. </w:t>
      </w:r>
      <w:r>
        <w:rPr>
          <w:rtl w:val="true"/>
          <w:lang w:val="en-GB"/>
        </w:rPr>
        <w:t>אם החמרה בעונש המאסר תגרום לעבריין אחד בלבד לזנוח את תכניתו לפגוע מינית באישה</w:t>
      </w:r>
      <w:r>
        <w:rPr>
          <w:rtl w:val="true"/>
          <w:lang w:val="en-GB"/>
        </w:rPr>
        <w:t xml:space="preserve">, </w:t>
      </w:r>
      <w:r>
        <w:rPr>
          <w:rtl w:val="true"/>
          <w:lang w:val="en-GB"/>
        </w:rPr>
        <w:t>נערה או ילדה חסרת ישע – דיינו</w:t>
      </w:r>
      <w:r>
        <w:rPr>
          <w:rtl w:val="true"/>
          <w:lang w:val="en-GB"/>
        </w:rPr>
        <w:t xml:space="preserve">. </w:t>
      </w:r>
    </w:p>
    <w:p>
      <w:pPr>
        <w:pStyle w:val="Ruller4"/>
        <w:ind w:end="0"/>
        <w:jc w:val="both"/>
        <w:rPr>
          <w:lang w:val="en-GB"/>
        </w:rPr>
      </w:pPr>
      <w:r>
        <w:rPr>
          <w:rtl w:val="true"/>
          <w:lang w:val="en-GB"/>
        </w:rPr>
      </w:r>
    </w:p>
    <w:p>
      <w:pPr>
        <w:pStyle w:val="Ruller41"/>
        <w:numPr>
          <w:ilvl w:val="0"/>
          <w:numId w:val="1"/>
        </w:numPr>
        <w:ind w:end="0"/>
        <w:jc w:val="both"/>
        <w:rPr>
          <w:lang w:val="en-GB"/>
        </w:rPr>
      </w:pPr>
      <w:r>
        <w:rPr>
          <w:rtl w:val="true"/>
          <w:lang w:val="en-GB"/>
        </w:rPr>
        <w:t>עיקרון ההלימה</w:t>
      </w:r>
      <w:r>
        <w:rPr>
          <w:rtl w:val="true"/>
          <w:lang w:val="en-GB"/>
        </w:rPr>
        <w:t xml:space="preserve">, </w:t>
      </w:r>
      <w:r>
        <w:rPr>
          <w:rtl w:val="true"/>
          <w:lang w:val="en-GB"/>
        </w:rPr>
        <w:t>אף הוא מעמיד מחסום בפני להקלה בעונשו של המערער מעבר לזו שכבר ניתנה לו על ידי בית משפט קמא</w:t>
      </w:r>
      <w:r>
        <w:rPr>
          <w:rtl w:val="true"/>
          <w:lang w:val="en-GB"/>
        </w:rPr>
        <w:t xml:space="preserve">. </w:t>
      </w:r>
      <w:r>
        <w:rPr>
          <w:rtl w:val="true"/>
          <w:lang w:val="en-GB"/>
        </w:rPr>
        <w:t xml:space="preserve">תיקון </w:t>
      </w:r>
      <w:r>
        <w:rPr>
          <w:lang w:val="en-GB"/>
        </w:rPr>
        <w:t>113</w:t>
      </w:r>
      <w:r>
        <w:rPr>
          <w:rtl w:val="true"/>
          <w:lang w:val="en-GB"/>
        </w:rPr>
        <w:t xml:space="preserve"> </w:t>
      </w:r>
      <w:r>
        <w:rPr>
          <w:rtl w:val="true"/>
          <w:lang w:val="en-GB"/>
        </w:rPr>
        <w:t>ל</w:t>
      </w:r>
      <w:hyperlink r:id="rId57">
        <w:r>
          <w:rPr>
            <w:rStyle w:val="Hyperlink"/>
            <w:color w:val="0000FF"/>
            <w:u w:val="single"/>
            <w:rtl w:val="true"/>
            <w:lang w:val="en-GB"/>
          </w:rPr>
          <w:t>חוק</w:t>
        </w:r>
        <w:r>
          <w:rPr>
            <w:rStyle w:val="Hyperlink"/>
            <w:color w:val="0000FF"/>
            <w:u w:val="single"/>
            <w:rtl w:val="true"/>
            <w:lang w:val="en-GB"/>
          </w:rPr>
          <w:t xml:space="preserve"> </w:t>
        </w:r>
        <w:r>
          <w:rPr>
            <w:rStyle w:val="Hyperlink"/>
            <w:color w:val="0000FF"/>
            <w:u w:val="single"/>
            <w:rtl w:val="true"/>
            <w:lang w:val="en-GB"/>
          </w:rPr>
          <w:t>העונשין</w:t>
        </w:r>
      </w:hyperlink>
      <w:r>
        <w:rPr>
          <w:rtl w:val="true"/>
          <w:lang w:val="en-GB"/>
        </w:rPr>
        <w:t xml:space="preserve">, </w:t>
      </w:r>
      <w:r>
        <w:rPr>
          <w:rtl w:val="true"/>
          <w:lang w:val="en-GB"/>
        </w:rPr>
        <w:t>שנתן לעיקרון זה מעמד על</w:t>
      </w:r>
      <w:r>
        <w:rPr>
          <w:rtl w:val="true"/>
          <w:lang w:val="en-GB"/>
        </w:rPr>
        <w:t xml:space="preserve">, </w:t>
      </w:r>
      <w:r>
        <w:rPr>
          <w:rtl w:val="true"/>
          <w:lang w:val="en-GB"/>
        </w:rPr>
        <w:t>איננו מדבר על הלימה במובן הצר של ה</w:t>
      </w:r>
      <w:r>
        <w:rPr>
          <w:rtl w:val="true"/>
          <w:lang w:val="en-GB"/>
        </w:rPr>
        <w:t>-</w:t>
      </w:r>
      <w:r>
        <w:rPr>
          <w:rFonts w:cs="Times New Roman" w:ascii="Times New Roman" w:hAnsi="Times New Roman"/>
          <w:szCs w:val="24"/>
        </w:rPr>
        <w:t>lex talionis</w:t>
      </w:r>
      <w:r>
        <w:rPr>
          <w:rtl w:val="true"/>
          <w:lang w:val="en-GB"/>
        </w:rPr>
        <w:t xml:space="preserve">. </w:t>
      </w:r>
      <w:r>
        <w:rPr>
          <w:rtl w:val="true"/>
          <w:lang w:val="en-GB"/>
        </w:rPr>
        <w:t>מדובר בתפיסה רחבה יותר של הלימה אשר רואה בענישת העבריין אקט שלטוני המכונן מחדש את שיווי המשקל המוסרי שהופר על ידו</w:t>
      </w:r>
      <w:r>
        <w:rPr>
          <w:rtl w:val="true"/>
          <w:lang w:val="en-GB"/>
        </w:rPr>
        <w:t xml:space="preserve">. </w:t>
      </w:r>
      <w:r>
        <w:rPr>
          <w:rtl w:val="true"/>
          <w:lang w:val="en-GB"/>
        </w:rPr>
        <w:t>מדובר בתיקון כוללני אשר חייב לשקם את ערכה של הנפגעת מן העבירה כאדם</w:t>
      </w:r>
      <w:r>
        <w:rPr>
          <w:rtl w:val="true"/>
          <w:lang w:val="en-GB"/>
        </w:rPr>
        <w:t xml:space="preserve">, </w:t>
      </w:r>
      <w:r>
        <w:rPr>
          <w:rtl w:val="true"/>
          <w:lang w:val="en-GB"/>
        </w:rPr>
        <w:t>לאחר שהעבריין שלל ערך זה ממנה</w:t>
      </w:r>
      <w:r>
        <w:rPr>
          <w:rtl w:val="true"/>
          <w:lang w:val="en-GB"/>
        </w:rPr>
        <w:t xml:space="preserve">, </w:t>
      </w:r>
      <w:r>
        <w:rPr>
          <w:rtl w:val="true"/>
          <w:lang w:val="en-GB"/>
        </w:rPr>
        <w:t>או הפחיתו</w:t>
      </w:r>
      <w:r>
        <w:rPr>
          <w:rtl w:val="true"/>
          <w:lang w:val="en-GB"/>
        </w:rPr>
        <w:t xml:space="preserve">, </w:t>
      </w:r>
      <w:r>
        <w:rPr>
          <w:rtl w:val="true"/>
          <w:lang w:val="en-GB"/>
        </w:rPr>
        <w:t>על ידי מעשה כפייה פוגעני</w:t>
      </w:r>
      <w:r>
        <w:rPr>
          <w:rtl w:val="true"/>
          <w:lang w:val="en-GB"/>
        </w:rPr>
        <w:t xml:space="preserve">. </w:t>
      </w:r>
      <w:r>
        <w:rPr>
          <w:rtl w:val="true"/>
          <w:lang w:val="en-GB"/>
        </w:rPr>
        <w:t>תיקון זה לא ייעשה אם עונשו של העבריין לא יהיה שקול כנגד מה שעולל לקורבנו</w:t>
      </w:r>
      <w:r>
        <w:rPr>
          <w:rtl w:val="true"/>
          <w:lang w:val="en-GB"/>
        </w:rPr>
        <w:t xml:space="preserve">. </w:t>
      </w:r>
      <w:r>
        <w:rPr>
          <w:rtl w:val="true"/>
          <w:lang w:val="en-GB"/>
        </w:rPr>
        <w:t xml:space="preserve">ראו </w:t>
      </w:r>
      <w:bookmarkStart w:id="18" w:name="_GoBack"/>
      <w:bookmarkEnd w:id="18"/>
      <w:r>
        <w:rPr>
          <w:rFonts w:cs="Times New Roman" w:ascii="Times New Roman" w:hAnsi="Times New Roman"/>
          <w:szCs w:val="24"/>
        </w:rPr>
        <w:t xml:space="preserve">Jean Hampton, </w:t>
      </w:r>
      <w:r>
        <w:rPr>
          <w:rFonts w:cs="Times New Roman" w:ascii="Times New Roman" w:hAnsi="Times New Roman"/>
          <w:i/>
          <w:iCs/>
          <w:szCs w:val="24"/>
        </w:rPr>
        <w:t>The Retributive Idea</w:t>
      </w:r>
      <w:r>
        <w:rPr>
          <w:rFonts w:cs="Times New Roman" w:ascii="Times New Roman" w:hAnsi="Times New Roman"/>
          <w:szCs w:val="24"/>
        </w:rPr>
        <w:t xml:space="preserve">, </w:t>
      </w:r>
      <w:r>
        <w:rPr>
          <w:rFonts w:cs="Times New Roman" w:ascii="Times New Roman" w:hAnsi="Times New Roman"/>
          <w:i/>
          <w:iCs/>
          <w:szCs w:val="24"/>
        </w:rPr>
        <w:t>in</w:t>
      </w:r>
      <w:r>
        <w:rPr>
          <w:rFonts w:cs="Times New Roman" w:ascii="Times New Roman" w:hAnsi="Times New Roman"/>
          <w:szCs w:val="24"/>
        </w:rPr>
        <w:t xml:space="preserve"> Jeffrie G. Murphy &amp; Jean Hampton, </w:t>
      </w:r>
      <w:r>
        <w:rPr>
          <w:rFonts w:cs="Times New Roman" w:ascii="Times New Roman" w:hAnsi="Times New Roman"/>
          <w:smallCaps/>
          <w:szCs w:val="24"/>
        </w:rPr>
        <w:t>Forgiveness and Mercy</w:t>
      </w:r>
      <w:r>
        <w:rPr>
          <w:rFonts w:cs="Times New Roman" w:ascii="Times New Roman" w:hAnsi="Times New Roman"/>
          <w:szCs w:val="24"/>
        </w:rPr>
        <w:t xml:space="preserve"> 111, 131 (1988)</w:t>
      </w:r>
      <w:r>
        <w:rPr>
          <w:rFonts w:cs="Times New Roman" w:ascii="Times New Roman" w:hAnsi="Times New Roman"/>
          <w:szCs w:val="24"/>
          <w:rtl w:val="true"/>
        </w:rPr>
        <w:t xml:space="preserve">. </w:t>
      </w:r>
      <w:r>
        <w:rPr>
          <w:rFonts w:ascii="Times New Roman" w:hAnsi="Times New Roman" w:cs="Times New Roman"/>
          <w:sz w:val="22"/>
          <w:sz w:val="22"/>
          <w:rtl w:val="true"/>
        </w:rPr>
        <w:t>מטעם זה עלינו לזכור</w:t>
      </w:r>
      <w:r>
        <w:rPr>
          <w:rFonts w:cs="Times New Roman" w:ascii="Times New Roman" w:hAnsi="Times New Roman"/>
          <w:sz w:val="22"/>
          <w:rtl w:val="true"/>
        </w:rPr>
        <w:t xml:space="preserve">, </w:t>
      </w:r>
      <w:r>
        <w:rPr>
          <w:rFonts w:ascii="Times New Roman" w:hAnsi="Times New Roman" w:cs="Times New Roman"/>
          <w:sz w:val="22"/>
          <w:sz w:val="22"/>
          <w:rtl w:val="true"/>
        </w:rPr>
        <w:t>כי</w:t>
      </w:r>
      <w:r>
        <w:rPr>
          <w:rFonts w:ascii="Times New Roman" w:hAnsi="Times New Roman" w:cs="Times New Roman"/>
          <w:sz w:val="22"/>
          <w:sz w:val="22"/>
          <w:rtl w:val="true"/>
          <w:lang w:val="en-GB"/>
        </w:rPr>
        <w:t xml:space="preserve"> המערער </w:t>
      </w:r>
      <w:r>
        <w:rPr>
          <w:rtl w:val="true"/>
          <w:lang w:val="en-GB"/>
        </w:rPr>
        <w:t>לא ניצב לפנינו לבדו</w:t>
      </w:r>
      <w:r>
        <w:rPr>
          <w:rtl w:val="true"/>
          <w:lang w:val="en-GB"/>
        </w:rPr>
        <w:t xml:space="preserve">. </w:t>
      </w:r>
      <w:r>
        <w:rPr>
          <w:rtl w:val="true"/>
          <w:lang w:val="en-GB"/>
        </w:rPr>
        <w:t>למרות שלא ראינו את פניה של המתלוננת</w:t>
      </w:r>
      <w:r>
        <w:rPr>
          <w:rtl w:val="true"/>
          <w:lang w:val="en-GB"/>
        </w:rPr>
        <w:t xml:space="preserve">, </w:t>
      </w:r>
      <w:r>
        <w:rPr>
          <w:rtl w:val="true"/>
          <w:lang w:val="en-GB"/>
        </w:rPr>
        <w:t>שסבלה מידיו פגיעות קשות בגוף ובנפש</w:t>
      </w:r>
      <w:r>
        <w:rPr>
          <w:rtl w:val="true"/>
          <w:lang w:val="en-GB"/>
        </w:rPr>
        <w:t xml:space="preserve">, </w:t>
      </w:r>
      <w:r>
        <w:rPr>
          <w:rtl w:val="true"/>
          <w:lang w:val="en-GB"/>
        </w:rPr>
        <w:t>פסק הדין שייצא מתחת לידינו צריך שידבר גם אליה</w:t>
      </w:r>
      <w:r>
        <w:rPr>
          <w:rtl w:val="true"/>
          <w:lang w:val="en-GB"/>
        </w:rPr>
        <w:t xml:space="preserve">. </w:t>
      </w:r>
      <w:r>
        <w:rPr>
          <w:rtl w:val="true"/>
          <w:lang w:val="en-GB"/>
        </w:rPr>
        <w:t>עלינו לומר למתלוננת</w:t>
      </w:r>
      <w:r>
        <w:rPr>
          <w:rtl w:val="true"/>
          <w:lang w:val="en-GB"/>
        </w:rPr>
        <w:t xml:space="preserve">, </w:t>
      </w:r>
      <w:r>
        <w:rPr>
          <w:rtl w:val="true"/>
          <w:lang w:val="en-GB"/>
        </w:rPr>
        <w:t>ללא כחל וסרק</w:t>
      </w:r>
      <w:r>
        <w:rPr>
          <w:rtl w:val="true"/>
          <w:lang w:val="en-GB"/>
        </w:rPr>
        <w:t xml:space="preserve">, </w:t>
      </w:r>
      <w:r>
        <w:rPr>
          <w:rtl w:val="true"/>
          <w:lang w:val="en-GB"/>
        </w:rPr>
        <w:t>כי זעקתה היא זעקתנו</w:t>
      </w:r>
      <w:r>
        <w:rPr>
          <w:rtl w:val="true"/>
          <w:lang w:val="en-GB"/>
        </w:rPr>
        <w:t>.</w:t>
      </w:r>
    </w:p>
    <w:p>
      <w:pPr>
        <w:pStyle w:val="Ruller4"/>
        <w:ind w:end="0"/>
        <w:jc w:val="both"/>
        <w:rPr>
          <w:lang w:val="en-GB"/>
        </w:rPr>
      </w:pPr>
      <w:r>
        <w:rPr>
          <w:rtl w:val="true"/>
          <w:lang w:val="en-GB"/>
        </w:rPr>
      </w:r>
    </w:p>
    <w:p>
      <w:pPr>
        <w:pStyle w:val="Ruller41"/>
        <w:numPr>
          <w:ilvl w:val="0"/>
          <w:numId w:val="1"/>
        </w:numPr>
        <w:ind w:end="0"/>
        <w:jc w:val="both"/>
        <w:rPr>
          <w:lang w:val="en-GB"/>
        </w:rPr>
      </w:pPr>
      <w:r>
        <w:rPr>
          <w:rtl w:val="true"/>
          <w:lang w:val="en-GB"/>
        </w:rPr>
        <w:t>אני מציע אפוא לחבריי לדחות את הערעור</w:t>
      </w:r>
      <w:r>
        <w:rPr>
          <w:rtl w:val="true"/>
          <w:lang w:val="en-GB"/>
        </w:rPr>
        <w:t xml:space="preserve">. </w:t>
      </w:r>
    </w:p>
    <w:p>
      <w:pPr>
        <w:pStyle w:val="Ruller4"/>
        <w:ind w:end="0"/>
        <w:jc w:val="both"/>
        <w:rPr>
          <w:rFonts w:ascii="Century" w:hAnsi="Century" w:cs="Century"/>
          <w:lang w:val="en-GB"/>
        </w:rPr>
      </w:pPr>
      <w:r>
        <w:rPr>
          <w:rFonts w:cs="Century" w:ascii="Century" w:hAnsi="Century"/>
          <w:rtl w:val="true"/>
          <w:lang w:val="en-GB"/>
        </w:rPr>
        <w:tab/>
      </w:r>
      <w:r>
        <w:rPr>
          <w:rFonts w:cs="Century" w:ascii="Century" w:hAnsi="Century"/>
          <w:rtl w:val="true"/>
          <w:lang w:val="en-GB"/>
        </w:rPr>
        <w:t xml:space="preserve"> </w:t>
      </w:r>
      <w:r>
        <w:rPr>
          <w:rFonts w:cs="Century" w:ascii="Century" w:hAnsi="Century"/>
          <w:rtl w:val="true"/>
          <w:lang w:val="en-GB"/>
        </w:rPr>
        <w:t xml:space="preserve">        </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
              <w:snapToGrid w:val="false"/>
              <w:ind w:end="0"/>
              <w:jc w:val="both"/>
              <w:rPr/>
            </w:pPr>
            <w:r>
              <w:rPr>
                <w:rtl w:val="true"/>
              </w:rPr>
            </w:r>
          </w:p>
        </w:tc>
        <w:tc>
          <w:tcPr>
            <w:tcW w:w="2843" w:type="dxa"/>
            <w:tcBorders/>
          </w:tcPr>
          <w:p>
            <w:pPr>
              <w:pStyle w:val="Ruller4"/>
              <w:snapToGrid w:val="false"/>
              <w:ind w:end="0"/>
              <w:jc w:val="center"/>
              <w:rPr/>
            </w:pPr>
            <w:r>
              <w:rPr>
                <w:rtl w:val="true"/>
              </w:rPr>
            </w:r>
          </w:p>
        </w:tc>
        <w:tc>
          <w:tcPr>
            <w:tcW w:w="2843" w:type="dxa"/>
            <w:tcBorders/>
          </w:tcPr>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
        <w:ind w:end="0"/>
        <w:jc w:val="both"/>
        <w:rPr>
          <w:rFonts w:ascii="Times New Roman" w:hAnsi="Times New Roman" w:cs="Miriam"/>
          <w:spacing w:val="0"/>
          <w:sz w:val="28"/>
          <w:szCs w:val="24"/>
          <w:u w:val="single"/>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נ</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הנדל</w:t>
      </w:r>
      <w:r>
        <w:rPr>
          <w:rFonts w:cs="Miriam" w:ascii="Times New Roman" w:hAnsi="Times New Roman"/>
          <w:spacing w:val="0"/>
          <w:sz w:val="28"/>
          <w:szCs w:val="24"/>
          <w:u w:val="single"/>
          <w:rtl w:val="true"/>
        </w:rPr>
        <w:t>:</w:t>
      </w:r>
    </w:p>
    <w:p>
      <w:pPr>
        <w:pStyle w:val="Ruller4"/>
        <w:ind w:end="0"/>
        <w:jc w:val="both"/>
        <w:rPr>
          <w:rFonts w:ascii="Century" w:hAnsi="Century" w:cs="Century"/>
          <w:spacing w:val="0"/>
          <w:sz w:val="28"/>
          <w:szCs w:val="24"/>
          <w:u w:val="single"/>
        </w:rPr>
      </w:pPr>
      <w:r>
        <w:rPr>
          <w:rFonts w:cs="Century" w:ascii="Century" w:hAnsi="Century"/>
          <w:spacing w:val="0"/>
          <w:sz w:val="28"/>
          <w:szCs w:val="24"/>
          <w:u w:val="single"/>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אני מסכים</w:t>
      </w:r>
      <w:r>
        <w:rPr>
          <w:rFonts w:cs="Century" w:ascii="Century" w:hAnsi="Century"/>
          <w:rtl w:val="true"/>
        </w:rPr>
        <w:t>.</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
              <w:snapToGrid w:val="false"/>
              <w:ind w:end="0"/>
              <w:jc w:val="both"/>
              <w:rPr/>
            </w:pPr>
            <w:r>
              <w:rPr>
                <w:rtl w:val="true"/>
              </w:rPr>
            </w:r>
          </w:p>
        </w:tc>
        <w:tc>
          <w:tcPr>
            <w:tcW w:w="2843" w:type="dxa"/>
            <w:tcBorders/>
          </w:tcPr>
          <w:p>
            <w:pPr>
              <w:pStyle w:val="Ruller4"/>
              <w:snapToGrid w:val="false"/>
              <w:ind w:end="0"/>
              <w:jc w:val="center"/>
              <w:rPr/>
            </w:pPr>
            <w:r>
              <w:rPr>
                <w:rtl w:val="true"/>
              </w:rPr>
            </w:r>
          </w:p>
        </w:tc>
        <w:tc>
          <w:tcPr>
            <w:tcW w:w="2843" w:type="dxa"/>
            <w:tcBorders/>
          </w:tcPr>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
        <w:ind w:end="0"/>
        <w:jc w:val="both"/>
        <w:rPr>
          <w:rFonts w:ascii="Century" w:hAnsi="Century" w:cs="Century"/>
        </w:rPr>
      </w:pPr>
      <w:r>
        <w:rPr>
          <w:rFonts w:cs="Century" w:ascii="Century" w:hAnsi="Century"/>
          <w:rtl w:val="true"/>
        </w:rPr>
      </w:r>
    </w:p>
    <w:p>
      <w:pPr>
        <w:pStyle w:val="Ruller4"/>
        <w:ind w:end="0"/>
        <w:jc w:val="both"/>
        <w:rPr>
          <w:rFonts w:ascii="Times New Roman" w:hAnsi="Times New Roman" w:cs="Miriam"/>
          <w:spacing w:val="0"/>
          <w:sz w:val="28"/>
          <w:szCs w:val="24"/>
          <w:u w:val="single"/>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ד</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מינץ</w:t>
      </w:r>
      <w:r>
        <w:rPr>
          <w:rFonts w:cs="Miriam" w:ascii="Times New Roman" w:hAnsi="Times New Roman"/>
          <w:spacing w:val="0"/>
          <w:sz w:val="28"/>
          <w:szCs w:val="24"/>
          <w:u w:val="single"/>
          <w:rtl w:val="true"/>
        </w:rPr>
        <w:t>:</w:t>
      </w:r>
    </w:p>
    <w:p>
      <w:pPr>
        <w:pStyle w:val="Ruller4"/>
        <w:ind w:end="0"/>
        <w:jc w:val="both"/>
        <w:rPr>
          <w:rFonts w:ascii="Century" w:hAnsi="Century" w:cs="Century"/>
          <w:spacing w:val="0"/>
          <w:sz w:val="28"/>
          <w:szCs w:val="24"/>
          <w:u w:val="single"/>
        </w:rPr>
      </w:pPr>
      <w:r>
        <w:rPr>
          <w:rFonts w:cs="Century" w:ascii="Century" w:hAnsi="Century"/>
          <w:spacing w:val="0"/>
          <w:sz w:val="28"/>
          <w:szCs w:val="24"/>
          <w:u w:val="single"/>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אני מסכים</w:t>
      </w:r>
      <w:r>
        <w:rPr>
          <w:rFonts w:cs="Century" w:ascii="Century" w:hAnsi="Century"/>
          <w:rtl w:val="true"/>
        </w:rPr>
        <w:t>.</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
              <w:snapToGrid w:val="false"/>
              <w:ind w:end="0"/>
              <w:jc w:val="both"/>
              <w:rPr/>
            </w:pPr>
            <w:r>
              <w:rPr>
                <w:rtl w:val="true"/>
              </w:rPr>
            </w:r>
          </w:p>
        </w:tc>
        <w:tc>
          <w:tcPr>
            <w:tcW w:w="2843" w:type="dxa"/>
            <w:tcBorders/>
          </w:tcPr>
          <w:p>
            <w:pPr>
              <w:pStyle w:val="Ruller4"/>
              <w:snapToGrid w:val="false"/>
              <w:ind w:end="0"/>
              <w:jc w:val="center"/>
              <w:rPr/>
            </w:pPr>
            <w:r>
              <w:rPr>
                <w:rtl w:val="true"/>
              </w:rPr>
            </w:r>
          </w:p>
        </w:tc>
        <w:tc>
          <w:tcPr>
            <w:tcW w:w="2843" w:type="dxa"/>
            <w:tcBorders/>
          </w:tcPr>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 xml:space="preserve">הוחלט כאמור בפסק הדין של השופט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שטיין</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eastAsia="Century" w:cs="Century" w:ascii="Century" w:hAnsi="Century"/>
          <w:rtl w:val="true"/>
        </w:rPr>
        <w:t xml:space="preserve"> </w:t>
      </w:r>
      <w:r>
        <w:rPr>
          <w:rFonts w:ascii="Century" w:hAnsi="Century" w:cs="Century"/>
          <w:rtl w:val="true"/>
        </w:rPr>
        <w:t>ניתן</w:t>
      </w:r>
      <w:r>
        <w:rPr>
          <w:rFonts w:ascii="Century" w:hAnsi="Century" w:cs="Century"/>
          <w:rtl w:val="true"/>
        </w:rPr>
        <w:t xml:space="preserve"> </w:t>
      </w:r>
      <w:r>
        <w:rPr>
          <w:rFonts w:ascii="Century" w:hAnsi="Century" w:cs="Century"/>
          <w:rtl w:val="true"/>
        </w:rPr>
        <w:t>היום</w:t>
      </w:r>
      <w:r>
        <w:rPr>
          <w:rFonts w:cs="Century" w:ascii="Century" w:hAnsi="Century"/>
          <w:rtl w:val="true"/>
        </w:rPr>
        <w:t>, ‏</w:t>
      </w:r>
      <w:r>
        <w:rPr>
          <w:rFonts w:ascii="Century" w:hAnsi="Century" w:cs="Century"/>
          <w:rtl w:val="true"/>
        </w:rPr>
        <w:t>ג</w:t>
      </w:r>
      <w:r>
        <w:rPr>
          <w:rFonts w:cs="Century" w:ascii="Century" w:hAnsi="Century"/>
          <w:rtl w:val="true"/>
        </w:rPr>
        <w:t xml:space="preserve">' </w:t>
      </w:r>
      <w:r>
        <w:rPr>
          <w:rFonts w:ascii="Century" w:hAnsi="Century" w:cs="Century"/>
          <w:rtl w:val="true"/>
        </w:rPr>
        <w:t>בכסלו</w:t>
      </w:r>
      <w:r>
        <w:rPr>
          <w:rFonts w:ascii="Century" w:hAnsi="Century" w:cs="Century"/>
          <w:rtl w:val="true"/>
        </w:rPr>
        <w:t xml:space="preserve"> </w:t>
      </w:r>
      <w:r>
        <w:rPr>
          <w:rFonts w:ascii="Century" w:hAnsi="Century" w:cs="Century"/>
          <w:rtl w:val="true"/>
        </w:rPr>
        <w:t>התשע</w:t>
      </w:r>
      <w:r>
        <w:rPr>
          <w:rFonts w:cs="Century" w:ascii="Century" w:hAnsi="Century"/>
          <w:rtl w:val="true"/>
        </w:rPr>
        <w:t>"</w:t>
      </w:r>
      <w:r>
        <w:rPr>
          <w:rFonts w:ascii="Century" w:hAnsi="Century" w:cs="Century"/>
          <w:rtl w:val="true"/>
        </w:rPr>
        <w:t>ט</w:t>
      </w:r>
      <w:r>
        <w:rPr>
          <w:rFonts w:ascii="Century" w:hAnsi="Century" w:cs="Century"/>
          <w:rtl w:val="true"/>
        </w:rPr>
        <w:t xml:space="preserve"> </w:t>
      </w:r>
      <w:r>
        <w:rPr>
          <w:rFonts w:cs="Century" w:ascii="Century" w:hAnsi="Century"/>
          <w:rtl w:val="true"/>
        </w:rPr>
        <w:t>(‏</w:t>
      </w:r>
      <w:r>
        <w:rPr>
          <w:rFonts w:cs="Century" w:ascii="Century" w:hAnsi="Century"/>
        </w:rPr>
        <w:t>11.11.2018</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p>
    <w:p>
      <w:pPr>
        <w:pStyle w:val="Ruller4"/>
        <w:ind w:end="0"/>
        <w:jc w:val="both"/>
        <w:rPr>
          <w:color w:val="FFFFFF"/>
          <w:sz w:val="2"/>
          <w:szCs w:val="2"/>
        </w:rPr>
      </w:pPr>
      <w:r>
        <w:rPr>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ind w:end="0"/>
        <w:jc w:val="start"/>
        <w:rPr>
          <w:rFonts w:ascii="Arial TUR;Arial" w:hAnsi="Arial TUR;Arial" w:cs="FrankRuehl"/>
          <w:spacing w:val="10"/>
          <w:sz w:val="22"/>
          <w:szCs w:val="16"/>
        </w:rPr>
      </w:pPr>
      <w:r>
        <w:rPr>
          <w:rFonts w:cs="FrankRuehl" w:ascii="Arial TUR;Arial" w:hAnsi="Arial TUR;Arial"/>
          <w:spacing w:val="10"/>
          <w:sz w:val="22"/>
          <w:szCs w:val="16"/>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18037920</w:t>
      </w:r>
      <w:r>
        <w:rPr>
          <w:sz w:val="16"/>
          <w:rtl w:val="true"/>
        </w:rPr>
        <w:t>_</w:t>
      </w:r>
      <w:r>
        <w:rPr>
          <w:sz w:val="16"/>
        </w:rPr>
        <w:t>F03.doc</w:t>
      </w:r>
      <w:r>
        <w:rPr>
          <w:sz w:val="16"/>
          <w:rtl w:val="true"/>
        </w:rPr>
        <w:t xml:space="preserve">   </w:t>
      </w:r>
      <w:r>
        <w:rPr>
          <w:sz w:val="16"/>
          <w:sz w:val="16"/>
          <w:rtl w:val="true"/>
        </w:rPr>
        <w:t>עב</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58">
        <w:r>
          <w:rPr>
            <w:rStyle w:val="Hyperlink"/>
            <w:color w:val="548DD4"/>
            <w:sz w:val="16"/>
            <w:u w:val="single"/>
          </w:rPr>
          <w:t>supreme.court.gov.il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הנדל </w:t>
      </w:r>
      <w:r>
        <w:rPr>
          <w:rFonts w:cs="David" w:ascii="David" w:hAnsi="David"/>
          <w:color w:val="000000"/>
          <w:szCs w:val="22"/>
        </w:rPr>
        <w:t>54678313-3792/18</w:t>
      </w:r>
    </w:p>
    <w:p>
      <w:pPr>
        <w:pStyle w:val="Ruller381"/>
        <w:ind w:end="0"/>
        <w:jc w:val="start"/>
        <w:rPr>
          <w:sz w:val="24"/>
          <w:szCs w:val="18"/>
        </w:rPr>
      </w:pPr>
      <w:r>
        <w:rPr>
          <w:color w:val="000000"/>
          <w:sz w:val="24"/>
          <w:sz w:val="24"/>
          <w:szCs w:val="18"/>
          <w:rtl w:val="true"/>
        </w:rPr>
        <w:t>נוסח</w:t>
      </w:r>
      <w:r>
        <w:rPr>
          <w:rFonts w:cs="Times New Roman"/>
          <w:color w:val="000000"/>
          <w:sz w:val="24"/>
          <w:sz w:val="24"/>
          <w:szCs w:val="18"/>
          <w:rtl w:val="true"/>
        </w:rPr>
        <w:t xml:space="preserve"> </w:t>
      </w:r>
      <w:r>
        <w:rPr>
          <w:color w:val="000000"/>
          <w:sz w:val="24"/>
          <w:sz w:val="24"/>
          <w:szCs w:val="18"/>
          <w:rtl w:val="true"/>
        </w:rPr>
        <w:t>מסמך</w:t>
      </w:r>
      <w:r>
        <w:rPr>
          <w:rFonts w:cs="Times New Roman"/>
          <w:color w:val="000000"/>
          <w:sz w:val="24"/>
          <w:sz w:val="24"/>
          <w:szCs w:val="18"/>
          <w:rtl w:val="true"/>
        </w:rPr>
        <w:t xml:space="preserve"> </w:t>
      </w:r>
      <w:r>
        <w:rPr>
          <w:color w:val="000000"/>
          <w:sz w:val="24"/>
          <w:sz w:val="24"/>
          <w:szCs w:val="18"/>
          <w:rtl w:val="true"/>
        </w:rPr>
        <w:t>זה</w:t>
      </w:r>
      <w:r>
        <w:rPr>
          <w:rFonts w:cs="Times New Roman"/>
          <w:color w:val="000000"/>
          <w:sz w:val="24"/>
          <w:sz w:val="24"/>
          <w:szCs w:val="18"/>
          <w:rtl w:val="true"/>
        </w:rPr>
        <w:t xml:space="preserve"> </w:t>
      </w:r>
      <w:r>
        <w:rPr>
          <w:color w:val="000000"/>
          <w:sz w:val="24"/>
          <w:sz w:val="24"/>
          <w:szCs w:val="18"/>
          <w:rtl w:val="true"/>
        </w:rPr>
        <w:t>כפוף</w:t>
      </w:r>
      <w:r>
        <w:rPr>
          <w:rFonts w:cs="Times New Roman"/>
          <w:color w:val="000000"/>
          <w:sz w:val="24"/>
          <w:sz w:val="24"/>
          <w:szCs w:val="18"/>
          <w:rtl w:val="true"/>
        </w:rPr>
        <w:t xml:space="preserve"> </w:t>
      </w:r>
      <w:r>
        <w:rPr>
          <w:color w:val="000000"/>
          <w:sz w:val="24"/>
          <w:sz w:val="24"/>
          <w:szCs w:val="18"/>
          <w:rtl w:val="true"/>
        </w:rPr>
        <w:t>לשינויי</w:t>
      </w:r>
      <w:r>
        <w:rPr>
          <w:rFonts w:cs="Times New Roman"/>
          <w:color w:val="000000"/>
          <w:sz w:val="24"/>
          <w:sz w:val="24"/>
          <w:szCs w:val="18"/>
          <w:rtl w:val="true"/>
        </w:rPr>
        <w:t xml:space="preserve"> </w:t>
      </w:r>
      <w:r>
        <w:rPr>
          <w:color w:val="000000"/>
          <w:sz w:val="24"/>
          <w:sz w:val="24"/>
          <w:szCs w:val="18"/>
          <w:rtl w:val="true"/>
        </w:rPr>
        <w:t>ניסוח</w:t>
      </w:r>
      <w:r>
        <w:rPr>
          <w:rFonts w:cs="Times New Roman"/>
          <w:color w:val="000000"/>
          <w:sz w:val="24"/>
          <w:sz w:val="24"/>
          <w:szCs w:val="18"/>
          <w:rtl w:val="true"/>
        </w:rPr>
        <w:t xml:space="preserve"> </w:t>
      </w:r>
      <w:r>
        <w:rPr>
          <w:color w:val="000000"/>
          <w:sz w:val="24"/>
          <w:sz w:val="24"/>
          <w:szCs w:val="18"/>
          <w:rtl w:val="true"/>
        </w:rPr>
        <w:t>ועריכה</w:t>
      </w:r>
    </w:p>
    <w:p>
      <w:pPr>
        <w:pStyle w:val="Ruller381"/>
        <w:ind w:end="0"/>
        <w:jc w:val="start"/>
        <w:rPr>
          <w:sz w:val="24"/>
          <w:szCs w:val="18"/>
        </w:rPr>
      </w:pPr>
      <w:r>
        <w:rPr>
          <w:sz w:val="24"/>
          <w:szCs w:val="18"/>
          <w:rtl w:val="true"/>
        </w:rPr>
      </w:r>
    </w:p>
    <w:p>
      <w:pPr>
        <w:pStyle w:val="Ruller381"/>
        <w:ind w:end="0"/>
        <w:jc w:val="center"/>
        <w:rPr>
          <w:color w:val="0000FF"/>
          <w:sz w:val="24"/>
          <w:szCs w:val="24"/>
          <w:u w:val="single"/>
        </w:rPr>
      </w:pPr>
      <w:hyperlink r:id="rId59">
        <w:r>
          <w:rPr>
            <w:rStyle w:val="Hyperlink"/>
            <w:color w:val="0000FF"/>
            <w:sz w:val="24"/>
            <w:sz w:val="24"/>
            <w:szCs w:val="24"/>
            <w:u w:val="single"/>
            <w:rtl w:val="true"/>
          </w:rPr>
          <w:t>בעניין</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עריכה</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ושינויים</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במסמכי</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פסיקה</w:t>
        </w:r>
        <w:r>
          <w:rPr>
            <w:rStyle w:val="Hyperlink"/>
            <w:color w:val="0000FF"/>
            <w:sz w:val="24"/>
            <w:szCs w:val="24"/>
            <w:u w:val="single"/>
            <w:rtl w:val="true"/>
          </w:rPr>
          <w:t xml:space="preserve">, </w:t>
        </w:r>
        <w:r>
          <w:rPr>
            <w:rStyle w:val="Hyperlink"/>
            <w:color w:val="0000FF"/>
            <w:sz w:val="24"/>
            <w:sz w:val="24"/>
            <w:szCs w:val="24"/>
            <w:u w:val="single"/>
            <w:rtl w:val="true"/>
          </w:rPr>
          <w:t>חקיקה</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ועוד</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באתר</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נבו</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הקש</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כאן</w:t>
        </w:r>
      </w:hyperlink>
    </w:p>
    <w:p>
      <w:pPr>
        <w:pStyle w:val="Ruller381"/>
        <w:ind w:end="0"/>
        <w:jc w:val="center"/>
        <w:rPr>
          <w:color w:val="0000FF"/>
          <w:sz w:val="24"/>
          <w:szCs w:val="24"/>
          <w:u w:val="single"/>
        </w:rPr>
      </w:pPr>
      <w:r>
        <w:rPr>
          <w:color w:val="0000FF"/>
          <w:sz w:val="24"/>
          <w:szCs w:val="24"/>
          <w:u w:val="single"/>
          <w:rtl w:val="true"/>
        </w:rPr>
      </w:r>
    </w:p>
    <w:sectPr>
      <w:headerReference w:type="default" r:id="rId60"/>
      <w:footerReference w:type="default" r:id="rId61"/>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FrankRuehl">
    <w:charset w:val="00" w:characterSet="windows-1252"/>
    <w:family w:val="swiss"/>
    <w:pitch w:val="variable"/>
  </w:font>
  <w:font w:name="Century">
    <w:charset w:val="00" w:characterSet="windows-1252"/>
    <w:family w:val="roman"/>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14</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3792/18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פלוני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sz w:val="24"/>
        <w:szCs w:val="24"/>
        <w:rFonts w:cs="FrankRuehl"/>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cs="FrankRuehl"/>
      <w:sz w:val="24"/>
      <w:szCs w:val="24"/>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Times New Roman"/>
      <w:spacing w:val="10"/>
      <w:sz w:val="22"/>
      <w:szCs w:val="20"/>
    </w:rPr>
  </w:style>
  <w:style w:type="paragraph" w:styleId="WriterName">
    <w:name w:val="Writer Name"/>
    <w:basedOn w:val="Ruller4"/>
    <w:next w:val="Ruller4"/>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41">
    <w:name w:val="Ruller 4 ממוספר"/>
    <w:basedOn w:val="Ruller4"/>
    <w:next w:val="Ruller4"/>
    <w:qFormat/>
    <w:pPr>
      <w:numPr>
        <w:ilvl w:val="0"/>
        <w:numId w:val="1"/>
      </w:numPr>
      <w:ind w:hanging="0" w:start="0" w:end="0"/>
      <w:jc w:val="both"/>
    </w:pPr>
    <w:rPr>
      <w:rFonts w:ascii="Garamond" w:hAnsi="Garamond" w:cs="Garamond"/>
      <w:sz w:val="24"/>
    </w:rPr>
  </w:style>
  <w:style w:type="paragraph" w:styleId="BalloonText">
    <w:name w:val="Balloon Text"/>
    <w:basedOn w:val="Normal"/>
    <w:qFormat/>
    <w:pPr>
      <w:ind w:hanging="0" w:start="0" w:end="0"/>
      <w:jc w:val="start"/>
    </w:pPr>
    <w:rPr>
      <w:rFonts w:ascii="Tahoma" w:hAnsi="Tahoma" w:cs="Tahom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2098064" TargetMode="External"/><Relationship Id="rId3" Type="http://schemas.openxmlformats.org/officeDocument/2006/relationships/hyperlink" Target="http://www.nevo.co.il/law/72507" TargetMode="External"/><Relationship Id="rId4" Type="http://schemas.openxmlformats.org/officeDocument/2006/relationships/hyperlink" Target="http://www.nevo.co.il/law/72507/3.a.6.a" TargetMode="External"/><Relationship Id="rId5" Type="http://schemas.openxmlformats.org/officeDocument/2006/relationships/hyperlink" Target="http://www.nevo.co.il/law/72507/5.a"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25" TargetMode="External"/><Relationship Id="rId8" Type="http://schemas.openxmlformats.org/officeDocument/2006/relationships/hyperlink" Target="http://www.nevo.co.il/law/70301/40g" TargetMode="External"/><Relationship Id="rId9" Type="http://schemas.openxmlformats.org/officeDocument/2006/relationships/hyperlink" Target="http://www.nevo.co.il/law/70301/40i.a.5" TargetMode="External"/><Relationship Id="rId10" Type="http://schemas.openxmlformats.org/officeDocument/2006/relationships/hyperlink" Target="http://www.nevo.co.il/law/70301/40i.a.6" TargetMode="External"/><Relationship Id="rId11" Type="http://schemas.openxmlformats.org/officeDocument/2006/relationships/hyperlink" Target="http://www.nevo.co.il/law/70301/192" TargetMode="External"/><Relationship Id="rId12" Type="http://schemas.openxmlformats.org/officeDocument/2006/relationships/hyperlink" Target="http://www.nevo.co.il/law/70301/214.b1" TargetMode="External"/><Relationship Id="rId13" Type="http://schemas.openxmlformats.org/officeDocument/2006/relationships/hyperlink" Target="http://www.nevo.co.il/law/70301/214.b3" TargetMode="External"/><Relationship Id="rId14" Type="http://schemas.openxmlformats.org/officeDocument/2006/relationships/hyperlink" Target="http://www.nevo.co.il/law/70301/345.a.1" TargetMode="External"/><Relationship Id="rId15" Type="http://schemas.openxmlformats.org/officeDocument/2006/relationships/hyperlink" Target="http://www.nevo.co.il/law/70301/345.b.1" TargetMode="External"/><Relationship Id="rId16" Type="http://schemas.openxmlformats.org/officeDocument/2006/relationships/hyperlink" Target="http://www.nevo.co.il/law/70301/347.b" TargetMode="External"/><Relationship Id="rId17" Type="http://schemas.openxmlformats.org/officeDocument/2006/relationships/hyperlink" Target="http://www.nevo.co.il/law/70301/348.b" TargetMode="External"/><Relationship Id="rId18" Type="http://schemas.openxmlformats.org/officeDocument/2006/relationships/hyperlink" Target="http://www.nevo.co.il/law/70301/350" TargetMode="External"/><Relationship Id="rId19" Type="http://schemas.openxmlformats.org/officeDocument/2006/relationships/hyperlink" Target="http://www.nevo.co.il/law/70301/40ja.5" TargetMode="External"/><Relationship Id="rId20" Type="http://schemas.openxmlformats.org/officeDocument/2006/relationships/hyperlink" Target="http://www.nevo.co.il/law/70301/428" TargetMode="External"/><Relationship Id="rId21" Type="http://schemas.openxmlformats.org/officeDocument/2006/relationships/hyperlink" Target="http://www.nevo.co.il/case/22098064" TargetMode="External"/><Relationship Id="rId22" Type="http://schemas.openxmlformats.org/officeDocument/2006/relationships/hyperlink" Target="http://www.nevo.co.il/law/72507/3.a.6.a" TargetMode="External"/><Relationship Id="rId23" Type="http://schemas.openxmlformats.org/officeDocument/2006/relationships/hyperlink" Target="http://www.nevo.co.il/law/72507/5.a" TargetMode="External"/><Relationship Id="rId24" Type="http://schemas.openxmlformats.org/officeDocument/2006/relationships/hyperlink" Target="http://www.nevo.co.il/law/72507" TargetMode="External"/><Relationship Id="rId25" Type="http://schemas.openxmlformats.org/officeDocument/2006/relationships/hyperlink" Target="http://www.nevo.co.il/law/70301/348.b" TargetMode="External"/><Relationship Id="rId26" Type="http://schemas.openxmlformats.org/officeDocument/2006/relationships/hyperlink" Target="http://www.nevo.co.il/law/70301/345.b.1" TargetMode="External"/><Relationship Id="rId27" Type="http://schemas.openxmlformats.org/officeDocument/2006/relationships/hyperlink" Target="http://www.nevo.co.il/law/70301/350" TargetMode="External"/><Relationship Id="rId28" Type="http://schemas.openxmlformats.org/officeDocument/2006/relationships/hyperlink" Target="http://www.nevo.co.il/law/70301" TargetMode="External"/><Relationship Id="rId29" Type="http://schemas.openxmlformats.org/officeDocument/2006/relationships/hyperlink" Target="http://www.nevo.co.il/law/70301/345.b.1" TargetMode="External"/><Relationship Id="rId30" Type="http://schemas.openxmlformats.org/officeDocument/2006/relationships/hyperlink" Target="http://www.nevo.co.il/law/70301/345.a.1" TargetMode="External"/><Relationship Id="rId31" Type="http://schemas.openxmlformats.org/officeDocument/2006/relationships/hyperlink" Target="http://www.nevo.co.il/law/70301/350" TargetMode="External"/><Relationship Id="rId32" Type="http://schemas.openxmlformats.org/officeDocument/2006/relationships/hyperlink" Target="http://www.nevo.co.il/law/70301/214.b1" TargetMode="External"/><Relationship Id="rId33" Type="http://schemas.openxmlformats.org/officeDocument/2006/relationships/hyperlink" Target="http://www.nevo.co.il/law/70301/214.b3" TargetMode="External"/><Relationship Id="rId34" Type="http://schemas.openxmlformats.org/officeDocument/2006/relationships/hyperlink" Target="http://www.nevo.co.il/law/70301/192" TargetMode="External"/><Relationship Id="rId35" Type="http://schemas.openxmlformats.org/officeDocument/2006/relationships/hyperlink" Target="http://www.nevo.co.il/law/70301/428" TargetMode="External"/><Relationship Id="rId36" Type="http://schemas.openxmlformats.org/officeDocument/2006/relationships/hyperlink" Target="http://www.nevo.co.il/law/70301/347.b" TargetMode="External"/><Relationship Id="rId37" Type="http://schemas.openxmlformats.org/officeDocument/2006/relationships/hyperlink" Target="http://www.nevo.co.il/law/70301/345.a.1" TargetMode="External"/><Relationship Id="rId38" Type="http://schemas.openxmlformats.org/officeDocument/2006/relationships/hyperlink" Target="http://www.nevo.co.il/law/70301/345.b.1" TargetMode="External"/><Relationship Id="rId39" Type="http://schemas.openxmlformats.org/officeDocument/2006/relationships/hyperlink" Target="http://www.nevo.co.il/law/70301/350" TargetMode="External"/><Relationship Id="rId40" Type="http://schemas.openxmlformats.org/officeDocument/2006/relationships/hyperlink" Target="http://www.nevo.co.il/law/70301/428" TargetMode="External"/><Relationship Id="rId41" Type="http://schemas.openxmlformats.org/officeDocument/2006/relationships/hyperlink" Target="http://www.nevo.co.il/law/70301/25" TargetMode="External"/><Relationship Id="rId42" Type="http://schemas.openxmlformats.org/officeDocument/2006/relationships/hyperlink" Target="http://www.nevo.co.il/law/70301/40i.a.5" TargetMode="External"/><Relationship Id="rId43" Type="http://schemas.openxmlformats.org/officeDocument/2006/relationships/hyperlink" Target="http://www.nevo.co.il/law/70301/40i.a.6" TargetMode="External"/><Relationship Id="rId44" Type="http://schemas.openxmlformats.org/officeDocument/2006/relationships/hyperlink" Target="http://www.nevo.co.il/law/70301" TargetMode="External"/><Relationship Id="rId45" Type="http://schemas.openxmlformats.org/officeDocument/2006/relationships/hyperlink" Target="http://www.nevo.co.il/law/70301/40ja.5" TargetMode="External"/><Relationship Id="rId46" Type="http://schemas.openxmlformats.org/officeDocument/2006/relationships/hyperlink" Target="http://www.nevo.co.il/law/70301" TargetMode="External"/><Relationship Id="rId47" Type="http://schemas.openxmlformats.org/officeDocument/2006/relationships/hyperlink" Target="http://www.nevo.co.il/case/7980152" TargetMode="External"/><Relationship Id="rId48" Type="http://schemas.openxmlformats.org/officeDocument/2006/relationships/hyperlink" Target="http://www.nevo.co.il/case/21477237" TargetMode="External"/><Relationship Id="rId49" Type="http://schemas.openxmlformats.org/officeDocument/2006/relationships/hyperlink" Target="http://www.nevo.co.il/case/5875466" TargetMode="External"/><Relationship Id="rId50" Type="http://schemas.openxmlformats.org/officeDocument/2006/relationships/hyperlink" Target="http://www.nevo.co.il/case/18718560" TargetMode="External"/><Relationship Id="rId51" Type="http://schemas.openxmlformats.org/officeDocument/2006/relationships/hyperlink" Target="http://www.nevo.co.il/case/18718560" TargetMode="External"/><Relationship Id="rId52" Type="http://schemas.openxmlformats.org/officeDocument/2006/relationships/hyperlink" Target="http://www.nevo.co.il/case/10442769" TargetMode="External"/><Relationship Id="rId53" Type="http://schemas.openxmlformats.org/officeDocument/2006/relationships/hyperlink" Target="http://www.nevo.co.il/case/18093113" TargetMode="External"/><Relationship Id="rId54" Type="http://schemas.openxmlformats.org/officeDocument/2006/relationships/hyperlink" Target="http://www.nevo.co.il/case/6246845" TargetMode="External"/><Relationship Id="rId55" Type="http://schemas.openxmlformats.org/officeDocument/2006/relationships/hyperlink" Target="http://www.nevo.co.il/law/70301/40g" TargetMode="External"/><Relationship Id="rId56" Type="http://schemas.openxmlformats.org/officeDocument/2006/relationships/hyperlink" Target="http://www.nevo.co.il/law/70301" TargetMode="External"/><Relationship Id="rId57" Type="http://schemas.openxmlformats.org/officeDocument/2006/relationships/hyperlink" Target="http://www.nevo.co.il/law/70301" TargetMode="External"/><Relationship Id="rId58" Type="http://schemas.openxmlformats.org/officeDocument/2006/relationships/hyperlink" Target="https://supreme.court.gov.il/" TargetMode="External"/><Relationship Id="rId59" Type="http://schemas.openxmlformats.org/officeDocument/2006/relationships/hyperlink" Target="http://www.nevo.co.il/advertisements/nevo-100.doc" TargetMode="External"/><Relationship Id="rId60" Type="http://schemas.openxmlformats.org/officeDocument/2006/relationships/header" Target="header1.xml"/><Relationship Id="rId61" Type="http://schemas.openxmlformats.org/officeDocument/2006/relationships/footer" Target="footer1.xml"/><Relationship Id="rId62" Type="http://schemas.openxmlformats.org/officeDocument/2006/relationships/numbering" Target="numbering.xml"/><Relationship Id="rId63" Type="http://schemas.openxmlformats.org/officeDocument/2006/relationships/fontTable" Target="fontTable.xml"/><Relationship Id="rId64" Type="http://schemas.openxmlformats.org/officeDocument/2006/relationships/settings" Target="settings.xml"/><Relationship Id="rId6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2018-11-12T12:12:00Z</dcterms:created>
  <dc:creator> </dc:creator>
  <dc:description/>
  <cp:keywords/>
  <dc:language>en-IL</dc:language>
  <cp:lastModifiedBy>orly</cp:lastModifiedBy>
  <cp:lastPrinted>2018-11-08T09:20:00Z</cp:lastPrinted>
  <dcterms:modified xsi:type="dcterms:W3CDTF">2018-11-12T12:12:00Z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NOTES1">
    <vt:lpwstr>ProcID=133&amp;PartA=3091&amp;PartC=08</vt:lpwstr>
  </property>
  <property fmtid="{D5CDD505-2E9C-101B-9397-08002B2CF9AE}" pid="9" name="CASESLISTTMP1">
    <vt:lpwstr>24263089;22098064:2;7980152;21477237;18718560:2;10442769;18093113;6246845</vt:lpwstr>
  </property>
  <property fmtid="{D5CDD505-2E9C-101B-9397-08002B2CF9AE}" pid="10" name="CITY">
    <vt:lpwstr/>
  </property>
  <property fmtid="{D5CDD505-2E9C-101B-9397-08002B2CF9AE}" pid="11" name="DATE">
    <vt:lpwstr>20181111</vt:lpwstr>
  </property>
  <property fmtid="{D5CDD505-2E9C-101B-9397-08002B2CF9AE}" pid="12" name="DELEMATA">
    <vt:lpwstr/>
  </property>
  <property fmtid="{D5CDD505-2E9C-101B-9397-08002B2CF9AE}" pid="13" name="ISABSTRACT">
    <vt:lpwstr>Y</vt:lpwstr>
  </property>
  <property fmtid="{D5CDD505-2E9C-101B-9397-08002B2CF9AE}" pid="14" name="JUDGE">
    <vt:lpwstr>נ' הנדל;ד' מינץ;א' שטיין</vt:lpwstr>
  </property>
  <property fmtid="{D5CDD505-2E9C-101B-9397-08002B2CF9AE}" pid="15" name="LAWLISTTMP1">
    <vt:lpwstr>72507/003.a.6.a;005.a</vt:lpwstr>
  </property>
  <property fmtid="{D5CDD505-2E9C-101B-9397-08002B2CF9AE}" pid="16" name="LAWLISTTMP2">
    <vt:lpwstr>70301/348.b;345.b.1:3;350:3;345.a.1:2;214.b1;214.b3;192;428:2;347.b;025;040i.a.5;040i.a.6;40ja.5;040g</vt:lpwstr>
  </property>
  <property fmtid="{D5CDD505-2E9C-101B-9397-08002B2CF9AE}" pid="17" name="LAWYER">
    <vt:lpwstr>איתמר גלבפיש;אבי חימי;משה וייס</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פאני</vt:lpwstr>
  </property>
  <property fmtid="{D5CDD505-2E9C-101B-9397-08002B2CF9AE}" pid="24" name="NEWPARTA">
    <vt:lpwstr/>
  </property>
  <property fmtid="{D5CDD505-2E9C-101B-9397-08002B2CF9AE}" pid="25" name="NEWPARTB">
    <vt:lpwstr/>
  </property>
  <property fmtid="{D5CDD505-2E9C-101B-9397-08002B2CF9AE}" pid="26" name="NEWPARTC">
    <vt:lpwstr/>
  </property>
  <property fmtid="{D5CDD505-2E9C-101B-9397-08002B2CF9AE}" pid="27" name="NEWPROC">
    <vt:lpwstr/>
  </property>
  <property fmtid="{D5CDD505-2E9C-101B-9397-08002B2CF9AE}" pid="28" name="NOSE11">
    <vt:lpwstr>עונשין</vt:lpwstr>
  </property>
  <property fmtid="{D5CDD505-2E9C-101B-9397-08002B2CF9AE}" pid="29" name="NOSE110">
    <vt:lpwstr/>
  </property>
  <property fmtid="{D5CDD505-2E9C-101B-9397-08002B2CF9AE}" pid="30" name="NOSE12">
    <vt:lpwstr>עונשין</vt:lpwstr>
  </property>
  <property fmtid="{D5CDD505-2E9C-101B-9397-08002B2CF9AE}" pid="31" name="NOSE13">
    <vt:lpwstr>עונשין</vt:lpwstr>
  </property>
  <property fmtid="{D5CDD505-2E9C-101B-9397-08002B2CF9AE}" pid="32" name="NOSE14">
    <vt:lpwstr>עונשין</vt:lpwstr>
  </property>
  <property fmtid="{D5CDD505-2E9C-101B-9397-08002B2CF9AE}" pid="33" name="NOSE15">
    <vt:lpwstr>עונשין</vt:lpwstr>
  </property>
  <property fmtid="{D5CDD505-2E9C-101B-9397-08002B2CF9AE}" pid="34" name="NOSE16">
    <vt:lpwstr/>
  </property>
  <property fmtid="{D5CDD505-2E9C-101B-9397-08002B2CF9AE}" pid="35" name="NOSE17">
    <vt:lpwstr/>
  </property>
  <property fmtid="{D5CDD505-2E9C-101B-9397-08002B2CF9AE}" pid="36" name="NOSE18">
    <vt:lpwstr/>
  </property>
  <property fmtid="{D5CDD505-2E9C-101B-9397-08002B2CF9AE}" pid="37" name="NOSE19">
    <vt:lpwstr/>
  </property>
  <property fmtid="{D5CDD505-2E9C-101B-9397-08002B2CF9AE}" pid="38" name="NOSE1ID">
    <vt:lpwstr>77;77;77;77;77</vt:lpwstr>
  </property>
  <property fmtid="{D5CDD505-2E9C-101B-9397-08002B2CF9AE}" pid="39" name="NOSE21">
    <vt:lpwstr>ענישה</vt:lpwstr>
  </property>
  <property fmtid="{D5CDD505-2E9C-101B-9397-08002B2CF9AE}" pid="40" name="NOSE210">
    <vt:lpwstr/>
  </property>
  <property fmtid="{D5CDD505-2E9C-101B-9397-08002B2CF9AE}" pid="41" name="NOSE22">
    <vt:lpwstr>ענישה</vt:lpwstr>
  </property>
  <property fmtid="{D5CDD505-2E9C-101B-9397-08002B2CF9AE}" pid="42" name="NOSE23">
    <vt:lpwstr>ענישה</vt:lpwstr>
  </property>
  <property fmtid="{D5CDD505-2E9C-101B-9397-08002B2CF9AE}" pid="43" name="NOSE24">
    <vt:lpwstr>ענישה</vt:lpwstr>
  </property>
  <property fmtid="{D5CDD505-2E9C-101B-9397-08002B2CF9AE}" pid="44" name="NOSE25">
    <vt:lpwstr>ענישה</vt:lpwstr>
  </property>
  <property fmtid="{D5CDD505-2E9C-101B-9397-08002B2CF9AE}" pid="45" name="NOSE26">
    <vt:lpwstr/>
  </property>
  <property fmtid="{D5CDD505-2E9C-101B-9397-08002B2CF9AE}" pid="46" name="NOSE27">
    <vt:lpwstr/>
  </property>
  <property fmtid="{D5CDD505-2E9C-101B-9397-08002B2CF9AE}" pid="47" name="NOSE28">
    <vt:lpwstr/>
  </property>
  <property fmtid="{D5CDD505-2E9C-101B-9397-08002B2CF9AE}" pid="48" name="NOSE29">
    <vt:lpwstr/>
  </property>
  <property fmtid="{D5CDD505-2E9C-101B-9397-08002B2CF9AE}" pid="49" name="NOSE2ID">
    <vt:lpwstr>1446;1446;1446;1446;1446</vt:lpwstr>
  </property>
  <property fmtid="{D5CDD505-2E9C-101B-9397-08002B2CF9AE}" pid="50" name="NOSE31">
    <vt:lpwstr>מדיניות ענישה: עבירות שהתבצעו דרך רשת האינטרנט</vt:lpwstr>
  </property>
  <property fmtid="{D5CDD505-2E9C-101B-9397-08002B2CF9AE}" pid="51" name="NOSE310">
    <vt:lpwstr/>
  </property>
  <property fmtid="{D5CDD505-2E9C-101B-9397-08002B2CF9AE}" pid="52" name="NOSE32">
    <vt:lpwstr>מדיניות ענישה: עבירות מין בקטינים</vt:lpwstr>
  </property>
  <property fmtid="{D5CDD505-2E9C-101B-9397-08002B2CF9AE}" pid="53" name="NOSE33">
    <vt:lpwstr>מדיניות ענישה: שיקולים</vt:lpwstr>
  </property>
  <property fmtid="{D5CDD505-2E9C-101B-9397-08002B2CF9AE}" pid="54" name="NOSE34">
    <vt:lpwstr>מדיניות ענישה: התערבות ערכאת ערעור</vt:lpwstr>
  </property>
  <property fmtid="{D5CDD505-2E9C-101B-9397-08002B2CF9AE}" pid="55" name="NOSE35">
    <vt:lpwstr>עקרון ההלימה‏</vt:lpwstr>
  </property>
  <property fmtid="{D5CDD505-2E9C-101B-9397-08002B2CF9AE}" pid="56" name="NOSE36">
    <vt:lpwstr/>
  </property>
  <property fmtid="{D5CDD505-2E9C-101B-9397-08002B2CF9AE}" pid="57" name="NOSE37">
    <vt:lpwstr/>
  </property>
  <property fmtid="{D5CDD505-2E9C-101B-9397-08002B2CF9AE}" pid="58" name="NOSE38">
    <vt:lpwstr/>
  </property>
  <property fmtid="{D5CDD505-2E9C-101B-9397-08002B2CF9AE}" pid="59" name="NOSE39">
    <vt:lpwstr/>
  </property>
  <property fmtid="{D5CDD505-2E9C-101B-9397-08002B2CF9AE}" pid="60" name="NOSE3ID">
    <vt:lpwstr>17069;16970;8994;8982;14799</vt:lpwstr>
  </property>
  <property fmtid="{D5CDD505-2E9C-101B-9397-08002B2CF9AE}" pid="61" name="PADIDATE">
    <vt:lpwstr>20181112</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עפ</vt:lpwstr>
  </property>
  <property fmtid="{D5CDD505-2E9C-101B-9397-08002B2CF9AE}" pid="66" name="PROCNUM">
    <vt:lpwstr>3792</vt:lpwstr>
  </property>
  <property fmtid="{D5CDD505-2E9C-101B-9397-08002B2CF9AE}" pid="67" name="PROCYEAR">
    <vt:lpwstr>18</vt:lpwstr>
  </property>
  <property fmtid="{D5CDD505-2E9C-101B-9397-08002B2CF9AE}" pid="68" name="PSAKDIN">
    <vt:lpwstr>פסק-דין</vt:lpwstr>
  </property>
  <property fmtid="{D5CDD505-2E9C-101B-9397-08002B2CF9AE}" pid="69" name="TYPE">
    <vt:lpwstr>1</vt:lpwstr>
  </property>
  <property fmtid="{D5CDD505-2E9C-101B-9397-08002B2CF9AE}" pid="70" name="TYPE_ABS_DATE">
    <vt:lpwstr>410120181111</vt:lpwstr>
  </property>
  <property fmtid="{D5CDD505-2E9C-101B-9397-08002B2CF9AE}" pid="71" name="TYPE_N_DATE">
    <vt:lpwstr>41020181111</vt:lpwstr>
  </property>
  <property fmtid="{D5CDD505-2E9C-101B-9397-08002B2CF9AE}" pid="72" name="VOLUME">
    <vt:lpwstr/>
  </property>
  <property fmtid="{D5CDD505-2E9C-101B-9397-08002B2CF9AE}" pid="73" name="WORDNUMPAGES">
    <vt:lpwstr>13</vt:lpwstr>
  </property>
</Properties>
</file>