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3793/18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9057/18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5591/19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ascii="David" w:hAnsi="David"/>
                <w:rtl w:val="true"/>
              </w:rPr>
              <w:t xml:space="preserve">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 xml:space="preserve">פ </w:t>
            </w:r>
            <w:r>
              <w:rPr>
                <w:rFonts w:cs="Calibri" w:ascii="Calibri" w:hAnsi="Calibri"/>
              </w:rPr>
              <w:t>3793/18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9057/18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5591/19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45514-04-16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מרשק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28.05.2017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45561-04-17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12.11.2018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17.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ascii="Century" w:hAnsi="Century" w:cs="FrankRuehl"/>
                <w:spacing w:val="10"/>
                <w:rtl w:val="true"/>
              </w:rPr>
              <w:t>ים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</w:t>
            </w:r>
            <w:r>
              <w:rPr>
                <w:rFonts w:ascii="Century" w:hAnsi="Century" w:cs="FrankRuehl"/>
                <w:spacing w:val="10"/>
                <w:rtl w:val="true"/>
              </w:rPr>
              <w:t>ע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פ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3793/18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זאב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וולף</w:t>
            </w:r>
            <w:r>
              <w:rPr>
                <w:rFonts w:cs="FrankRuehl" w:ascii="Century" w:hAnsi="Century"/>
                <w:spacing w:val="10"/>
                <w:rtl w:val="true"/>
              </w:rPr>
              <w:t xml:space="preserve">; </w:t>
            </w: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יהודה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נדב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Century" w:hAnsi="Century" w:cs="FrankRuehl"/>
                <w:spacing w:val="10"/>
                <w:sz w:val="16"/>
                <w:szCs w:val="20"/>
              </w:rPr>
            </w:pPr>
            <w:r>
              <w:rPr>
                <w:rFonts w:cs="FrankRuehl" w:ascii="Century" w:hAnsi="Century"/>
                <w:spacing w:val="10"/>
                <w:sz w:val="16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</w:t>
            </w:r>
            <w:r>
              <w:rPr>
                <w:rFonts w:ascii="Century" w:hAnsi="Century" w:cs="FrankRuehl"/>
                <w:spacing w:val="10"/>
                <w:rtl w:val="true"/>
              </w:rPr>
              <w:t>ע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פ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9057/18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Century" w:hAnsi="Century" w:cs="FrankRuehl"/>
                <w:spacing w:val="10"/>
                <w:sz w:val="16"/>
                <w:szCs w:val="20"/>
              </w:rPr>
            </w:pPr>
            <w:r>
              <w:rPr>
                <w:rFonts w:cs="FrankRuehl" w:ascii="Century" w:hAnsi="Century"/>
                <w:spacing w:val="10"/>
                <w:sz w:val="16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עדי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קידר</w:t>
            </w:r>
            <w:r>
              <w:rPr>
                <w:rFonts w:cs="FrankRuehl" w:ascii="Century" w:hAnsi="Century"/>
                <w:spacing w:val="10"/>
                <w:rtl w:val="true"/>
              </w:rPr>
              <w:t xml:space="preserve">; </w:t>
            </w: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אלינור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הרצקה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Century" w:hAnsi="Century" w:cs="FrankRuehl"/>
                <w:spacing w:val="10"/>
              </w:rPr>
            </w:pPr>
            <w:r>
              <w:rPr>
                <w:rFonts w:cs="FrankRuehl" w:ascii="Century" w:hAnsi="Century"/>
                <w:spacing w:val="10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</w:t>
            </w:r>
            <w:r>
              <w:rPr>
                <w:rFonts w:ascii="Century" w:hAnsi="Century" w:cs="FrankRuehl"/>
                <w:spacing w:val="10"/>
                <w:rtl w:val="true"/>
              </w:rPr>
              <w:t>ע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פ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5591/19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cs="FrankRuehl" w:ascii="Century" w:hAnsi="Century"/>
                <w:spacing w:val="1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Century" w:hAnsi="Century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הבר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חי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המשיבה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שרית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עמנואל גרוס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מאבקה של דמוקרטיה בטרור – היבטים משפטיים ומוסריים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ליאת לבנון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חברות בארגון טרור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1945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332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בפרק 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שעניינו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בפרק 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2016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</w:rPr>
          <w:t>19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22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</w:rPr>
          <w:t>101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קובע כי ניתן להרשיע פעילי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בצעו את העבירות בקבוצה המונה שני אנשים ומעלה בעבירה של חברות בארגון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הכרזה על ארגון כארגון טרור אינה תנאי לאישום ולהרשעה בעבירה של חברות בארגון טרור אלא היא כלי עזר ראייתי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 רשאית להוכיח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בדרכי ההוכחה הרגילות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חבר אנשים הינו ארגון טרוריסטי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שאכן נעשה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חברות בארגון טרוריסטי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אידיאולוגי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 בארגון טרור 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שלושה ערעורים שהדיון בהם אוחד המכוונים נגד שלושה פסקי דין שעניינם במסכת מעשי אלימות כלפי גוף ורכוש שביצעו המערערים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 w:val="24"/>
          <w:szCs w:val="26"/>
        </w:rPr>
        <w:t>2000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קטין בעת ביצוע כל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 w:val="24"/>
          <w:szCs w:val="26"/>
        </w:rPr>
        <w:t>1997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 w:val="24"/>
          <w:szCs w:val="26"/>
        </w:rPr>
        <w:t>1994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שהיו קטינים בעת ביצוע חלק מהעבירות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יליד </w:t>
      </w:r>
      <w:r>
        <w:rPr>
          <w:rFonts w:cs="Times New Roman" w:ascii="Times New Roman" w:hAnsi="Times New Roman"/>
          <w:spacing w:val="0"/>
          <w:sz w:val="24"/>
          <w:szCs w:val="26"/>
        </w:rPr>
        <w:t>1999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היה קטין בעת ביצוע כל העבירות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כיום בן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בשנים </w:t>
      </w:r>
      <w:r>
        <w:rPr>
          <w:rFonts w:cs="Times New Roman" w:ascii="Times New Roman" w:hAnsi="Times New Roman"/>
          <w:spacing w:val="0"/>
          <w:sz w:val="24"/>
          <w:szCs w:val="26"/>
        </w:rPr>
        <w:t>2016-2011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 פלסטינים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תפיסה אידיאולוגית גזענית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המכונה פעולות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לגבי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נקבע כי העבירות בוצעו במסגרת חברות בארגון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נדון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 ותקופת שהותו במעון נעול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עסר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נדון לארבע שנות מאסר בפועל וקפלן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היה שותף אך לשניים מהאירועים שיוחסו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ולאחים נדון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כולם לצד עונשים נלויים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הטענה המרכזית בערעור על הכרעת הדין נוגעת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חברות בארגון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3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מניעת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טרור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מלינים כל המערערים על חומרת 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המשנה לנשיאה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 והשופטת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ערעורו של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דוחה את ערעורם של האחים על הכרעת הדין שעה שהרשעתם ניתנה 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הודאתם במסגרת הסדר טיעון ולא נמצא ממש בהצדקתם לערעור בטענה לכשל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כי הטענות נדונו כמפורט בהמשך במסגרת ערעורו של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הורשעו כאמור בעבירה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 בארגון טרור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3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מניעת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טרור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3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מניעת טרור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חוק המאבק בטרור שהחליף אותה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נועדו להתמודד עם סכנותיו של טרור מאורגן הגלומות בפעילות מאורגנת של חבר בני אדם הנוקטים בפעולותיהם מעשי אלימות נגד החיים והרכוש ממניעים אידיאולוגיים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ארגון טרוריסטי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מוגדר בפקודה בלשון 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פורש בפסיקה בפרשנות תכליתית מצמצמת ההולמת את רוח הפקודה בכללותה ואת תכליתה להתמודד עם תופעות הטרור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בפסיקה כי ייחודו של ארגון טרוריסטי בא לידי ביטוי בשניים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מניעיהם של אנשי הארגון הם אידיאולוגיים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ומטרתם אינה עבריינית גרידא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מכוונת להשגת יעד של שינוי מדיניות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 פעילות של אלימות עבריינית שאינה אלימות אידיאולוגית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כזו שבוצעה במסגרת ארגון פשיעה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בגדר פעילות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מאחורי מעשי האלימות שעושה הארגון עומדת הכוונה להשיג את מטרותיו באמצעות הטלת אימה ופחד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אין זה תנאי כי לארגון יהיה מבנה פורמלי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שאין צורך להוכיח קיומה של היררכיה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ודרכי החברות בארגון יכולות להיות רבות ומגוונות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ספק כי המעשים בגינם הורשע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מעשיו של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שנעשו בצוותא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מהווים מעשי טרור במסגרת 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הן לפי ההגדרות הרחבות של </w:t>
      </w:r>
      <w:hyperlink r:id="rId3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מניעת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טרור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והן לפי ההגדרות הממוקדות של חוק המאבק בטרור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בין היתר החליף את ההוראות בדברי החקיקה השונים שעסקו בנושא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מבהיר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הכרזה על ארגון כארגון טרור אינה תנאי לאישום ולהרשעה בעבירה של חברות בארגון 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לפי הפקודה ולא לפי החוק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היא כלי עזר ראייתי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העובדה שלא קדמה להגשת כתב האישום הכרזה לפי הפקודה על פעילי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 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ארגון טרוריסטי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שוללת את האפשרות להרשיע פעילים אלה בעבירה של חברות בארגון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הכרזה כי חבר אנשים מסוים הינו ארגון טרוריסטי תשמש הוכחה לכך אלא אם יוכח ההיפך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פתוחה בפני התביעה האפשרות להוכיח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בדרכי ההוכחה הרגילות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חבר אנשים הינו ארגון טרוריסטי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שאכן נעשה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לתנאי הבסיסי בדבר פעילות במסגרת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 אנשים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משמעותו היא חבורה של יותר מאדם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ואין לקרוא לתוך מונח זה דרישה מספרית שאין לה עיגון בפקודה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לא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למאפייני 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בפרט הבחירה של יעדי פעולות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המעידה על מניע אידיאולוגי מובהק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הפעילות בדפוס שיטתי ומתמשך מאותם מניעים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ההצטיידות המוקדמת בכלים מתאימים בהתאם לאופי הפיגוע המתוכנן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ונסיבות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המלמדות על חלוקת תפקידים ומשימות ברורה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חברותו של המערער בארגון נלמדת מפעולותיו בצוותא יחד עם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להוצאת פיגועים כנגד אזרחים ערבים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שכללו בין היתר יידוי בקבוקי תבערה לתוך בית מאוכלס באישון 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רימוני גז לעבר בית מאוכלס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 לעבר רכבים נוסעים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הצתת רכבים ותקיפה אכזרית של עובר אורח פלסטיני מבוגר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חלק מפעולות אלה לוו בריסוס כתובות שהצביעו בבירור על מהותן ותכליתן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שנקבע בצדק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באירועים אקראיים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ברצף של עבירות שבמרכזם הכוונה לפגוע בגוף וברכוש של פלסטינים חפים מפשע לשם הטלת אימה ממניעים אידיאולוגיים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לחוות דעתו של המומחה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 שלוחה בשב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 המכונה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 די בתשתית העובדתית שהוכחה כדי לבסס את האישום וההרשעה בחברות בארגון טרוריסטי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ולמעשה לא נדרשה חוות דעת מומחה לשם ביסוס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ממש בטענות לגופן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ביתר טענות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גזרי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כבר עמד על החומרה היתרה הגלומה בעבירות על רקע 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גזעני ובהתאם לכך נקבעה בפסיקה מדיניות ענישה מחמירה בעבירות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נדחים ככלל שיקולי ענישה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ובהם נסיבות אישיות ושיקולי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מפני 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ההגנה על 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הציבור וביטחונו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ושיקולי הרתעת היחיד והרבים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זה כוחו יפה גם כאשר מדובר בעבריינים צעירים וקטינים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 שהושתו על המערערים במקרה דנן אינם מן החמורים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ומשקפים לצד מדיניות ענישה מחמירה כנדרש בעבירות כגון אלה גם התחשבות לא מבוטלת בנסיבותיו האישיות של כל אחד מהמערערים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בגילם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בהיעדרו של עבר פלילי ובשיקולי שיקום באשר לכל אחד ואחד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כמפורט באריכות בגזרי הדין של בתי המשפט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שנפלה כל שגגה בגזרי הדין בעניינם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השיקום המרשים והחריג שעבר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במובחן מיתר המערערים שאף הם עברו כברת דרך מבחינה שיקומית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גם בגילו הצעיר בעת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יש מקום להקלת מה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כמסר של עידוד ותמיכה להתמדה בדרכו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ולהפחית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מעונש המאסר לריצוי בפועל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ולהעמידו על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יתר חלקי גזר דינו 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":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45514-04-16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בעניינם של שלושת המערערים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3793/18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ושלושתם יחד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ובעניינו של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5591/19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וכן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45561-04-17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בעניינו של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9057/18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כמתואר בחלק הכללי של כתבי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השנים </w:t>
      </w:r>
      <w:r>
        <w:rPr>
          <w:rFonts w:cs="Century" w:ascii="Century" w:hAnsi="Century"/>
        </w:rPr>
        <w:t>2013-2009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בוצעו על ידי פעילים יהודים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במקומות שונים ברחבי המדינה ובשטחי אזור יהודה ושומרון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פעולות שונות שכונו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אופיינו בנקיטת מעשים פליליים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הפצת תעמולה ופרסום המעשים בדרך פרובוקטיבית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הפעולות כללו בין היתר פגיעה פיזית בפלסטינים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הצתות רכוש השייך לפלסטינים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מבני מגורים וכלי 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וריסוס כתובות בעלות תוכן פרובוקטיבי ומתריס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מבצעי הפעולות ביקשו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לזרוע פחד ובהלה בקרב התושבים הפלסטינים בשטחי יהודה ושומרון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ולהעביר מסרים מתריסים לכוחות הביטחון ולציבור במדינת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המאבק בפעילי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הכריז שר הביטחון ביום </w:t>
      </w:r>
      <w:r>
        <w:rPr>
          <w:rFonts w:cs="Century" w:ascii="Century" w:hAnsi="Century"/>
        </w:rPr>
        <w:t>2.8.2013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כך שכל חבר בני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מאוגד ובין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המכנה עצמו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 משתמש בביטוי זה או בביטוי בעל משמעות דומה במסגרת פעולותיו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בגדר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כמשמעותו ב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ההגנה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חירום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1945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כתבי האישום שהוגשו נגד המערערים ייחסו להם שורה ארוכה של מעשי אלימות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 xml:space="preserve">כתב אישום אחד הוגש נגד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ושלושת האחים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 אישום נפרד הוגש נגד 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היה שותף אך לשניים מהאירועים שיוחסו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ולאחים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להלן פירוט תמציתי של האישומים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76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בתקופה הרלבנטית לכתב האישום היו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חברים בארגון טרור שמטרתו לגרום לבהלה בקרב האוכלוסייה הפלסטינית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 חברותם בארגון זה ביצע כל אחד מהם את חלקו בעבירות מושא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באישום זה יוחסה </w:t>
      </w:r>
      <w:r>
        <w:rPr>
          <w:rFonts w:ascii="Century" w:hAnsi="Century" w:cs="Century"/>
          <w:rtl w:val="true"/>
        </w:rPr>
        <w:t xml:space="preserve">לשניים </w:t>
      </w:r>
      <w:r>
        <w:rPr>
          <w:rFonts w:ascii="Century" w:hAnsi="Century" w:cs="Century"/>
          <w:rtl w:val="true"/>
        </w:rPr>
        <w:t>עבירה של חברות בארגון טרוריסטי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1948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בתקופה הרלבנטית לכתב האישום החביאו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ביישוב נחליאל ארגז ובתוכו פרטי ציוד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כלי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השתמשו לצורך ביצוע פיגועי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הארגז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בגין אישום זה יוחסה לשלושה עבירה של החזקת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יוחסה בנוסף עבירה של החזקת תחמושת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על רקע מעצר החשודים בהצתת הבית בכפר דומא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דומא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קשרו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spacing w:val="8"/>
          <w:rtl w:val="true"/>
        </w:rPr>
        <w:t xml:space="preserve">קשר לביצוע פיגוע כלפי אוכלוסייה ערבית במטרה להעביר מסר לגורמי הממשל בישראל כי המעצרים והחקירות בפרשת דומא לא יביאו לסיכול פיגועי </w:t>
      </w:r>
      <w:r>
        <w:rPr>
          <w:rFonts w:cs="Century" w:ascii="Century" w:hAnsi="Century"/>
          <w:spacing w:val="8"/>
          <w:rtl w:val="true"/>
        </w:rPr>
        <w:t>"</w:t>
      </w:r>
      <w:r>
        <w:rPr>
          <w:rFonts w:ascii="Century" w:hAnsi="Century" w:cs="Century"/>
          <w:spacing w:val="8"/>
          <w:rtl w:val="true"/>
        </w:rPr>
        <w:t>תג מחיר</w:t>
      </w:r>
      <w:r>
        <w:rPr>
          <w:rFonts w:cs="Century" w:ascii="Century" w:hAnsi="Century"/>
          <w:spacing w:val="8"/>
          <w:rtl w:val="true"/>
        </w:rPr>
        <w:t xml:space="preserve">". </w:t>
      </w:r>
      <w:r>
        <w:rPr>
          <w:rFonts w:ascii="Century" w:hAnsi="Century" w:cs="Century"/>
          <w:spacing w:val="8"/>
          <w:rtl w:val="true"/>
        </w:rPr>
        <w:t>במסגרת הקשר נטלו השניים מהארגז רימוני גז צה</w:t>
      </w:r>
      <w:r>
        <w:rPr>
          <w:rFonts w:cs="Century" w:ascii="Century" w:hAnsi="Century"/>
          <w:spacing w:val="8"/>
          <w:rtl w:val="true"/>
        </w:rPr>
        <w:t>"</w:t>
      </w:r>
      <w:r>
        <w:rPr>
          <w:rFonts w:ascii="Century" w:hAnsi="Century" w:cs="Century"/>
          <w:spacing w:val="8"/>
          <w:rtl w:val="true"/>
        </w:rPr>
        <w:t>ליים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ולאחר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spacing w:val="8"/>
          <w:rtl w:val="true"/>
        </w:rPr>
        <w:t>שניקו את הרימונים מטביעות אצבע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כיסו את פניהם ועטו כפפות על ידיהם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צעדו רגלית עד לפאתי הכפר ביתילו</w:t>
      </w:r>
      <w:r>
        <w:rPr>
          <w:rFonts w:cs="Century" w:ascii="Century" w:hAnsi="Century"/>
          <w:spacing w:val="8"/>
          <w:rtl w:val="true"/>
        </w:rPr>
        <w:t xml:space="preserve">. </w:t>
      </w:r>
      <w:r>
        <w:rPr>
          <w:rFonts w:ascii="Century" w:hAnsi="Century" w:cs="Century"/>
          <w:spacing w:val="8"/>
          <w:rtl w:val="true"/>
        </w:rPr>
        <w:t xml:space="preserve">בסמוך לשעה </w:t>
      </w:r>
      <w:r>
        <w:rPr>
          <w:rFonts w:cs="Century" w:ascii="Century" w:hAnsi="Century"/>
          <w:spacing w:val="8"/>
        </w:rPr>
        <w:t>01:30</w:t>
      </w:r>
      <w:r>
        <w:rPr>
          <w:rFonts w:cs="Century" w:ascii="Century" w:hAnsi="Century"/>
          <w:spacing w:val="8"/>
          <w:rtl w:val="true"/>
        </w:rPr>
        <w:t xml:space="preserve"> </w:t>
      </w:r>
      <w:r>
        <w:rPr>
          <w:rFonts w:ascii="Century" w:hAnsi="Century" w:cs="Century"/>
          <w:spacing w:val="8"/>
          <w:rtl w:val="true"/>
        </w:rPr>
        <w:t>אחר חצות הגיעו השניים לבית משפחת נג</w:t>
      </w:r>
      <w:r>
        <w:rPr>
          <w:rFonts w:cs="Century" w:ascii="Century" w:hAnsi="Century"/>
          <w:spacing w:val="8"/>
          <w:rtl w:val="true"/>
        </w:rPr>
        <w:t>'</w:t>
      </w:r>
      <w:r>
        <w:rPr>
          <w:rFonts w:ascii="Century" w:hAnsi="Century" w:cs="Century"/>
          <w:spacing w:val="8"/>
          <w:rtl w:val="true"/>
        </w:rPr>
        <w:t>אר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בו ישנו אותה עת בני הזוג נג</w:t>
      </w:r>
      <w:r>
        <w:rPr>
          <w:rFonts w:cs="Century" w:ascii="Century" w:hAnsi="Century"/>
          <w:spacing w:val="8"/>
          <w:rtl w:val="true"/>
        </w:rPr>
        <w:t>'</w:t>
      </w:r>
      <w:r>
        <w:rPr>
          <w:rFonts w:ascii="Century" w:hAnsi="Century" w:cs="Century"/>
          <w:spacing w:val="8"/>
          <w:rtl w:val="true"/>
        </w:rPr>
        <w:t>אר ובנם הפעוט</w:t>
      </w:r>
      <w:r>
        <w:rPr>
          <w:rFonts w:cs="Century" w:ascii="Century" w:hAnsi="Century"/>
          <w:spacing w:val="8"/>
          <w:rtl w:val="true"/>
        </w:rPr>
        <w:t xml:space="preserve">. </w:t>
      </w:r>
      <w:r>
        <w:rPr>
          <w:rFonts w:ascii="Century" w:hAnsi="Century" w:cs="Century"/>
          <w:spacing w:val="8"/>
          <w:rtl w:val="true"/>
        </w:rPr>
        <w:t>בהגיעם לבית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 xml:space="preserve">ריסס </w:t>
      </w:r>
      <w:r>
        <w:rPr>
          <w:rFonts w:ascii="Century" w:hAnsi="Century" w:cs="Miriam"/>
          <w:b/>
          <w:b/>
          <w:spacing w:val="8"/>
          <w:szCs w:val="24"/>
          <w:rtl w:val="true"/>
        </w:rPr>
        <w:t>מ</w:t>
      </w:r>
      <w:r>
        <w:rPr>
          <w:rFonts w:cs="Miriam" w:ascii="Century" w:hAnsi="Century"/>
          <w:b/>
          <w:spacing w:val="8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8"/>
          <w:szCs w:val="24"/>
          <w:rtl w:val="true"/>
        </w:rPr>
        <w:t>ח</w:t>
      </w:r>
      <w:r>
        <w:rPr>
          <w:rFonts w:ascii="Century" w:hAnsi="Century" w:cs="Century"/>
          <w:spacing w:val="8"/>
          <w:rtl w:val="true"/>
        </w:rPr>
        <w:t xml:space="preserve"> על קיר את הכתובת </w:t>
      </w:r>
      <w:r>
        <w:rPr>
          <w:rFonts w:cs="Century" w:ascii="Century" w:hAnsi="Century"/>
          <w:spacing w:val="8"/>
          <w:rtl w:val="true"/>
        </w:rPr>
        <w:t>"</w:t>
      </w:r>
      <w:r>
        <w:rPr>
          <w:rFonts w:ascii="Century" w:hAnsi="Century" w:cs="Century"/>
          <w:spacing w:val="8"/>
          <w:rtl w:val="true"/>
        </w:rPr>
        <w:t>נקמה ד</w:t>
      </w:r>
      <w:r>
        <w:rPr>
          <w:rFonts w:cs="Century" w:ascii="Century" w:hAnsi="Century"/>
          <w:spacing w:val="8"/>
          <w:rtl w:val="true"/>
        </w:rPr>
        <w:t>"</w:t>
      </w:r>
      <w:r>
        <w:rPr>
          <w:rFonts w:ascii="Century" w:hAnsi="Century" w:cs="Century"/>
          <w:spacing w:val="8"/>
          <w:rtl w:val="true"/>
        </w:rPr>
        <w:t>ש עצורי ציון</w:t>
      </w:r>
      <w:r>
        <w:rPr>
          <w:rFonts w:cs="Century" w:ascii="Century" w:hAnsi="Century"/>
          <w:spacing w:val="8"/>
          <w:rtl w:val="true"/>
        </w:rPr>
        <w:t xml:space="preserve">", </w:t>
      </w:r>
      <w:r>
        <w:rPr>
          <w:rFonts w:ascii="Century" w:hAnsi="Century" w:cs="Century"/>
          <w:spacing w:val="8"/>
          <w:rtl w:val="true"/>
        </w:rPr>
        <w:t>ולאחר מכן ניפצו השניים חלון בבית דרכו השליכו את הרימונים בזה אחר זה לתוך הבית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ונמלטו בריצה מהמקום</w:t>
      </w:r>
      <w:r>
        <w:rPr>
          <w:rFonts w:cs="Century" w:ascii="Century" w:hAnsi="Century"/>
          <w:spacing w:val="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spacing w:val="8"/>
          <w:rtl w:val="true"/>
        </w:rPr>
        <w:t>כתוצאה משאיפת הגז שהתפזר בבית החלו בני הבית לדמוע ולחוש חנק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ונסו על נפשם</w:t>
      </w:r>
      <w:r>
        <w:rPr>
          <w:rFonts w:cs="Century" w:ascii="Century" w:hAnsi="Century"/>
          <w:spacing w:val="8"/>
          <w:rtl w:val="true"/>
        </w:rPr>
        <w:t xml:space="preserve">. </w:t>
      </w:r>
      <w:r>
        <w:rPr>
          <w:rFonts w:ascii="Century" w:hAnsi="Century" w:cs="Century"/>
          <w:spacing w:val="8"/>
          <w:rtl w:val="true"/>
        </w:rPr>
        <w:t>בגין אישום זה יוחסו לשניים עבירות של ניסיון לחבלה חמורה בנסיבות מחמירות</w:t>
      </w:r>
      <w:r>
        <w:rPr>
          <w:rFonts w:cs="Century" w:ascii="Century" w:hAnsi="Century"/>
          <w:spacing w:val="8"/>
          <w:rtl w:val="true"/>
        </w:rPr>
        <w:t xml:space="preserve">; </w:t>
      </w:r>
      <w:r>
        <w:rPr>
          <w:rFonts w:ascii="Century" w:hAnsi="Century" w:cs="Century"/>
          <w:spacing w:val="8"/>
          <w:rtl w:val="true"/>
        </w:rPr>
        <w:t>נשיאת נשק</w:t>
      </w:r>
      <w:r>
        <w:rPr>
          <w:rFonts w:cs="Century" w:ascii="Century" w:hAnsi="Century"/>
          <w:spacing w:val="8"/>
          <w:rtl w:val="true"/>
        </w:rPr>
        <w:t xml:space="preserve">; </w:t>
      </w:r>
      <w:r>
        <w:rPr>
          <w:rFonts w:ascii="Century" w:hAnsi="Century" w:cs="Century"/>
          <w:spacing w:val="8"/>
          <w:rtl w:val="true"/>
        </w:rPr>
        <w:t>קשירת קשר לביצוע פשע</w:t>
      </w:r>
      <w:r>
        <w:rPr>
          <w:rFonts w:cs="Century" w:ascii="Century" w:hAnsi="Century"/>
          <w:spacing w:val="8"/>
          <w:rtl w:val="true"/>
        </w:rPr>
        <w:t xml:space="preserve">; </w:t>
      </w:r>
      <w:r>
        <w:rPr>
          <w:rFonts w:ascii="Century" w:hAnsi="Century" w:cs="Century"/>
          <w:spacing w:val="8"/>
          <w:rtl w:val="true"/>
        </w:rPr>
        <w:t>והשחתת פני מקרקעין ממניע גזעני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על רקע פיגועי טרור שבוצעו במהלך חודש נובמבר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 אזרחים יהודים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החליטו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להוציא אל הפועל פיגועי נקמה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וקשרו קשר להצתת מבנה בו שוהים פלסטינים תושבי האזור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הקשר מומש ביום </w:t>
      </w:r>
      <w:r>
        <w:rPr>
          <w:rFonts w:cs="Century" w:ascii="Century" w:hAnsi="Century"/>
        </w:rPr>
        <w:t>20.11.2015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בשעת לילה נטלו עמם ציוד מתאים מהארגז והתקדמו לעבר הכפר מזרעה אל קבליה הסמוך למקום מגוריהם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שכיסו את פניהם ועטו כפפות על ידיהם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04:00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לפנות בוקר הגיעו השניים לביתה של משפחת אבו קרע שבכפר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בו ישנו אותה עת בני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ובהם אם ובנה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ריסס על אחד מקירות הבית את הכתובת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יהודים להתעורר מוות לערבים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והשניים ניפצו חלק מחלונות הבית והשליכו לתוכו בקבוקי תבערה לשני חלקים שונים בבית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הבקבוק שהושלך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פגע ברשת שעל החלון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התנפץ ונפל מחוץ לבית כשהוא בוער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הבקבוק שהושלך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פגע בשולחן פלסטיק בכניסה למבואה וגרם לחריכתו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באישום זה יוחסו לשניים עבירות של 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חבלה בכוונה מחמירה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קשירת קשר לביצוע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נשיאת 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והשחתת פני מקרקעין ממניע גזעני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spacing w:lineRule="auto" w:line="240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בליל ה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1.10.2015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קשרו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ושלושת האחים קשר לבצע פיגוע תגמול בתגובה לפיגוע שבו נרצחו בני הזוג הנקין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22:00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העמיסו הארבעה אבנים על רכב ויצאו לדרכם לעבר הכפר דיר איבזיע כאשר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נוהג ברכב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אימת שהבחינו במכונית נושאת לוחית זיהוי פלסטינית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את מהירות הנסיעה ושלושת האחרים יידו אבנים לעבר כלי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הסיע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שלושת האחרים לכיוון הכפר ביתילו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שהורידם המשיכו השלושה לכפר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משהבחינו ברכב פלסטיני חונה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ריסס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כתובת על קיר בית סמוך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מנקמה הינקין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ניפץ את החלון האחורי ברכב הפלסטיני באמצעות אבן ושפך בנזין על ספסל המושב האחורי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הצית את האש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01:30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 המתין 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בנקודת מסתור ביישוב זית רענן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ואסף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שסוכם ביניהם מבעוד מועד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אישום זה יוחסו ל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ולשלושת האחים עבירות 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יידוי אבן לעבר כלי תחבורה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היזק בזדון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וקשירת קשר לביצוע פשע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יוחסו ל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 של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והשחתת פני מקרקעין ממניע 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יוחסה עבירה של סיוע להצתה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spacing w:lineRule="auto" w:line="240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30.6.2015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קשרו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קשר במהלך נסיעה מהיישוב נחליאל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אם ייתקלו במהלך הנסיעה בערבי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נהג ברכב על אף שבאותה עת לא החזיק ברישיון נהיגה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הארבעה עצרו בדרך לצורך הצטיידות במקלות ובכפיסי עץ וכששבו לרכב שמו פעמיהם לכיוון הכפר הפלסטיני ראס כרכר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בסמוך לכפר הבחינו הארבעה במחמוד נופל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תושב הכפר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1955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שעסק אותה עת בעבודה חקלאית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ועצרו את הרכב בסמוך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אז יצאו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מהרכב כשהם רעולי פנים ומצוידים במקלות ובגז מדמיע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ויחדיו ריססו בפני המתלונן גז מדמיע והיכו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נגרמו למתלונן פצעים בצלעותיו ובידו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באישום זה יוחסו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עבירות של תקיפה בנסיבות מחמירות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וקשירת קשר לביצוע פשע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יוחסה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עבירה של נהיגה ללא רישיון נהיגה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עובר ליום </w:t>
      </w:r>
      <w:r>
        <w:rPr>
          <w:rFonts w:cs="Century" w:ascii="Century" w:hAnsi="Century"/>
        </w:rPr>
        <w:t>29.7.2014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קשר לביצוע פיגוע בכפר ביתילו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רקע יידויי אבנים על ציר תחבורה המוביל ליישוב נחליאל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29.7.2014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02:30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 הגיעו הארבעה לפאתי הכפר לאחר שהצטיידו במיכל ובו נוזל דליק ותרסיס צבע וכיסו פניהם באמצעות חולצות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ריסס על בית סמוך את הכתובת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נקמה זריקות אבנים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וצורת מגן דוד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שפך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חומר דליק על מכסה המנוע של רכב סמוך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הצית את החומר הדליק באמצעות גפרור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אישום זה יוחסו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 של הצתה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השחתת פני מקרקעין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וקשירת קשר לביצוע פשע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יוחסו עבירות של סיוע להצתה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השחתת פני מקרקעין ממניע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וקשירת קשר לביצוע פשע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לקפלן יוחסו עבירות של סיוע להצתה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סיוע להשחתת פני מקרקעין מניע גזעני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וקשירת קשר לביצוע 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השמיני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נמחק מכתב האישום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4.7.2012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בשעת צהריים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ניקב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באמצעות אולר צמיגים של שני רכבים הנושאים לוחית זיהוי פלסטינית בסמוך למעיין עין מבוע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באישום זה יוחסה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 של היזק בזדון ממניע גזעני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העשירי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3.3.2011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הלילה המאוחרות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בצוותא עם אחר מהיישוב נחליאל לעבר הכפר ביתילו כשהם מצוידים בבקבוק בנזין וגפרורים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כשהגיעו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הציתו השניים רכב שחנה בפאתי הכפר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אישום זה יוחסה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 של הצתה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במהלך חודש פברואר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שירותו בצה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נשקו האישי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שיירו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ירו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חג הפורים אותה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בנשק כ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כדורים בנחליאל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באישום זה יוחסו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 של החזקת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יוחסה עבירה של ירי באזור מגורים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בסוף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פיגוע בו נרצח ישראלי יהודי על ציר אלון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עם אדם אחר לעבר צומת שילה על ציר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נהג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עצר את הרכב בסמוך לצומת שילה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כשהאחר יצא מהרכב והתמקם בנקודה מעל הציר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יידה אבנים אל עבר מכוניות פלסטיניות שעברו בדרך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אישום זה יוחסה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 של סיוע ליידוי אבן לעבר כלי תחבורה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360" w:start="36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בין החודשים ינואר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מרץ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הפרו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צווי הגבלה ופיקוח שהוטלו עליהם על ידי מפקד כוחות 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באזור יהודה ושומרון בכך שיצרו קשר האחד עם השני פעמים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באישום זה יוחסה לשניים עבירה של הפרת הוראה חוקית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בתחילה כפרו שלושת האחים במיוחס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ביום </w:t>
      </w:r>
      <w:r>
        <w:rPr>
          <w:rFonts w:cs="Century" w:ascii="Century" w:hAnsi="Century"/>
        </w:rPr>
        <w:t>28.5.2017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שמיעת מספר עדי 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הודו שלושת האחים במסגרת הסדר טיעון בעובדות 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הודה בשלב זה בעובדות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ניתנה באותו יום הכרעת הדין בעניינם של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הורשעו בעבירות שיוחסו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הורה על הפרדת משפטו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ממשפטם של האחים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29.3.2018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ניתן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בעניינם של שלושת האחים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פתח בסקירת תסקירי שירות המבחן שהוגשו בעניינם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פברואר 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קטין בעת ביצוע כל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</w:t>
      </w:r>
      <w:r>
        <w:rPr>
          <w:rFonts w:eastAsia="Calibri"/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שהייה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נקלט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הנעול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גלעם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תפקודו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והתנהגותו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חיוביים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מלהרחיב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ולשתף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בפרטי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נוכח ההערכה כי ניתן להתקדם עם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מבחינה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ההליך המשפטי מהווה גורם הרתעה משמעותי עבורו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המליץ שירות המבחן להטיל עליו עונש מאסר עד גיל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שירוצה במעון נעול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עונשים נלווים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יליד</w:t>
      </w:r>
      <w:r>
        <w:rPr>
          <w:rFonts w:ascii="Century" w:hAnsi="Century" w:cs="Century"/>
          <w:rtl w:val="true"/>
        </w:rPr>
        <w:t xml:space="preserve"> אפריל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ביצע חלק מהעבירות בהיותו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בינונית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בעתיד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קונקרטית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ומעשית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לשקם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שיוכל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במאסרו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השיקומי</w:t>
      </w:r>
      <w:r>
        <w:rPr>
          <w:rFonts w:eastAsia="Calibri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יליד</w:t>
      </w:r>
      <w:r>
        <w:rPr>
          <w:rFonts w:ascii="Century" w:hAnsi="Century" w:cs="Century"/>
          <w:rtl w:val="true"/>
        </w:rPr>
        <w:t xml:space="preserve"> ינואר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שאף הוא ביצע חלק מהעבירות בהיותו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הסיכון להישנות התנהגות אלימה הוא ברמה בינונית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כי נוכח השינוי שחל בו מאז מעצרו והאפקט ההרתעתי של ההליך המשפטי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הפחתה ברמת הסיכון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הומלץ על מיון מוקדם בטרם המאסר והתחשבות בשינוי שחל בו ובמצבה הנפשי של אשתו לעניין משך המאסר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לאחר מכן דן </w:t>
      </w:r>
      <w:r>
        <w:rPr>
          <w:rFonts w:ascii="Century" w:hAnsi="Century" w:cs="Century"/>
          <w:rtl w:val="true"/>
        </w:rPr>
        <w:t>בית המשפט בעניינם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קיבל את טענת המדינה כי למרות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כל </w:t>
      </w:r>
      <w:r>
        <w:rPr>
          <w:rFonts w:ascii="Century" w:hAnsi="Century" w:cs="Century"/>
          <w:rtl w:val="true"/>
        </w:rPr>
        <w:t>מעשיהם בוצעו על רקע אידיאולוגי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אישום מהווה אירוע נפרד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 כן יש לקבוע מתחם ענישה נפרד לכל אחד מן 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לצורך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בית המשפט את דעתו לערכים החברתיים שנפגעו כתוצאה מהמעשים ובהם שלמות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תחושת הביטחון ושלום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 המסר שהועבר באמצעותם ערער את יסודות המשטר הדמוקרטי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נתן בית המשפט דעתו לנסיבות הקשורות בביצוע העבירות כפי שתוארו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וסקר את היקף מעורבותם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 אחד מהאישומים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במדיניות הענישה ובהלכה הפסוקה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כאשר מדובר בעבירות שבוצעו ממניע אידיאולוגי מתחייבת החמרה והעברת מסר 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העדפת האינטרס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את מתחמי הענישה בנוגע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 כל אחד מהאישומים בהם הורשעו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לצורך גזירת עונשו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שקל בית המשפט לזכותו </w:t>
      </w:r>
      <w:r>
        <w:rPr>
          <w:rFonts w:ascii="Century" w:hAnsi="Century" w:cs="Century"/>
          <w:rtl w:val="true"/>
        </w:rPr>
        <w:t>את הודאתו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Century"/>
          <w:rtl w:val="true"/>
        </w:rPr>
        <w:t xml:space="preserve">המלצות שירות המבחן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</w:t>
      </w:r>
      <w:r>
        <w:rPr>
          <w:rFonts w:ascii="Century" w:hAnsi="Century" w:cs="Century"/>
          <w:rtl w:val="true"/>
        </w:rPr>
        <w:t xml:space="preserve"> העובדה ש</w:t>
      </w:r>
      <w:r>
        <w:rPr>
          <w:rFonts w:eastAsia="Calibri" w:cs="FrankRuehl" w:ascii="FrankRuehl" w:hAnsi="FrankRuehl"/>
          <w:b/>
          <w:spacing w:val="0"/>
          <w:sz w:val="24"/>
          <w:rtl w:val="true"/>
        </w:rPr>
        <w:t>-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התקשה להתייחס באופן ביקורתי לחלק ממעשיו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הרקע 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שהותו הממושכת בתנאי מעצר ואיזוק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והיעדרו של עבר פלילי קודם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נוכח 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ריבוין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משכן והרקע לביצוען – אין מנוס מלגזור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עונש מאסר </w:t>
      </w:r>
      <w:r>
        <w:rPr>
          <w:rFonts w:ascii="Century" w:hAnsi="Century" w:cs="Century"/>
          <w:rtl w:val="true"/>
        </w:rPr>
        <w:t xml:space="preserve">בפועל </w:t>
      </w:r>
      <w:r>
        <w:rPr>
          <w:rFonts w:ascii="Century" w:hAnsi="Century" w:cs="Century"/>
          <w:rtl w:val="true"/>
        </w:rPr>
        <w:t>שיהווה גמול הולם למעשיו תוך העברת מסר הרתעתי הולם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בהתחשב במכלול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השית בית המשפט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עבירות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ועבירות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עבירות של היזק בזדון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השחתת פני מקרקעין או עבירות אלימות מסוג עוון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נתן את דעתו להמלצות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שעודד את אחיו ליטול אחריות על מעשיו ולכך שהשלים את שירותו הצבאי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 בסיטואציה מורכבת עם אשתו אשר תושפע במישרין משליחתו למאסר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בשים לב לאמור ניתן יהיה למתן את הענישה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שאין מנוס מלשלחו אל מאחורי סורג ובריח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המשפט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עבירת 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עבירות של היזק בזדון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הבא</w:t>
      </w:r>
      <w:r>
        <w:rPr>
          <w:rFonts w:ascii="Century" w:hAnsi="Century" w:cs="Century"/>
          <w:rtl w:val="true"/>
        </w:rPr>
        <w:t xml:space="preserve"> נפנה בית המשפט לגזירת עונשו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עקרונות שיפוט נוער הקבועים ב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צוין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הצעיר מבין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מעורב במסכת אירועים רבים וחמורים בין השנים </w:t>
      </w:r>
      <w:r>
        <w:rPr>
          <w:rFonts w:cs="Century" w:ascii="Century" w:hAnsi="Century"/>
        </w:rPr>
        <w:t>2016-2013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חרף גילו הצעיר היה פעיל יותר מאחיו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במובן זה שמעשיו בוצעו במסגרת השתייכותו לארגון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עיקר מסוכנותו לציבור והביטוי הקיצוני להתנהלותו הגזענית ומשולחת הרסן מצוי במעשים המתוארים במסגרת האישומים השלישי והרביעי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אותם ביצע יחד עם 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וללא מעורבות אחיו הבגירים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התייחס למדיניות הענישה הנוהגת בעבירות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שהדגיש כי אמנם בעת גזירת עונשו של קטין יש להתייחס ביתר שאת לנסיבותיו האישיות ולשיקולי שיקומו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שיקולי השיקום אינם חזות הכל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וכאשר מדובר בעבריינות אלימה המתבצעת על רקע אידיאולוגי נדחים שיקולי הענישה האחרים מפני שיקול ההרתעה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אין בסיס להמלצת שירות המבחן בעניינו של </w:t>
      </w:r>
      <w:r>
        <w:rPr>
          <w:rFonts w:ascii="Century" w:hAnsi="Century" w:cs="Miriam"/>
          <w:b/>
          <w:b/>
          <w:szCs w:val="24"/>
          <w:rtl w:val="true"/>
        </w:rPr>
        <w:t>ב</w:t>
      </w:r>
      <w:r>
        <w:rPr>
          <w:rFonts w:cs="Miriam" w:ascii="Century" w:hAnsi="Century"/>
          <w:b/>
          <w:szCs w:val="24"/>
          <w:rtl w:val="true"/>
        </w:rPr>
        <w:t>',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אשר נראה אמנם כי עבר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שינוי תפקודי משמעותי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אך לא עבר כל תהליך של עיבוד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ומסר למטפליו לא פעם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יהיה מוכן לספר רק לאחר שיקבל את עונשו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 טמונה ב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zCs w:val="24"/>
          <w:rtl w:val="true"/>
        </w:rPr>
        <w:t>ב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מסוכנות גבוהה חרף התקופה הממושכת בה שהה במעצר ובמעון נעול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ב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ייאלץ לרצות את יתרת עונשו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ממכלול התקופה שתיגזר עליו תנוכה תקופת שהותו במעון הנעול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ובכך יבואו לידי ביטוי שיקולי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הוא ער לכך שהעברת נאשם שנדון בבית משפט לנוער אל מאחורי סורג ובריח לאחר תהליך שיקום במעון נעול אינו מהלך ענישתי שכיח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מדובר במקרה חריג נוכח רצף העבירות וחומרתן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jc w:val="end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</w:rPr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הרשיע בית המשפט את </w:t>
      </w:r>
      <w:r>
        <w:rPr>
          <w:rFonts w:ascii="Century" w:hAnsi="Century" w:cs="Miriam"/>
          <w:b/>
          <w:b/>
          <w:szCs w:val="24"/>
          <w:rtl w:val="true"/>
        </w:rPr>
        <w:t>ב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 שביצע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הנוער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עליו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בניכוי תקופות מעצרו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כשנה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ובניכוי תקופת שהותו במעון הנעול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כשנה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בית המשפט האריך את שהותו של ב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במעון הנעול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מנת לאפשר לו לסיים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Century"/>
          <w:rtl w:val="true"/>
        </w:rPr>
        <w:t>הליך השיקום בצורה מסודרת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ליום </w:t>
      </w:r>
      <w:r>
        <w:rPr>
          <w:rFonts w:cs="Century" w:ascii="Century" w:hAnsi="Century"/>
        </w:rPr>
        <w:t>22.4.18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</w:t>
      </w:r>
      <w:r>
        <w:rPr>
          <w:rFonts w:ascii="Century" w:hAnsi="Century" w:cs="Century"/>
          <w:rtl w:val="true"/>
        </w:rPr>
        <w:t xml:space="preserve">על תנאי לבל יעבור בתוך </w:t>
      </w:r>
      <w:r>
        <w:rPr>
          <w:rFonts w:ascii="Century" w:hAnsi="Century" w:cs="Century"/>
          <w:rtl w:val="true"/>
        </w:rPr>
        <w:t xml:space="preserve">שלוש שנים מיום שחרורו עבירות לפי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עבירות אלימות מסוג פשע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Century"/>
          <w:rtl w:val="true"/>
        </w:rPr>
        <w:t>עבירה של 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</w:t>
      </w:r>
      <w:r>
        <w:rPr>
          <w:rFonts w:ascii="Century" w:hAnsi="Century" w:cs="Century"/>
          <w:rtl w:val="true"/>
        </w:rPr>
        <w:t>על תנאי לבל יעבור בתוך</w:t>
      </w:r>
      <w:r>
        <w:rPr>
          <w:rFonts w:ascii="Century" w:hAnsi="Century" w:cs="Century"/>
          <w:rtl w:val="true"/>
        </w:rPr>
        <w:t xml:space="preserve"> שלוש שנים מיום שחרורו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 אלימות מסוג עוון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השחתת פני מקרקעין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היזק בזדון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ירי באזור מגורים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Century"/>
          <w:rtl w:val="true"/>
        </w:rPr>
        <w:t>הפרת הוראה חוקית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בנוסף לעונשים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חייב בית המשפט את </w:t>
      </w:r>
      <w:r>
        <w:rPr>
          <w:rFonts w:ascii="Century" w:hAnsi="Century" w:cs="Century"/>
          <w:rtl w:val="true"/>
        </w:rPr>
        <w:t xml:space="preserve">שלושת האחים </w:t>
      </w:r>
      <w:r>
        <w:rPr>
          <w:rFonts w:ascii="Century" w:hAnsi="Century" w:cs="Century"/>
          <w:rtl w:val="true"/>
        </w:rPr>
        <w:t xml:space="preserve">בפיצוי </w:t>
      </w:r>
      <w:r>
        <w:rPr>
          <w:rFonts w:ascii="Century" w:hAnsi="Century" w:cs="Century"/>
          <w:rtl w:val="true"/>
        </w:rPr>
        <w:t xml:space="preserve">לטובת </w:t>
      </w:r>
      <w:r>
        <w:rPr>
          <w:rFonts w:ascii="Century" w:hAnsi="Century" w:cs="Century"/>
          <w:rtl w:val="true"/>
        </w:rPr>
        <w:t>נפגעי העביר</w:t>
      </w:r>
      <w:r>
        <w:rPr>
          <w:rFonts w:ascii="Century" w:hAnsi="Century" w:cs="Century"/>
          <w:rtl w:val="true"/>
        </w:rPr>
        <w:t>ות</w:t>
      </w:r>
      <w:r>
        <w:rPr>
          <w:rFonts w:ascii="Century" w:hAnsi="Century" w:cs="Century"/>
          <w:rtl w:val="true"/>
        </w:rPr>
        <w:t xml:space="preserve"> בסך </w:t>
      </w:r>
      <w:r>
        <w:rPr>
          <w:rFonts w:ascii="Century" w:hAnsi="Century" w:cs="Century"/>
          <w:rtl w:val="true"/>
        </w:rPr>
        <w:t xml:space="preserve">כולל </w:t>
      </w:r>
      <w:r>
        <w:rPr>
          <w:rFonts w:ascii="Century" w:hAnsi="Century" w:cs="Century"/>
          <w:rtl w:val="true"/>
        </w:rPr>
        <w:t xml:space="preserve">של </w:t>
      </w:r>
      <w:r>
        <w:rPr>
          <w:rFonts w:cs="Century" w:ascii="Century" w:hAnsi="Century"/>
        </w:rPr>
        <w:t>45,800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משפטו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הופרד ממשפטם של האחים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קיומו של הליך גישור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ביום </w:t>
      </w:r>
      <w:r>
        <w:rPr>
          <w:rFonts w:cs="Century" w:ascii="Century" w:hAnsi="Century"/>
        </w:rPr>
        <w:t>22.6.2017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לחזור בו מכפירתו לגבי מרבית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צמצום זירת המחלוקת בעניינו לטענות משפטיות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 בנוגע להרשעתו בעבירה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לטענה כי לא ראוי להעמידו לדין בגין עבירות של קשירת קשר כאשר הוא עומד לדין בגין העבירה המושלמת</w:t>
      </w:r>
      <w:r>
        <w:rPr>
          <w:rFonts w:cs="Century" w:ascii="Century" w:hAnsi="Century"/>
          <w:rtl w:val="true"/>
        </w:rPr>
        <w:t xml:space="preserve">.    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4"/>
        </w:rPr>
      </w:pPr>
      <w:r>
        <w:rPr>
          <w:rFonts w:cs="FrankRuehl" w:ascii="FrankRuehl" w:hAnsi="FrankRuehl"/>
          <w:b/>
          <w:spacing w:val="0"/>
          <w:sz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21.2.2019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שמיעת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ניתנה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ascii="Century" w:hAnsi="Century" w:cs="Century"/>
          <w:rtl w:val="true"/>
        </w:rPr>
        <w:t xml:space="preserve">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הרשיע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בכל המיוחס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זיכויו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בהסכמת המאשימה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מהאישום האחד עשר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שעניינו ירי בנשקו הצבאי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וכן הרשעתו בחלופה החמורה פחות באישום החמישי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שעניינו יידוי אבנים לעבר כלי רכב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להלן יובאו בתמצית קביעותיו של בית המשפט קמא בעניינים המרכזיים שעמדו במחלוקת בעניינו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eastAsia="Calibri"/>
        </w:rPr>
      </w:pPr>
      <w:r>
        <w:rPr>
          <w:rFonts w:eastAsia="Calibri"/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ושאלת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בחברות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החקיקתי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למונח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טרוריסטי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פירוש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מצמצם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הפקודה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בכללותה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אנשים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11/58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מנקס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יב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1905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: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מנקס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נמחק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הטיעון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מיוחסת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ול</w:t>
      </w:r>
      <w:r>
        <w:rPr>
          <w:rFonts w:eastAsia="Calibri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מנקס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מקביעה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המושג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אנשים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משמעותו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לפחות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מנקס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ברורות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לפיה</w:t>
      </w:r>
      <w:r>
        <w:rPr>
          <w:rFonts w:eastAsia="Calibri"/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המושג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משמעותו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התאגדות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מאדם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מספרית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פורמלית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מטרתה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אסורה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המצביעות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 xml:space="preserve">-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הפועל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פיגועים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אזרחים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ערבים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מוצאם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הפיגועים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והרביעי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בעצמם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בהתארגנות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שיטתית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שמאחוריה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מניעים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אידיאולוגיים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כתובות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שריססו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מזירות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האירועים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כגון</w:t>
      </w:r>
      <w:r>
        <w:rPr>
          <w:rFonts w:eastAsia="Calibri"/>
          <w:rtl w:val="true"/>
        </w:rPr>
        <w:t>: "</w:t>
      </w:r>
      <w:r>
        <w:rPr>
          <w:rFonts w:eastAsia="Calibri"/>
          <w:rtl w:val="true"/>
        </w:rPr>
        <w:t>יהודים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לערבים</w:t>
      </w:r>
      <w:r>
        <w:rPr>
          <w:rFonts w:eastAsia="Calibri"/>
          <w:rtl w:val="true"/>
        </w:rPr>
        <w:t>", "</w:t>
      </w:r>
      <w:r>
        <w:rPr>
          <w:rFonts w:eastAsia="Calibri"/>
          <w:rtl w:val="true"/>
        </w:rPr>
        <w:t>נקמה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זריקות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אבנים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מגן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נקמה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עצורי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ציון</w:t>
      </w:r>
      <w:r>
        <w:rPr>
          <w:rFonts w:eastAsia="Calibri"/>
          <w:rtl w:val="true"/>
        </w:rPr>
        <w:t>".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אמרותיו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ורכוש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ממטרות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עברייניות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גרידא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פחד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ואימה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למשל</w:t>
      </w:r>
      <w:r>
        <w:rPr>
          <w:rFonts w:eastAsia="Calibri"/>
          <w:rtl w:val="true"/>
        </w:rPr>
        <w:t>,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להשלכת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ורימוני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בתים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מאוכלסים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אנשים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הפחדה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הרתעה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מחלוקת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כפעולת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תגמול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לפיגועים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יהודים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center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המכונה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מאיר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שלוחה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בשב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ראשית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מאיר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דעתו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מודיעיני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התבסס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שנית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לתוכן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הדעת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פירטה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תג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מחיר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ומאפייניה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והזכירה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מלכות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הזדון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קובץ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לפעולה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אלימה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הדעת</w:t>
      </w:r>
      <w:r>
        <w:rPr>
          <w:rFonts w:eastAsia="Calibri"/>
          <w:rtl w:val="true"/>
        </w:rPr>
        <w:t xml:space="preserve">,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מתשתית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הפועלת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בנחליאל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2009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מבצעת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פיגועים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ערבים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בגוש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טלמונים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לפעילות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מובהקים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התארגנות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זהים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לדפוסים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מוכרים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מתשתיות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אחרות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ובכללם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מידור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חשאיות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ואגירת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אמצעים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בקשרי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קרובה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כשנשאל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מאיר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ושותפיו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היוותה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תשובתי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היא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בכך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נדרשת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פעולת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טרור</w:t>
      </w:r>
      <w:r>
        <w:rPr>
          <w:rFonts w:eastAsia="Calibri"/>
          <w:rtl w:val="true"/>
        </w:rPr>
        <w:t>".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התשס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2016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: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בטרור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בינתיים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לתוקפו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נחשבים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והארגון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נחשב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</w:t>
      </w:r>
      <w:r>
        <w:rPr>
          <w:rFonts w:eastAsia="Calibri"/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לאכיפה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בררנית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שלאחרים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לפיכך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 TUR" w:hAnsi="Arial TUR" w:eastAsia="Calibri" w:cs="Arial TUR"/>
          <w:spacing w:val="10"/>
          <w:szCs w:val="28"/>
        </w:rPr>
      </w:pPr>
      <w:r>
        <w:rPr>
          <w:rFonts w:eastAsia="Calibri" w:cs="Arial TUR" w:ascii="Arial TUR" w:hAnsi="Arial TUR"/>
          <w:spacing w:val="10"/>
          <w:szCs w:val="28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eastAsia="Calibri"/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העמד</w:t>
      </w:r>
      <w:r>
        <w:rPr>
          <w:rFonts w:eastAsia="Calibri"/>
          <w:rtl w:val="true"/>
        </w:rPr>
        <w:t>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בעביר</w:t>
      </w:r>
      <w:r>
        <w:rPr>
          <w:rFonts w:eastAsia="Calibri"/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קשר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מימד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מובהק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ברובד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הרלבנטיים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ואופי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ממחיש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שבהעמדה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המושלמת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הנחיית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3.1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וניסוח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אישום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Calibri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נסיבות קשירת הקשר באירועים השונים בענייננו הכרחיות לתיאור השתלשלות האירועים המלאה המפורטת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נדחו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לאישומים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השלישי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והרביעי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לאישום השלישי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עולה בבירור מהראיות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היה מודע לאפשרות גרימת חבלה חמורה כתוצאה מהשלכת רימוני גז לתוך 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ניפוץ חלונו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לילה בה ישנו בני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גם דחה את טענת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כי לא ריסס את הכתובת באותו אישום במטרה להעביר מסר לממשל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בציינו כי במהלך חקירותיו הודה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במפורש ברקע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הסביר כי הוא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חטפו קריזה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מאמירות שר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והחליטו לבצע פעילות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להראות לכולם ולשר הביטחון שלא נגמר הפעילות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באופן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בנוגע לאישום 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די בעובדות כתב האישום שאינן שנויות במחלוקת כדי לקבוע כי מעשיו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כוונו לגרום חבלה חמורה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הבחירה בבית בידיעה כי הוא מאויש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עצם השימוש בכלי נשק חם עם פוטנציאל פגיעה גבוה בדמות בקבוק תבערה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ההחלטה המודעת להשליך אבנים כדי לנפץ חלק מהחלונות על מנת לוודא כי בקבוקי התבערה יחדרו פנימה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והשלכת הבקבוקים לעבר שני חלקים שונים של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כוונה זו למד בית המשפט גם מאמרותיו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הודאתו כי צפה את האפשרות שהשלכת בקבוקי התבערה עלולה לגרום לשריפת הבית בשעת לילה כאשר בני הבית ישנים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וצפייה זו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כמוה ככוונה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בהתייחס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שעניינו יידוי אבנים לעבר כלי 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שוכנע בית המשפט על יסוד הראיות שהוגשו כי המאשימה עמדה בנטל להוכיח כוונה מיוחדת הנדרשת בחלופה הקבועה </w:t>
      </w:r>
      <w:hyperlink r:id="rId4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332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היתר נוכח אמרותיו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העידו על הכוונה לפגוע ברכבים בלבד ולא בנפש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לפיכך הורשע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בחלופה הפחות חמורה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המצויה </w:t>
      </w:r>
      <w:hyperlink r:id="rId44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332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וביתר העבירות שיוחסו לו גם באישום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10.7.2019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ניתן גזר הדין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בדומה לחברו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גם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היה קטין בעת ביצוע העבירות ובמועד הגשת 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יליד אפריל </w:t>
      </w:r>
      <w:r>
        <w:rPr>
          <w:rFonts w:cs="Century" w:ascii="Century" w:hAnsi="Century"/>
        </w:rPr>
        <w:t>1999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ולפיכך גזר בית המשפט קמא את דינו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עקרונות שיפוט הנוער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בעניינו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הוגש לבית המשפט קמא תסקיר שירות מבחן שנערך בחודש אפריל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בתסקיר צוין בין היתר כי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התחנך בישיבה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מנהל הישיבה הינו אביהם של שלושת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בדיעבד הבינו הוריו כי לא היו מעורבים מספיק בחייו של בנם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התנהלותו בעבירות עמדה בניגוד מוחלט לערכים לאורם חינכו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לאחר מעצרו בינואר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ושהייתו במתקני השב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ובכלא אופק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במרץ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הועבר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למעצר בתנאי איזוק בבית דודתו ביישוב שהם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שיתוף פעולה מלא עם שירות המבחן ועו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 האיזוק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הוסר האיזוק בהסכמה והוא נותר בתנאי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מעצר יישוב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שירות המבחן התרשם כי השהות בבית הדודה הייתה עבורו שיעור לשמירה על סובלנות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קבלת השונה ואיפוק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בין החודשים יוני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ליוני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השתלב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בלימודי היל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זכה להצטיינות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סיים בגרות מלאה תוך 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יולי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לינואר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למד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בבית ספר לקונדיטוריה ואפייה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וחש כי מצא שם את ייעודו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לקשר 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יצרו הוריו קשר עם רש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ספטמבר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מאי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 שולב בקבוצה טיפולית של רש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למרות שאיננו אסיר משוחרר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התרשמו מנחיו כי הוא ערך שינוי משמעותי בגישתו ובמחשבותיו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הפך לשקול יותר והיטיב להתבונן על טעויות החשיבה שאפיינו אותו בתקופת ביצוע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overflowPunct w:val="true"/>
        <w:autoSpaceDE w:val="true"/>
        <w:ind w:end="0"/>
        <w:jc w:val="both"/>
        <w:textAlignment w:val="auto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שירות המבחן ציין כי במסגרת עיבוד העבירות החל </w:t>
      </w:r>
      <w:r>
        <w:rPr>
          <w:rFonts w:ascii="Miriam" w:hAnsi="Miriam" w:cs="Miriam"/>
          <w:sz w:val="24"/>
          <w:sz w:val="24"/>
          <w:szCs w:val="24"/>
          <w:rtl w:val="true"/>
        </w:rPr>
        <w:t>מ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לזהות את הפגיעה בקורבנות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ההתרשמות היא כי יש צורך בהעמקת הטיפול לצורך ההבנה הרגשית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סבר כי למרות שחומרת העבירות מחייבת באופן רגיל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ניתן להתעלם מהתהליך המשמעותי וביסוס המגמה החיובית בחייו של </w:t>
      </w:r>
      <w:r>
        <w:rPr>
          <w:rFonts w:ascii="Miriam" w:hAnsi="Miriam" w:cs="Miriam"/>
          <w:sz w:val="24"/>
          <w:sz w:val="24"/>
          <w:szCs w:val="24"/>
          <w:rtl w:val="true"/>
        </w:rPr>
        <w:t>מ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בשנתיים האחרונות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ומכך שהוכיח כי אפשר ליתן בו 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נוכח החשש כי שליחתו למאסר מאחורי סורג ובריח תגדע את תהליך השיקום של </w:t>
      </w:r>
      <w:r>
        <w:rPr>
          <w:rFonts w:ascii="Miriam" w:hAnsi="Miriam" w:cs="Miriam"/>
          <w:sz w:val="24"/>
          <w:sz w:val="24"/>
          <w:szCs w:val="24"/>
          <w:rtl w:val="true"/>
        </w:rPr>
        <w:t>מ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להשית עליו 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 מבחן וענישה נלווית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קצינת המבחן שערכה את התסקיר התייצבה לדיון והסבירה את הנימוקים להמלצותיה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eastAsia="Calibri" w:cs="Century"/>
          <w:rtl w:val="true"/>
        </w:rPr>
        <w:t>לצורך</w:t>
      </w:r>
      <w:r>
        <w:rPr>
          <w:rFonts w:ascii="David" w:hAnsi="David" w:eastAsia="Calibri" w:cs="David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גזירת העונש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נתן בית המשפט את דעתו לכך ש</w:t>
      </w:r>
      <w:r>
        <w:rPr>
          <w:rFonts w:eastAsia="Calibri" w:cs="Century" w:ascii="Century" w:hAnsi="Century"/>
          <w:rtl w:val="true"/>
        </w:rPr>
        <w:t xml:space="preserve">- </w:t>
      </w:r>
      <w:r>
        <w:rPr>
          <w:rFonts w:ascii="Century" w:hAnsi="Century" w:eastAsia="Calibri" w:cs="Miriam"/>
          <w:szCs w:val="24"/>
          <w:rtl w:val="true"/>
        </w:rPr>
        <w:t>מ</w:t>
      </w:r>
      <w:r>
        <w:rPr>
          <w:rFonts w:eastAsia="Calibri" w:cs="Miriam" w:ascii="Century" w:hAnsi="Century"/>
          <w:szCs w:val="24"/>
          <w:rtl w:val="true"/>
        </w:rPr>
        <w:t>"</w:t>
      </w:r>
      <w:r>
        <w:rPr>
          <w:rFonts w:ascii="Century" w:hAnsi="Century" w:eastAsia="Calibri" w:cs="Miriam"/>
          <w:szCs w:val="24"/>
          <w:rtl w:val="true"/>
        </w:rPr>
        <w:t>ח</w:t>
      </w:r>
      <w:r>
        <w:rPr>
          <w:rFonts w:ascii="Century" w:hAnsi="Century" w:eastAsia="Calibri" w:cs="Century"/>
          <w:rtl w:val="true"/>
        </w:rPr>
        <w:t xml:space="preserve"> היה מעורב מרכזי במסכת האירועים שנמשכה בין השנים </w:t>
      </w:r>
      <w:r>
        <w:rPr>
          <w:rFonts w:eastAsia="Calibri" w:cs="Century" w:ascii="Century" w:hAnsi="Century"/>
        </w:rPr>
        <w:t>2016-2013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כשמרבית העבירות בוצעו במהלך שנת </w:t>
      </w:r>
      <w:r>
        <w:rPr>
          <w:rFonts w:eastAsia="Calibri" w:cs="Century" w:ascii="Century" w:hAnsi="Century"/>
        </w:rPr>
        <w:t>2015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ולכך שמסכת זו בוצעה במסגרת השתייכותו לארגון טרור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כאשר עד היום מתכחש </w:t>
      </w:r>
      <w:r>
        <w:rPr>
          <w:rFonts w:ascii="Century" w:hAnsi="Century" w:eastAsia="Calibri" w:cs="Miriam"/>
          <w:szCs w:val="24"/>
          <w:rtl w:val="true"/>
        </w:rPr>
        <w:t>מ</w:t>
      </w:r>
      <w:r>
        <w:rPr>
          <w:rFonts w:eastAsia="Calibri" w:cs="Miriam" w:ascii="Century" w:hAnsi="Century"/>
          <w:szCs w:val="24"/>
          <w:rtl w:val="true"/>
        </w:rPr>
        <w:t>"</w:t>
      </w:r>
      <w:r>
        <w:rPr>
          <w:rFonts w:ascii="Century" w:hAnsi="Century" w:eastAsia="Calibri" w:cs="Miriam"/>
          <w:szCs w:val="24"/>
          <w:rtl w:val="true"/>
        </w:rPr>
        <w:t>ח</w:t>
      </w:r>
      <w:r>
        <w:rPr>
          <w:rFonts w:ascii="Century" w:hAnsi="Century" w:eastAsia="Calibri" w:cs="Century"/>
          <w:rtl w:val="true"/>
        </w:rPr>
        <w:t xml:space="preserve"> לאפיון זה</w:t>
      </w:r>
      <w:r>
        <w:rPr>
          <w:rFonts w:eastAsia="Calibri"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נתן בית המשפט את דעתו לכך ש</w:t>
      </w:r>
      <w:r>
        <w:rPr>
          <w:rFonts w:ascii="Century" w:hAnsi="Century" w:eastAsia="Calibri" w:cs="Century"/>
          <w:rtl w:val="true"/>
        </w:rPr>
        <w:t xml:space="preserve">ההבחנה בין פעילותו של </w:t>
      </w:r>
      <w:r>
        <w:rPr>
          <w:rFonts w:ascii="Century" w:hAnsi="Century" w:eastAsia="Calibri" w:cs="Miriam"/>
          <w:szCs w:val="24"/>
          <w:rtl w:val="true"/>
        </w:rPr>
        <w:t>מ</w:t>
      </w:r>
      <w:r>
        <w:rPr>
          <w:rFonts w:eastAsia="Calibri" w:cs="Miriam" w:ascii="Century" w:hAnsi="Century"/>
          <w:szCs w:val="24"/>
          <w:rtl w:val="true"/>
        </w:rPr>
        <w:t>"</w:t>
      </w:r>
      <w:r>
        <w:rPr>
          <w:rFonts w:ascii="Century" w:hAnsi="Century" w:eastAsia="Calibri" w:cs="Miriam"/>
          <w:szCs w:val="24"/>
          <w:rtl w:val="true"/>
        </w:rPr>
        <w:t>ח</w:t>
      </w:r>
      <w:r>
        <w:rPr>
          <w:rFonts w:ascii="Century" w:hAnsi="Century" w:eastAsia="Calibri" w:cs="Century"/>
          <w:rtl w:val="true"/>
        </w:rPr>
        <w:t xml:space="preserve"> לבין פעילותו של </w:t>
      </w:r>
      <w:r>
        <w:rPr>
          <w:rFonts w:ascii="Century" w:hAnsi="Century" w:eastAsia="Calibri" w:cs="Miriam"/>
          <w:szCs w:val="24"/>
          <w:rtl w:val="true"/>
        </w:rPr>
        <w:t>ב</w:t>
      </w:r>
      <w:r>
        <w:rPr>
          <w:rFonts w:eastAsia="Calibri" w:cs="Miriam" w:ascii="Century" w:hAnsi="Century"/>
          <w:szCs w:val="24"/>
          <w:rtl w:val="true"/>
        </w:rPr>
        <w:t>'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חברו מהפן העובדתי היא זניחה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ועיקר מסוכנותו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כפי שנקבע לגבי </w:t>
      </w:r>
      <w:r>
        <w:rPr>
          <w:rFonts w:ascii="Century" w:hAnsi="Century" w:eastAsia="Calibri" w:cs="Miriam"/>
          <w:szCs w:val="24"/>
          <w:rtl w:val="true"/>
        </w:rPr>
        <w:t>ב</w:t>
      </w:r>
      <w:r>
        <w:rPr>
          <w:rFonts w:eastAsia="Calibri" w:cs="Miriam" w:ascii="Century" w:hAnsi="Century"/>
          <w:szCs w:val="24"/>
          <w:rtl w:val="true"/>
        </w:rPr>
        <w:t>'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מצויה במעשים אותם ביצעו השניים יחד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ללא מעורבות של האחים הבגירים </w:t>
      </w:r>
      <w:r>
        <w:rPr>
          <w:rFonts w:eastAsia="Calibri" w:cs="Century" w:ascii="Century" w:hAnsi="Century"/>
          <w:rtl w:val="true"/>
        </w:rPr>
        <w:t>(</w:t>
      </w:r>
      <w:r>
        <w:rPr>
          <w:rFonts w:ascii="Century" w:hAnsi="Century" w:eastAsia="Calibri" w:cs="Century"/>
          <w:rtl w:val="true"/>
        </w:rPr>
        <w:t>האישומים השלישי והרביעי</w:t>
      </w:r>
      <w:r>
        <w:rPr>
          <w:rFonts w:eastAsia="Calibri" w:cs="Century" w:ascii="Century" w:hAnsi="Century"/>
          <w:rtl w:val="true"/>
        </w:rPr>
        <w:t xml:space="preserve">). </w:t>
      </w:r>
      <w:r>
        <w:rPr>
          <w:rFonts w:ascii="Century" w:hAnsi="Century" w:eastAsia="Calibri" w:cs="Century"/>
          <w:rtl w:val="true"/>
        </w:rPr>
        <w:t>עם זאת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בשונה מ</w:t>
      </w:r>
      <w:r>
        <w:rPr>
          <w:rFonts w:eastAsia="Calibri" w:cs="Century" w:ascii="Century" w:hAnsi="Century"/>
          <w:rtl w:val="true"/>
        </w:rPr>
        <w:t xml:space="preserve">- </w:t>
      </w:r>
      <w:r>
        <w:rPr>
          <w:rFonts w:ascii="Century" w:hAnsi="Century" w:eastAsia="Calibri" w:cs="Miriam"/>
          <w:szCs w:val="24"/>
          <w:rtl w:val="true"/>
        </w:rPr>
        <w:t>ב</w:t>
      </w:r>
      <w:r>
        <w:rPr>
          <w:rFonts w:eastAsia="Calibri" w:cs="Miriam" w:ascii="Century" w:hAnsi="Century"/>
          <w:szCs w:val="24"/>
          <w:rtl w:val="true"/>
        </w:rPr>
        <w:t>'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כאן התרשם בית המשפט כי </w:t>
      </w:r>
      <w:r>
        <w:rPr>
          <w:rFonts w:ascii="Century" w:hAnsi="Century" w:eastAsia="Calibri" w:cs="Miriam"/>
          <w:szCs w:val="24"/>
          <w:rtl w:val="true"/>
        </w:rPr>
        <w:t>מ</w:t>
      </w:r>
      <w:r>
        <w:rPr>
          <w:rFonts w:eastAsia="Calibri" w:cs="Miriam" w:ascii="Century" w:hAnsi="Century"/>
          <w:szCs w:val="24"/>
          <w:rtl w:val="true"/>
        </w:rPr>
        <w:t>"</w:t>
      </w:r>
      <w:r>
        <w:rPr>
          <w:rFonts w:ascii="Century" w:hAnsi="Century" w:eastAsia="Calibri" w:cs="Miriam"/>
          <w:szCs w:val="24"/>
          <w:rtl w:val="true"/>
        </w:rPr>
        <w:t>ח</w:t>
      </w:r>
      <w:r>
        <w:rPr>
          <w:rFonts w:ascii="Century" w:hAnsi="Century" w:eastAsia="Calibri" w:cs="Century"/>
          <w:rtl w:val="true"/>
        </w:rPr>
        <w:t xml:space="preserve"> עבר תהליך שיקום רציני ושינוי משמעותי מבחינה תפקודית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כפי שעלה מתסקיר שירות המבחן</w:t>
      </w:r>
      <w:r>
        <w:rPr>
          <w:rFonts w:eastAsia="Calibri"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alibri" w:cs="Century" w:ascii="Century" w:hAnsi="Century"/>
          <w:rtl w:val="true"/>
        </w:rPr>
        <w:tab/>
      </w:r>
      <w:r>
        <w:rPr>
          <w:rFonts w:ascii="Century" w:hAnsi="Century" w:eastAsia="Calibri" w:cs="Century"/>
          <w:rtl w:val="true"/>
        </w:rPr>
        <w:t>חרף האמור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נוכח חומרת העבירות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מימד התכנון המובהק אשר מאחוריו פעילות גזענית כחלק מארגון טרור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ומדיניות הענישה שעולה מהפסיקה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נקבע כי יש ליתן מעמד בכורה לאינטרס הציבורי המחייב השתת עונש מאסר מאחורי סורג ובריח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כאשר שיקולי השיקום יתבטאו בקציבת העונש הראוי</w:t>
      </w:r>
      <w:r>
        <w:rPr>
          <w:rFonts w:eastAsia="Calibri" w:cs="Century" w:ascii="Century" w:hAnsi="Century"/>
          <w:rtl w:val="true"/>
        </w:rPr>
        <w:t xml:space="preserve">. </w:t>
      </w:r>
      <w:r>
        <w:rPr>
          <w:rFonts w:ascii="Century" w:hAnsi="Century" w:eastAsia="Calibri" w:cs="Century"/>
          <w:rtl w:val="true"/>
        </w:rPr>
        <w:t>לאחר שקילת מכלול השיקולים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ובהתחשב בגילו של </w:t>
      </w:r>
      <w:r>
        <w:rPr>
          <w:rFonts w:ascii="Century" w:hAnsi="Century" w:eastAsia="Calibri" w:cs="Miriam"/>
          <w:szCs w:val="24"/>
          <w:rtl w:val="true"/>
        </w:rPr>
        <w:t>מ</w:t>
      </w:r>
      <w:r>
        <w:rPr>
          <w:rFonts w:eastAsia="Calibri" w:cs="Miriam" w:ascii="Century" w:hAnsi="Century"/>
          <w:szCs w:val="24"/>
          <w:rtl w:val="true"/>
        </w:rPr>
        <w:t>"</w:t>
      </w:r>
      <w:r>
        <w:rPr>
          <w:rFonts w:ascii="Century" w:hAnsi="Century" w:eastAsia="Calibri" w:cs="Miriam"/>
          <w:szCs w:val="24"/>
          <w:rtl w:val="true"/>
        </w:rPr>
        <w:t>ח</w:t>
      </w:r>
      <w:r>
        <w:rPr>
          <w:rFonts w:ascii="Century" w:hAnsi="Century" w:eastAsia="Calibri" w:cs="Century"/>
          <w:rtl w:val="true"/>
        </w:rPr>
        <w:t xml:space="preserve"> מחד גיסא ובצורך להרתיעו מאידך גיסא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השית עליו בית המשפט </w:t>
      </w:r>
      <w:r>
        <w:rPr>
          <w:rFonts w:eastAsia="Calibri" w:cs="Century" w:ascii="Century" w:hAnsi="Century"/>
        </w:rPr>
        <w:t>4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 xml:space="preserve">שנות מאסר בפועל </w:t>
      </w:r>
      <w:r>
        <w:rPr>
          <w:rFonts w:eastAsia="Calibri" w:cs="Century" w:ascii="Century" w:hAnsi="Century"/>
          <w:rtl w:val="true"/>
        </w:rPr>
        <w:t>(</w:t>
      </w:r>
      <w:r>
        <w:rPr>
          <w:rFonts w:ascii="Century" w:hAnsi="Century" w:eastAsia="Calibri" w:cs="Century"/>
          <w:rtl w:val="true"/>
        </w:rPr>
        <w:t>פחות יום</w:t>
      </w:r>
      <w:r>
        <w:rPr>
          <w:rFonts w:eastAsia="Calibri" w:cs="Century" w:ascii="Century" w:hAnsi="Century"/>
          <w:rtl w:val="true"/>
        </w:rPr>
        <w:t xml:space="preserve">) </w:t>
      </w:r>
      <w:r>
        <w:rPr>
          <w:rFonts w:ascii="Century" w:hAnsi="Century" w:eastAsia="Calibri" w:cs="Century"/>
          <w:rtl w:val="true"/>
        </w:rPr>
        <w:t xml:space="preserve">בניכוי ימי מעצרו </w:t>
      </w:r>
      <w:r>
        <w:rPr>
          <w:rFonts w:eastAsia="Calibri" w:cs="Century" w:ascii="Century" w:hAnsi="Century"/>
          <w:rtl w:val="true"/>
        </w:rPr>
        <w:t>(</w:t>
      </w:r>
      <w:r>
        <w:rPr>
          <w:rFonts w:ascii="Century" w:hAnsi="Century" w:eastAsia="Calibri" w:cs="Century"/>
          <w:rtl w:val="true"/>
        </w:rPr>
        <w:t>כשנה</w:t>
      </w:r>
      <w:r>
        <w:rPr>
          <w:rFonts w:eastAsia="Calibri" w:cs="Century" w:ascii="Century" w:hAnsi="Century"/>
          <w:rtl w:val="true"/>
        </w:rPr>
        <w:t xml:space="preserve">); </w:t>
      </w:r>
      <w:r>
        <w:rPr>
          <w:rFonts w:eastAsia="Calibri" w:cs="Century" w:ascii="Century" w:hAnsi="Century"/>
        </w:rPr>
        <w:t>12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 xml:space="preserve">חודשי מאסר על תנאי לבל יעבור בתוך </w:t>
      </w:r>
      <w:r>
        <w:rPr>
          <w:rFonts w:eastAsia="Calibri" w:cs="Century" w:ascii="Century" w:hAnsi="Century"/>
        </w:rPr>
        <w:t>3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 xml:space="preserve">שנים מיום שחרורו עבירות לפי </w:t>
      </w:r>
      <w:hyperlink r:id="rId45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טרור</w:t>
        </w:r>
      </w:hyperlink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עבירות בנשק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עבירות הצתה או עבירות לפי </w:t>
      </w:r>
      <w:hyperlink r:id="rId46">
        <w:r>
          <w:rPr>
            <w:rStyle w:val="Hyperlink"/>
            <w:rFonts w:ascii="Century" w:hAnsi="Century" w:eastAsia="Calibri" w:cs="Century"/>
            <w:rtl w:val="true"/>
          </w:rPr>
          <w:t>סעיפים</w:t>
        </w:r>
        <w:r>
          <w:rPr>
            <w:rStyle w:val="Hyperlink"/>
            <w:rFonts w:ascii="Century" w:hAnsi="Century" w:eastAsia="Calibri" w:cs="Century"/>
            <w:rtl w:val="true"/>
          </w:rPr>
          <w:t xml:space="preserve"> </w:t>
        </w:r>
        <w:r>
          <w:rPr>
            <w:rStyle w:val="Hyperlink"/>
            <w:rFonts w:eastAsia="Calibri" w:cs="Century" w:ascii="Century" w:hAnsi="Century"/>
          </w:rPr>
          <w:t>332</w:t>
        </w:r>
      </w:hyperlink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ו</w:t>
      </w:r>
      <w:r>
        <w:rPr>
          <w:rFonts w:eastAsia="Calibri" w:cs="Century" w:ascii="Century" w:hAnsi="Century"/>
          <w:rtl w:val="true"/>
        </w:rPr>
        <w:t xml:space="preserve">- </w:t>
      </w:r>
      <w:hyperlink r:id="rId47">
        <w:r>
          <w:rPr>
            <w:rStyle w:val="Hyperlink"/>
            <w:rFonts w:eastAsia="Calibri" w:cs="Century" w:ascii="Century" w:hAnsi="Century"/>
          </w:rPr>
          <w:t>332</w:t>
        </w:r>
        <w:r>
          <w:rPr>
            <w:rStyle w:val="Hyperlink"/>
            <w:rFonts w:ascii="Century" w:hAnsi="Century" w:eastAsia="Calibri" w:cs="Century"/>
            <w:rtl w:val="true"/>
          </w:rPr>
          <w:t>א</w:t>
        </w:r>
      </w:hyperlink>
      <w:r>
        <w:rPr>
          <w:rFonts w:ascii="Century" w:hAnsi="Century" w:eastAsia="Calibri" w:cs="Century"/>
          <w:rtl w:val="true"/>
        </w:rPr>
        <w:t xml:space="preserve"> ל</w:t>
      </w:r>
      <w:hyperlink r:id="rId48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eastAsia="Calibri" w:cs="Century"/>
          <w:rtl w:val="true"/>
        </w:rPr>
        <w:t xml:space="preserve"> </w:t>
      </w:r>
      <w:r>
        <w:rPr>
          <w:rFonts w:eastAsia="Calibri" w:cs="Century" w:ascii="Century" w:hAnsi="Century"/>
          <w:rtl w:val="true"/>
        </w:rPr>
        <w:t xml:space="preserve">; </w:t>
      </w:r>
      <w:r>
        <w:rPr>
          <w:rFonts w:eastAsia="Calibri" w:cs="Century" w:ascii="Century" w:hAnsi="Century"/>
        </w:rPr>
        <w:t>6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 xml:space="preserve">חודשי מאסר על תנאי לבל יעבור בתוך </w:t>
      </w:r>
      <w:r>
        <w:rPr>
          <w:rFonts w:eastAsia="Calibri" w:cs="Century" w:ascii="Century" w:hAnsi="Century"/>
        </w:rPr>
        <w:t>3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שנים מיום שחרורו עבירות אלימות מסוג עוון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השחתת פני מקרקעין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היזק בזדון ממניע גזעני או הפרת הוראה חוקית</w:t>
      </w:r>
      <w:r>
        <w:rPr>
          <w:rFonts w:eastAsia="Calibri" w:cs="Century" w:ascii="Century" w:hAnsi="Century"/>
          <w:rtl w:val="true"/>
        </w:rPr>
        <w:t xml:space="preserve">; </w:t>
      </w:r>
      <w:r>
        <w:rPr>
          <w:rFonts w:ascii="Century" w:hAnsi="Century" w:eastAsia="Calibri" w:cs="Century"/>
          <w:rtl w:val="true"/>
        </w:rPr>
        <w:t xml:space="preserve">וכן פיצוי בסך </w:t>
      </w:r>
      <w:r>
        <w:rPr>
          <w:rFonts w:eastAsia="Calibri" w:cs="Century" w:ascii="Century" w:hAnsi="Century"/>
        </w:rPr>
        <w:t>15,000</w:t>
      </w:r>
      <w:r>
        <w:rPr>
          <w:rFonts w:eastAsia="Calibri" w:cs="Century" w:ascii="Century" w:hAnsi="Century"/>
          <w:rtl w:val="true"/>
        </w:rPr>
        <w:t xml:space="preserve"> ₪ </w:t>
      </w:r>
      <w:r>
        <w:rPr>
          <w:rFonts w:ascii="Century" w:hAnsi="Century" w:eastAsia="Calibri" w:cs="Century"/>
          <w:rtl w:val="true"/>
        </w:rPr>
        <w:t>לנפגעי העבירות</w:t>
      </w:r>
      <w:r>
        <w:rPr>
          <w:rFonts w:eastAsia="Calibri"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Miriam" w:hAnsi="Miriam" w:cs="Miriam"/>
          <w:b/>
          <w:spacing w:val="0"/>
          <w:sz w:val="24"/>
          <w:szCs w:val="18"/>
        </w:rPr>
      </w:pPr>
      <w:r>
        <w:rPr>
          <w:rFonts w:cs="Miriam" w:ascii="Miriam" w:hAnsi="Miriam"/>
          <w:b/>
          <w:spacing w:val="0"/>
          <w:sz w:val="24"/>
          <w:szCs w:val="18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כתב האישום שהוגש נגד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spacing w:val="8"/>
          <w:rtl w:val="true"/>
        </w:rPr>
        <w:t>ייחס לו שני אישומים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בגין שני אירועים</w:t>
      </w:r>
      <w:r>
        <w:rPr>
          <w:rFonts w:cs="Century" w:ascii="Century" w:hAnsi="Century"/>
          <w:spacing w:val="8"/>
          <w:rtl w:val="true"/>
        </w:rPr>
        <w:t>,</w:t>
      </w:r>
      <w:r>
        <w:rPr>
          <w:rFonts w:cs="Century" w:ascii="Century" w:hAnsi="Century"/>
          <w:rtl w:val="true"/>
        </w:rPr>
        <w:t xml:space="preserve">  </w:t>
      </w:r>
      <w:r>
        <w:rPr>
          <w:rFonts w:ascii="Century" w:hAnsi="Century" w:cs="Century"/>
          <w:spacing w:val="8"/>
          <w:rtl w:val="true"/>
        </w:rPr>
        <w:t>המתוארים באישומים השישי והשביעי שפורטו לעיל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בהם היה מעורב יחד עם המערערים האחרים</w:t>
      </w:r>
      <w:r>
        <w:rPr>
          <w:rFonts w:cs="Century" w:ascii="Century" w:hAnsi="Century"/>
          <w:spacing w:val="8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תקיפת פלסטיני בכפר ראס כרכר והצתת רכב בכפר ביתילו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קפלן הודה במסגרת הסדר טיעון בעובדות כתב האישום המתוקן שהוגש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24.10.2017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 הכרעת הדין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במסגרתה הרשיע אותו 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במיוחס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יסוד הודאתו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12.11.2018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 גזר הדין בעניינו של קפלן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הדברים נתן בית המשפט את דעתו לתסקיר שירות המבחן שהוגש בעניינו של קפלן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צוין בתסקיר כי בהיותו בגיל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עבר קפלן ללמוד בישיבה קטנה ביישוב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יצהר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תקופה שאופיינה בשהייה בגבעות שונות ביהודה ושומרון ובמאחזים וכן בהתחברות לנוער בעייתי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בגיל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עבר ללמוד בישיבה ביישוב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נחליאל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אשר סיפקה עבורו גבולות ברורים ועזרה לו להתנתק מהסביבה הבעייתית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עריכת התסקיר קפלן למד בישיבה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ובמקביל ללימודיו עבד  בתחום השיפוצים והבנייה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קפלן נטל אחריות מלאה על מעשיו וגילה הבנה לחומרתם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בשנים האחרונות הוא עבר תהליך משמעותי והוא בעל רצון לקיים אורח חיים נורמטיבי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ההתרשמות כי קפלן עדיין מחזיק בדעות מעט קיצוניות וקיימת נטייה להיסחפות חברתית מצדו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הומלץ על שילובו בהליך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בשני תסקירים נוספים שהוגשו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נמסר כי קפלן שולב בקבוצה טיפולית העוסקת במתן כלים להתמודדות עם מצבי לחץ ומשבר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ולמרות הקושי הראשוני שחווה להעמיק ולבחון את בחירותיו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 הצליח להתבונן באופן כן בדפוסיו הבעייתיים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היווה דמות משמעותית וחיובית במפגשים וניכר כי עבר תהליך שיקומי 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 המליץ שירות המבחן להימנע מהטלת עונש מאסר מאחורי סורג ובריח והמליץ על מאסר בדרך של עבודות שירות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לצורך קביעת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הערכים החברתיים שנפגעו כתוצאה ממעשיו של קפלן ובהם שלומו ובטחונו של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שמירה על שלטון החוק והסדר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ורכושו ושלמות גופו של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מידת הפגיעה בערכים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הינה ברף בינוני עד גבוה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נתן בית המשפט את דעתו לנסיבות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המצביעות על תכנון מוקדם ואף הצטיידות בכלים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פוטנציאל נזק גבוה שהיה צפוי להיגרם מביצוע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והנזק החמור שנגרם בפועל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פציעותיו של המתלונן והנזק לרכב שהוצת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התייחס גם לחלקו היחסי של קפלן בעבירות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באישום האחד היה חלקו זהה לחלקם של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באישום השני חלקו היה קטן משל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 שהוא לא לקח חלק אקטיבי במעשה ההצתה והשחתת פני המקרקעין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סייע בנוכחותו והיה שותף לקשירת הקשר והבאת האמצעים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ניתן משקל לכך שהמעשים נעשו על רקע תפיסה אידיאולוגית גזענית ועמדות קיצוניות בהן החזיק קפלן בעת ביצוע המעשים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bidi w:val="1"/>
        <w:ind w:end="0"/>
        <w:jc w:val="start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במדיניות הענישה הנוהגת בעבירות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בגזר הדין בעניינם של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מתחמי הענישה שנקבעו שם לאישומים השישי והשביעי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אישומי מראה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לאישומים בתיק של קפלן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הועמד מתחם הענישה באשר לאירוע התקיפה על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באשר לאירוע ההצתה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קיימים שיקולים המצדיקים סטייה מהמתחם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לקולה או לחומרה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ההליך השיקומי המשמעותי שעבר 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אשר יש לשקול אותו בגדרו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העובדה כי מדובר בעבריינות אידיאולוגית בה ככלל יש להעדיף את שיקולי ההרתעה וההלימה על פני שיקול השיקום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לצורך קביעת עונשו של קפלן בתוך המתחם התחשב בית המשפט בגילו הצעיר ובנסיבותיו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ובכללן היותו נשוי ומצפה לילד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היעדרו של עבר פלילי משמעותי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נטילת האחריות מצדו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וההליך הטיפולי שעבר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נתן בית המשפט דעתו לשיקול הרתעת הרבים בגדרו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שבמקרים כגון דא שעניינם בעבירות חמורות על רקע גזעני נדחים שיקולי ענישה אחרים מפניו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באיזון בין השיקולים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לא ניתן להסתפק בעונש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ראוי לגזור על קפלן עונש מאסר בפועל אחד כולל בגין שני האירועים 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בגדרי המתחמים שנקבעו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בהתאם לכך גזר בית המשפט על קפלן עונש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בניכוי ימי מעצרו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יומיים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עבירת אלימות מסוג פשע או עבירת הצתה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לבל יעבור בתוך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עבירת אלימות מסוג עוון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בסך כולל של </w:t>
      </w:r>
      <w:r>
        <w:rPr>
          <w:rFonts w:cs="Century" w:ascii="Century" w:hAnsi="Century"/>
        </w:rPr>
        <w:t>14,000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לטובת נפגעי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Cs/>
          <w:spacing w:val="0"/>
          <w:szCs w:val="24"/>
        </w:rPr>
      </w:pPr>
      <w:r>
        <w:rPr>
          <w:rFonts w:ascii="Century" w:hAnsi="Century" w:cs="Miriam"/>
          <w:bCs/>
          <w:spacing w:val="0"/>
          <w:szCs w:val="24"/>
          <w:rtl w:val="true"/>
        </w:rPr>
        <w:t>הערעורים</w:t>
      </w:r>
    </w:p>
    <w:p>
      <w:pPr>
        <w:pStyle w:val="Ruller41"/>
        <w:spacing w:lineRule="auto" w:line="276"/>
        <w:ind w:end="0"/>
        <w:jc w:val="both"/>
        <w:rPr>
          <w:rFonts w:ascii="Century" w:hAnsi="Century" w:cs="Miriam"/>
          <w:bCs/>
          <w:spacing w:val="0"/>
          <w:szCs w:val="24"/>
        </w:rPr>
      </w:pPr>
      <w:r>
        <w:rPr>
          <w:rFonts w:cs="Miriam" w:ascii="Century" w:hAnsi="Century"/>
          <w:bCs/>
          <w:spacing w:val="0"/>
          <w:szCs w:val="24"/>
          <w:rtl w:val="true"/>
        </w:rPr>
      </w:r>
    </w:p>
    <w:p>
      <w:pPr>
        <w:pStyle w:val="Ruller41"/>
        <w:numPr>
          <w:ilvl w:val="0"/>
          <w:numId w:val="4"/>
        </w:numPr>
        <w:overflowPunct w:val="true"/>
        <w:autoSpaceDE w:val="true"/>
        <w:ind w:hanging="360" w:start="728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</w:p>
    <w:p>
      <w:pPr>
        <w:pStyle w:val="Ruller41"/>
        <w:spacing w:lineRule="auto" w:line="276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הודעת הערעור שהגישו האחים ביום </w:t>
      </w:r>
      <w:r>
        <w:rPr>
          <w:rFonts w:cs="Century" w:ascii="Century" w:hAnsi="Century"/>
        </w:rPr>
        <w:t>13.5.2018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מופנה ערעורם נגד גזרי הדין של שלושתם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נגד סוגיה אחת בהכרעת הדין שעניינה הרשעתו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באישום הראשון המייחס לו 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שכאמור הוא הודה בכך במסגרת הסדר 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הוגשו ביום </w:t>
      </w:r>
      <w:r>
        <w:rPr>
          <w:rFonts w:cs="Century" w:ascii="Century" w:hAnsi="Century"/>
        </w:rPr>
        <w:t>2.12.2018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התווסף לערעור על הכרעת הדין גם ערעור על הרשעתו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באישום הרביעי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שנראה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בדיון בערעור מיום </w:t>
      </w:r>
      <w:r>
        <w:rPr>
          <w:rFonts w:cs="Century" w:ascii="Century" w:hAnsi="Century"/>
        </w:rPr>
        <w:t>17.2.2020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נשמעו טענות כנגד הרשעתו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 באישום החמישי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הטענה המרכזית בערעור על הכרעת הדין נוגעת כאמור </w:t>
      </w:r>
      <w:r>
        <w:rPr>
          <w:rFonts w:ascii="FrankRuehl" w:hAnsi="FrankRuehl"/>
          <w:rtl w:val="true"/>
        </w:rPr>
        <w:t>ל</w:t>
      </w:r>
      <w:r>
        <w:rPr>
          <w:rFonts w:ascii="FrankRuehl" w:hAnsi="FrankRuehl"/>
          <w:b/>
          <w:b/>
          <w:rtl w:val="true"/>
        </w:rPr>
        <w:t xml:space="preserve">הרשעתו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b/>
          <w:rtl w:val="true"/>
        </w:rPr>
        <w:t xml:space="preserve"> </w:t>
      </w:r>
      <w:r>
        <w:rPr>
          <w:rFonts w:ascii="FrankRuehl" w:hAnsi="FrankRuehl"/>
          <w:b/>
          <w:b/>
          <w:rtl w:val="true"/>
        </w:rPr>
        <w:t>בעבירה של חברות בארגון טרור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והיא מבוססת על טענה לכשל בייצוג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נטען כי</w:t>
      </w:r>
      <w:r>
        <w:rPr>
          <w:rFonts w:ascii="Century" w:hAnsi="Century" w:cs="Century"/>
          <w:rtl w:val="true"/>
        </w:rPr>
        <w:t xml:space="preserve"> עורכת הדין שייצגה את האחים בערכאה קמא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הביאה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להודות באישום בעבירה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לעיין במלוא החומר הראייתי הנוגע לאישום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בחוות דעת המומחה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לאחר שנחשפה ההגנה לחוות הדעת האמורה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spacing w:val="6"/>
          <w:rtl w:val="true"/>
        </w:rPr>
        <w:t xml:space="preserve">התברר כי אין בה ולא כלום ונהיר כי לא היה כל מקום להביא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להודות באישום הראשון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במסגרת הסדר הטיעון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בשים לב לעובדות כתב האישום לפיהן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ארגון הטרור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מונה שני אנשים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szCs w:val="24"/>
          <w:rtl w:val="true"/>
        </w:rPr>
        <w:t xml:space="preserve">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שאין בהרכב זה כדי למלא אחר דרישת היסוד העובדתי של </w:t>
      </w:r>
      <w:hyperlink r:id="rId4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 למניעת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מגדירה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ארגון 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חבר אנשים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מונח המתייחס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הפסיקה לפחות 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חוות הדעת של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בהקשר זה אינה ראיה קבילה בהיותה עדות מפי השמועה המבוססת בין היתר על חומר מודיעיני שהוצאה לגביו תעודת 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כשהעיד אותו מומחה במשפטו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נתן תשובות ענייניות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הועלתה בהקשר זה טענה לאכיפה בררנית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>לפיה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הופלה לרעה בכך שהואשם בעבירה של חברות בארגון טרור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הן ביחס ליתר הנאשמים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ביחס לנאשמים אחרים שהועמדו לדין בעבירות דומות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גם אם היה מקום לייחס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 של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שייחוסה של העבירה של חבלה בכוונה מחמירה בגין אותו מעשה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אישום בכפל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בערעור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עונשם של שלושת האחים חורג לחומרה מהעונש הראוי בנסיבות עניינם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היה מקום לקבוע מתחם ענישה אחד כולל בגין כל המעשים שיוחסו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הקשר ההדוק בין אותם מעשים אשר מהווים כנטען פרי של תכנית עבריינית אחת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סבורים המערערים כי שגה בית המשפט קמא בכך שלא פעל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פסיקה שהוא עצמו ציטט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מתחם הענישה של קטינים נמוך באופן משמעותי מזה שהיה נקבע למי שהיה בגיר בעת 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בהתייחס לעונשם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לא נתן ביטוי הולם לנסיבותיהם האישיות בקביעת עונשם בגדרי המתחמים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היה מקום לסטות לקולה מגדרי המתחמים שנקבעו בשל שיקולי 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בהתייחס לעונשו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הודגש כי זה היה קטין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הפער בין המלצת שירות המבחן בעניינו לבין העונש שהושת עליו בפועל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מצדיק כשלעצמו התערבות בגזר 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4"/>
        </w:rPr>
      </w:pPr>
      <w:r>
        <w:rPr>
          <w:rFonts w:cs="FrankRuehl" w:ascii="FrankRuehl" w:hAnsi="FrankRuehl"/>
          <w:b/>
          <w:spacing w:val="0"/>
          <w:sz w:val="24"/>
          <w:rtl w:val="true"/>
        </w:rPr>
      </w:r>
    </w:p>
    <w:p>
      <w:pPr>
        <w:pStyle w:val="Ruller41"/>
        <w:numPr>
          <w:ilvl w:val="0"/>
          <w:numId w:val="4"/>
        </w:numPr>
        <w:overflowPunct w:val="true"/>
        <w:autoSpaceDE w:val="true"/>
        <w:ind w:hanging="360" w:start="728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Cs w:val="22"/>
        </w:rPr>
      </w:pPr>
      <w:r>
        <w:rPr>
          <w:rFonts w:cs="Miriam" w:ascii="Miriam" w:hAnsi="Miriam"/>
          <w:b/>
          <w:spacing w:val="0"/>
          <w:szCs w:val="22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מופנה כאמור הן כנגד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כנגד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הטענה המרכזית בערעור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נוגעת להרשעתו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וטענותיו בהקשר זה זהות למעשה לאלו שהועלו בערעורו של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טוען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כי אחד מיסודות העבירה האמורה דורש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חבר אנשים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המונה לפחות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בני אדם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דרישה שלא התקיימה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עצם העמדתו לדין בגין העבירה מהווה אכיפה בררנית לא ראויה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יש לפסול את חוות הדעת של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בשל היותה בלתי קבילה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חזר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על 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שנדחתה בבית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יש לזכותו מהעבירות של קשירת קשר בהן הורשע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הנחית פרקליט המדינה שהוזכרה בהכרעת הדין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ככלל ראוי שלא להאשים אדם בעבירה זו כאשר ניתן להוכיח את ביצוע העבירה מושא הקשר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טען כי נפל פגם בייחוס היסוד הנפשי בהרשעתו באישומים השלישי והרביעי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בערעור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טוען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כי עונשו חורג לחומרה מהראוי בהתחשב בכך שעבר תהליך שיקום יוצא דופן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ראוי היה להשית עליו עונש קל באופן משמעותי ביחס לחברו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אך בשל השיקום המשמעותי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בשל הבדל עובדתי בהרשעותיהם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זניח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כקביעתו של בית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לזכור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כנטען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בסופו של יום זוכה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מהחלופה המחמירה באישום החמישי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יידוי אבנים לעבר כלי רכב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וכי הוא זוכה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מהאישום האחד עשר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ירי בנשקו הצבאי של </w:t>
      </w:r>
      <w:r>
        <w:rPr>
          <w:rFonts w:ascii="Century" w:hAnsi="Century" w:cs="Miriam"/>
          <w:szCs w:val="24"/>
          <w:rtl w:val="true"/>
        </w:rPr>
        <w:t>י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כן מפנה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בערעורו להמלצת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ולתהליך השיקום המשמעותי והשינוי הגדול שעבר מאז בוצעו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ומדגיש את שיתוף הפעולה המלא עם מוסדות הטיפול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טוען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בניגוד לקביעתו של בית המשפט קמא ראוי היה בעניינו לבכר את שיקולי השיקום כשיקול מרכזי על פני שיקולי ההרתעה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4"/>
        </w:rPr>
      </w:pPr>
      <w:r>
        <w:rPr>
          <w:rFonts w:cs="FrankRuehl" w:ascii="FrankRuehl" w:hAnsi="FrankRuehl"/>
          <w:b/>
          <w:spacing w:val="0"/>
          <w:sz w:val="24"/>
          <w:rtl w:val="true"/>
        </w:rPr>
      </w:r>
    </w:p>
    <w:p>
      <w:pPr>
        <w:pStyle w:val="Ruller41"/>
        <w:numPr>
          <w:ilvl w:val="0"/>
          <w:numId w:val="4"/>
        </w:numPr>
        <w:overflowPunct w:val="true"/>
        <w:autoSpaceDE w:val="true"/>
        <w:ind w:hanging="360" w:start="728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הודעת הערעור שהגיש קפלן ביום </w:t>
      </w:r>
      <w:r>
        <w:rPr>
          <w:rFonts w:cs="Century" w:ascii="Century" w:hAnsi="Century"/>
        </w:rPr>
        <w:t>24.12.2018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כוונה נגד גזר הדין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שהוגשו ביום </w:t>
      </w:r>
      <w:r>
        <w:rPr>
          <w:rFonts w:cs="Century" w:ascii="Century" w:hAnsi="Century"/>
        </w:rPr>
        <w:t>3.3.2019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הוסיף 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התיישנות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מכוונת נגד הרשעתו בעבירה של השחתת פני מקרקעין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קפלן כי העונש שהושת עליו חורג לחומרה מהעונש הראוי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בגזר הדין לא ניתן משקל מספק לתהליך השיקום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ולמאמציו לשינוי משמעותי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לדעתו </w:t>
      </w:r>
      <w:r>
        <w:rPr>
          <w:rFonts w:ascii="Century" w:hAnsi="Century" w:cs="Century"/>
          <w:spacing w:val="6"/>
          <w:rtl w:val="true"/>
        </w:rPr>
        <w:t xml:space="preserve">עונים על הצורך לחרוג </w:t>
      </w:r>
      <w:r>
        <w:rPr>
          <w:rFonts w:ascii="Century" w:hAnsi="Century" w:cs="Century"/>
          <w:rtl w:val="true"/>
        </w:rPr>
        <w:t xml:space="preserve">לקולה </w:t>
      </w:r>
      <w:r>
        <w:rPr>
          <w:rFonts w:ascii="Century" w:hAnsi="Century" w:cs="Century"/>
          <w:spacing w:val="6"/>
          <w:rtl w:val="true"/>
        </w:rPr>
        <w:t>ממתחם הענישה</w:t>
      </w:r>
      <w:r>
        <w:rPr>
          <w:rFonts w:ascii="Century" w:hAnsi="Century" w:cs="Century"/>
          <w:rtl w:val="true"/>
        </w:rPr>
        <w:t xml:space="preserve">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נגד קביעתו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מדובר בעניינו בשיקום משמעותי אלא אך בנטילת אחריות וחזרה למוטב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לא ניתן לקבוע באופן מוחלט כי במקרה של עבריינות אידאולוגית נשללת אוטומטית האפשרות לחריגה מהמתחם משיקולי שיקום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הועלתה כאמור טענת התיישנות בנוגע להרשעה בעבירה של השחתת פני מקרקעין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כתב האישום בעניינו הוגש בחלוף מעל שנתיים וחצי לאחר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תקופת ההתיישנות הקבועה בחוק לעבירה זו הינה שנה אחת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</w:p>
    <w:p>
      <w:pPr>
        <w:pStyle w:val="Ruller41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המדינה סומכת ידיה על פסקי הדין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ומבקשת לדחות את הערעורים על כל נדבכיהם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לטענה המרכזית בערעורים על הכרעות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סבורה המדינה כי בצדק הורשעו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בניגוד לטענת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מנקס</w:t>
      </w:r>
      <w:r>
        <w:rPr>
          <w:rFonts w:ascii="Century" w:hAnsi="Century" w:cs="Century"/>
          <w:rtl w:val="true"/>
        </w:rPr>
        <w:t xml:space="preserve"> לא נקבעה הלכה בשאלת המספר המזערי של אנשים המהווים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חבר אנשים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ואילו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המלומד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קדמי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מדובר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חבורה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יותר מאדם אחד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הטענות נגד מומחיותו של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וקבילות ממצאי חוות דעתו נדחו על ידי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ומדובר בממצא עובדתי מובהק בו אין ערכאת הערעור נוטה להתערב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לגבי הטענה בדבר אכיפה בררנית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נקבע כי לא הונחה כל תשתית עובדתית לביסוסה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הגשת כתב האישום נגד המערערים בעבירה של חברות בארגון טרור נעשתה באישורו של פרקליט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להסמכתו לענין זה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היועץ המשפטי לממשלה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לטענות בדבר כשל בייצוג שהועלו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המדינה כי מדובר בטענות שעוסקות בקווי הגנה שלא ננקטו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הנוגעות לאופן בו מופעל שיקול דעתו של סנגור במהלך משא ומתן להסדר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רחוקות מאוד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מנסיבות המתאימות לטענה של כשל בייצוג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בדיעבד הוכח כי אכן לא היה בסיס לטענת ההגנה לכשל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לאחר שבמשפטו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נדונו ונדחו לגופן טענות ההגנה לענין עבירה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כן מבקשת המדינה לדחות את הטענות בנוגע לעבירות של קשירת 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מאחר שעבירת הקשר היא עבירה עצמאית ונפרדת מן העבירה המושלמת שלשמה נועד הקשר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מניעה להאשים בעבירה זו בנוסף על העבירה המושלמת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בנסיבות דנן הייתה הצדקה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נטען כי יש לדחות את הטענות בדבר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כפל אישומים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באישום 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הפניה למיקומן השונה ב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של עבירת ההצתה </w:t>
      </w:r>
      <w:r>
        <w:rPr>
          <w:rFonts w:cs="Century" w:ascii="Century" w:hAnsi="Century"/>
          <w:rtl w:val="true"/>
        </w:rPr>
        <w:t>(</w:t>
      </w:r>
      <w:hyperlink r:id="rId51">
        <w:r>
          <w:rPr>
            <w:rStyle w:val="Hyperlink"/>
            <w:rFonts w:ascii="Century" w:hAnsi="Century" w:cs="Century"/>
            <w:rtl w:val="true"/>
          </w:rPr>
          <w:t>בפרק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שעניינו פגיעה ברכוש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ועבירת החבלה בכוונה מחמירה </w:t>
      </w:r>
      <w:r>
        <w:rPr>
          <w:rFonts w:cs="Century" w:ascii="Century" w:hAnsi="Century"/>
          <w:rtl w:val="true"/>
        </w:rPr>
        <w:t>(</w:t>
      </w:r>
      <w:hyperlink r:id="rId52">
        <w:r>
          <w:rPr>
            <w:rStyle w:val="Hyperlink"/>
            <w:rFonts w:ascii="Century" w:hAnsi="Century" w:cs="Century"/>
            <w:rtl w:val="true"/>
          </w:rPr>
          <w:t>בפרק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שעניינו</w:t>
        </w:r>
      </w:hyperlink>
      <w:r>
        <w:rPr>
          <w:rFonts w:ascii="Century" w:hAnsi="Century" w:cs="Century"/>
          <w:rtl w:val="true"/>
        </w:rPr>
        <w:t xml:space="preserve"> פגיעה בגוף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לקראת הדיון בערעורים הוגשו לעיוננו תסקירי מבחן מעודכנים מיום </w:t>
      </w:r>
      <w:r>
        <w:rPr>
          <w:rFonts w:cs="Century" w:ascii="Century" w:hAnsi="Century"/>
        </w:rPr>
        <w:t>10.2.2020</w:t>
      </w:r>
      <w:r>
        <w:rPr>
          <w:rFonts w:cs="Century" w:ascii="Century" w:hAnsi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בנוגע לכל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המעודכן בעניינו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הוא כיום בן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ועשרה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 לרצות את מאסרו ביום </w:t>
      </w:r>
      <w:r>
        <w:rPr>
          <w:rFonts w:cs="Century" w:ascii="Century" w:hAnsi="Century"/>
        </w:rPr>
        <w:t>22.4.2018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ומתפקד בצורה תקינה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מקבל בהבנה והשלמה את עונשו ומביע חרטה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ומביע רצון להשתלב בתכנית 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להערכת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תקופת מאסרו עשויה להלום את צרכיו הטיפוליים במידה ותמוצה אפשרות שילובו בתכנית טיפולית בפיקוח רש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בעניינו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הוא כיום בן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 לרצות את מאסרו ביום </w:t>
      </w:r>
      <w:r>
        <w:rPr>
          <w:rFonts w:cs="Century" w:ascii="Century" w:hAnsi="Century"/>
        </w:rPr>
        <w:t>13.5.2018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שוהה באגף התורני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וההתרשמות היא כי הוא נעדר דפוסים עברייניים והמאסר מהווה גורם הרתעה עבורו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אינו מודע לחומרת מעשיו ומציג תדמית חיובית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 בעניינו 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כיום בן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ביום </w:t>
      </w:r>
      <w:r>
        <w:rPr>
          <w:rFonts w:cs="Century" w:ascii="Century" w:hAnsi="Century"/>
        </w:rPr>
        <w:t>8.10.2019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 שוחרר ממאסרו בתנאים מגבילים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ועובד מזה כשלושה חודשים בחברת בנייה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בתסקיר המעודכן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הוא כיום בן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 לרצות את מאסרו ביום </w:t>
      </w:r>
      <w:r>
        <w:rPr>
          <w:rFonts w:cs="Century" w:ascii="Century" w:hAnsi="Century"/>
        </w:rPr>
        <w:t>10.10.2019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חולק את תאו עם חברו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ונמצא בקשר עם רב בית הסוהר ולומד אתו אחת לשבוע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עבירות משמעת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בפרק הזמן שחלף בין מועד מתן גזר הדין ועד כניסתו לכלא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המשיך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לבסס את עצמו באורח חיים תקין ומתפקד ולבטא שאיפות נורמטיביות ביחס לעתידו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הכוללות מעבר למגורים עצמאיים ולימודים אקדמאיים בתחום הנדסת המזון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צוין כי ניכרים גורמי סיכוי רבים בחייו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וניכר כי הוא מגלה צער וחרטה בגין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כיום ההערכה היא כי הבנתו את חומרתם כוללת בתוכה את הרמה הקוגניטיבית והרגשית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 המליץ שירות המבחן ליתן ביטוי לגורמי הסיכוי בהליך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ולשקול בחיוב אפשרות של קיצור ביתרת מאסרו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בתסקיר המעודכן בעניינו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ריצוי עונשו עוכב עד להכרעה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הוא כיום בן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נשוי ואב לילדה כבת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ועובד בתחום השיפוצים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נמסר כי הוא משולב מזה מספר חודשים בשיחות פרטניות בשירות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בתדירות של אחת לשבוע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ומגיע באופן רציף ועקבי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משתף מעולמו הפנימי ומגלה מוכנות ובגרות להתבונן על דפוסי התנהלותו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כיום מצליח קפלן לעמוד על הגורמים הניצבים ברקע לעבירות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התבגרותו והשתלבותו הטיפולית מסייעות לו לבחון את התנהלותו ולזהות מצבי סיכון בעייתיים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זאת הומלץ לשקול אפשרות של המרת המאסר בפועל שהושת עליו למאסר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העמדתו בצו מבחן למשך שנה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בדיון לפנינו ביום </w:t>
      </w:r>
      <w:r>
        <w:rPr>
          <w:rFonts w:cs="Century" w:ascii="Century" w:hAnsi="Century"/>
        </w:rPr>
        <w:t>17.2.2020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חזרו באי כוח המערערים על עיקרי טענותיהם בכתב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בדגש על הטענה בנוגע להרשעה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מיקוד בטענות הערעור לענין העונשים שהושתו על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מטעמו של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הועלתה בדיון גם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נכללה בערעורו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בנוגע לכך שיש להרשיעו באישום החמישי בחלופה החמורה פחות של סעיף העבירה לאור הכרעת הדין בעניינו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 לאותו אישום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חזרה המדינה וטענה כי אין מקום לכל התערבות בהרשעות המערערים בבית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לטענה המאוחרת אודות האישום החמישי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טענה המדינה בדיון כי אין כאן כל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דיבור בשני קולות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כטענת הסנגורים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שהרי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הודה בכוונה המיוחדת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זוכה מאותה כוונה לאחר שמיעת 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הבהירה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בנוגע לטענת ההתיישנות שהעלה 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מרוץ ההתיישנות אינו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מתחיל ביום ביצוע העבירה ומסתיים במועד כתב האישום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ומכל מקום הדברים נבדקו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במהלך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הפער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שנה בחקירה המשטרתית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בוצעו פעולות חקירה על ידי שירות הביטחון הכללי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לעמדת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לדחות גם את הערעורים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לגישתה העונשים שהשית בית המשפט קמא על חמשת המערערים הינם עונשים ראויים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מצדיקים כל התערבות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לערעורם של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הודגש כי לא ניתן בשום אופן לראות בכל האישומים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אירוע אחד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מה גם שבפועל ניתן עונש כולל עבור כל 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בעבירות בעלות חומרה יתרה אשר מחייבות נימוקים מיוחדים לחריגה ממתחם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ביתר שאת אמורים הדברים על רקע 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לאחריה קשה להקל ראש באירועים של השלכת בקבוקי תבערה לבית מגורים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נתן את מלוא המשקל לגילאי האחים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וכזכור ניכה את תקופת שהייתו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במעון נעול מתקופת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לכלל הנוהג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בהתייחס לערעורו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המדינה כי אינה מתעלמת מתהליך השיקום המרשים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העונש שהוטל עליו מבטא התחשבות בהליך השיקומי ובגילו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ממצה את 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סבורה המדינה כי מקומם של שיקולי השיקום הינו בוועדת השחרורים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במסגרת ערעור על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בנוגע לערעורו של קפלן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עליו נגזר עונש מתון של שנת מאסר אחת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בהינתן סוג העבירות וחומרתן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ניתן להמירו לעבודות שירות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Cs/>
          <w:spacing w:val="0"/>
          <w:szCs w:val="24"/>
        </w:rPr>
      </w:pPr>
      <w:r>
        <w:rPr>
          <w:rFonts w:ascii="Century" w:hAnsi="Century" w:cs="Miriam"/>
          <w:bCs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Cs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Cs/>
          <w:spacing w:val="0"/>
          <w:szCs w:val="24"/>
          <w:rtl w:val="true"/>
        </w:rPr>
        <w:t xml:space="preserve"> </w:t>
      </w:r>
    </w:p>
    <w:p>
      <w:pPr>
        <w:pStyle w:val="Ruller41"/>
        <w:spacing w:lineRule="auto" w:line="276"/>
        <w:ind w:end="0"/>
        <w:jc w:val="both"/>
        <w:rPr>
          <w:rFonts w:ascii="Miriam" w:hAnsi="Miriam" w:cs="Miriam"/>
          <w:bCs/>
          <w:spacing w:val="0"/>
          <w:sz w:val="24"/>
          <w:szCs w:val="24"/>
        </w:rPr>
      </w:pPr>
      <w:r>
        <w:rPr>
          <w:rFonts w:cs="Miriam" w:ascii="Miriam" w:hAnsi="Miriam"/>
          <w:bCs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9"/>
        </w:numPr>
        <w:overflowPunct w:val="true"/>
        <w:autoSpaceDE w:val="true"/>
        <w:ind w:hanging="360" w:start="728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spacing w:lineRule="auto" w:line="276"/>
        <w:ind w:end="0"/>
        <w:jc w:val="both"/>
        <w:rPr>
          <w:rFonts w:ascii="Miriam" w:hAnsi="Miriam" w:cs="Miriam"/>
          <w:b/>
          <w:spacing w:val="0"/>
          <w:sz w:val="24"/>
          <w:szCs w:val="24"/>
        </w:rPr>
      </w:pPr>
      <w:r>
        <w:rPr>
          <w:rFonts w:cs="Miriam" w:ascii="Miriam" w:hAnsi="Miriam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האחים הורשעו לפי הודאתם בכתב אישום מתוקן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הפרדת משפטו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עמד באותה עת על כפירתו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ערעורם של האחים כולל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טענות נגד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טענות נגד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בנוגע להרשעתו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באישומים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 באישום הראשון שעניינו בעבירה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טענות אלה מהוות למעשה התנערות מהסדר הטיעון שנחתם בעניינם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בלא לבקש את ביטולו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בבחינת ניסיון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לאכול את העוגה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בדמות 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להותיר אותה שלמה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בדרך שמירת טענות במסגרת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ניסיון זה יש לדחות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1421/10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18.7.2012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כמצוין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הצידוק שנטען להעלאת טענות בערעור בנוגע להרשעת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באישום הראשון שעניינו בעבירה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נומק בטענה לכשל בייצוג של עורכת הדין שייצגה את האחים בערכאה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אין בה כל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רק שהיא מכוונת במובהק נגד אופן הפעלת שיקול דעת של סנגור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הדין וחומר הראיות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שהיא גם הוּכחה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כשגויה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אותן הטענות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 פי הטענה בערעור נבצר כביכול מ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להעלות בשל ייצוג כושל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הועלו במלואן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באי כוחו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בהליך ההוכחות שהתנהל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נידונו לגופן ונדחו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הורשע אף הוא בעבירה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מכאן שלא ניתן לטעון כי שיקול הדעת שהפעילה באת כוחו דאז של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סביר באופן המצדיק טענה של כשל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וכאמור אף חכמה שבדיעבד אין כאן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טוב היה לה לטענה זו בדבר כשל בייצוג שלא נטענה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ומשנטענה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דינה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אין מקום להיזקק לטענות הערעור בנוגע לאישום הראשון לגופן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אם כי הן יידונו להלן במסגרת ערעורו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הוא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וביתר שאת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>בנוגע לטענות בנוגע לאישומים הרביעי והחמישי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נכללו אף בהודעת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כנזכר כבר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9"/>
        </w:numPr>
        <w:overflowPunct w:val="true"/>
        <w:autoSpaceDE w:val="true"/>
        <w:ind w:hanging="360" w:start="728" w:end="0"/>
        <w:jc w:val="both"/>
        <w:textAlignment w:val="auto"/>
        <w:rPr>
          <w:rFonts w:ascii="Miriam" w:hAnsi="Miriam" w:cs="Miriam"/>
          <w:spacing w:val="0"/>
          <w:sz w:val="24"/>
          <w:szCs w:val="24"/>
        </w:rPr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ערעור מ</w:t>
      </w:r>
      <w:r>
        <w:rPr>
          <w:rFonts w:cs="Miriam" w:ascii="Miriam" w:hAnsi="Miriam"/>
          <w:spacing w:val="0"/>
          <w:sz w:val="24"/>
          <w:szCs w:val="24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 על הכרעת הדין</w:t>
      </w:r>
    </w:p>
    <w:p>
      <w:pPr>
        <w:pStyle w:val="Ruller41"/>
        <w:ind w:start="369"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cs="Miriam" w:ascii="Miriam" w:hAnsi="Miriam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על הכרעת הדין מתמקד בעיקרו בהרשעתו בעבירה של חברות בארגון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5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אקדים תוצאה להנמקה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ואומר כי לאחר בחינת הטענות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החוק והפסיקה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כי דינן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הורשעו כאמור בעבירה של </w:t>
      </w:r>
      <w:r>
        <w:rPr>
          <w:rFonts w:ascii="Century" w:hAnsi="Century" w:cs="Century"/>
          <w:rtl w:val="true"/>
        </w:rPr>
        <w:t>חברות בארגון טרור</w:t>
      </w:r>
      <w:r>
        <w:rPr>
          <w:rFonts w:ascii="Century" w:hAnsi="Century" w:cs="Century"/>
          <w:rtl w:val="true"/>
        </w:rPr>
        <w:t>יסטי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5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כהערת הקדמה אציין כי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בין המועד בו נעברו העבירות על ידי המערערים והוגש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מועד מתן הכרעות הדין בעניינם השתנה המצב הנורמטיבי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1.11.2016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לאחר 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לתוקפו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בוטלה הפקודה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הכרעות הדין ניתנו ביום </w:t>
      </w:r>
      <w:r>
        <w:rPr>
          <w:rFonts w:cs="Century" w:ascii="Century" w:hAnsi="Century"/>
        </w:rPr>
        <w:t>28.5.2018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בעניינם של האחים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21.2.2019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בעניינו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יצוין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העונש המרבי שנקבע בפקודה לעבירה הנדונה של חברות בארגון טרור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זהה</w:t>
      </w:r>
      <w:r>
        <w:rPr>
          <w:rFonts w:ascii="Century" w:hAnsi="Century" w:cs="Century"/>
          <w:rtl w:val="true"/>
        </w:rPr>
        <w:t xml:space="preserve"> לעונש המרבי הכלול בעבירה של חברות בארגון טרור לפי חוק המאבק בטרור </w:t>
      </w:r>
      <w:r>
        <w:rPr>
          <w:rFonts w:cs="Century" w:ascii="Century" w:hAnsi="Century"/>
          <w:rtl w:val="true"/>
        </w:rPr>
        <w:t>(</w:t>
      </w:r>
      <w:hyperlink r:id="rId5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הפקודה והן החוק קובעים עבירות חמורות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שאינן לענייננו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הכרעת הדין וגזר הדין בעניינם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ניתנו בהתאם להוראות הפקודה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ובדין נעשה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שנכנס כאמור לתוקף בטרם מתן פסקי הדין בעניינם של העותרים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אינו בגדר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חיקוק מקל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לענין הגדרת העבירה ולא לענין העונש </w:t>
      </w:r>
      <w:r>
        <w:rPr>
          <w:rFonts w:cs="Century" w:ascii="Century" w:hAnsi="Century"/>
          <w:rtl w:val="true"/>
        </w:rPr>
        <w:t>(</w:t>
      </w:r>
      <w:hyperlink r:id="rId5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hyperlink r:id="rId6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ascii="Century" w:hAnsi="Century" w:cs="Century"/>
          <w:rtl w:val="true"/>
        </w:rPr>
        <w:t xml:space="preserve"> קובע לאמור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51"/>
        <w:spacing w:lineRule="auto" w:line="276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ייאשם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ובצאתו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המונחים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טרוריסטי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טרוריסטי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מוגדרים </w:t>
      </w:r>
      <w:hyperlink r:id="rId6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 כדלקמן</w:t>
      </w:r>
      <w:r>
        <w:rPr>
          <w:rFonts w:cs="Century" w:ascii="Century" w:hAnsi="Century"/>
          <w:rtl w:val="true"/>
        </w:rPr>
        <w:t>: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51"/>
        <w:spacing w:lineRule="auto" w:line="276" w:before="0" w:after="120"/>
        <w:ind w:end="1282"/>
        <w:jc w:val="both"/>
        <w:rPr>
          <w:rFonts w:cs="Times New Roman"/>
          <w:sz w:val="24"/>
          <w:szCs w:val="24"/>
        </w:rPr>
      </w:pPr>
      <w:r>
        <w:rPr>
          <w:rtl w:val="true"/>
        </w:rPr>
        <w:t>"'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' </w:t>
      </w:r>
      <w:r>
        <w:rPr>
          <w:rtl w:val="true"/>
        </w:rPr>
        <w:t>פירושו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;</w:t>
      </w:r>
    </w:p>
    <w:p>
      <w:pPr>
        <w:pStyle w:val="Ruller51"/>
        <w:spacing w:lineRule="auto" w:line="276"/>
        <w:ind w:end="1282"/>
        <w:jc w:val="both"/>
        <w:rPr>
          <w:rFonts w:cs="Times New Roman"/>
          <w:sz w:val="24"/>
          <w:szCs w:val="24"/>
        </w:rPr>
      </w:pPr>
      <w:r>
        <w:rPr>
          <w:rtl w:val="true"/>
        </w:rPr>
        <w:t>'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' </w:t>
      </w:r>
      <w:r>
        <w:rPr>
          <w:rtl w:val="true"/>
        </w:rPr>
        <w:t>פירושו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בפעולותיו</w:t>
      </w:r>
      <w:r>
        <w:rPr>
          <w:rtl w:val="true"/>
        </w:rPr>
        <w:t xml:space="preserve">, </w:t>
      </w:r>
      <w:r>
        <w:rPr>
          <w:rtl w:val="true"/>
        </w:rPr>
        <w:t>המפרסם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  <w:sz w:val="32"/>
          <w:szCs w:val="32"/>
        </w:rPr>
      </w:pPr>
      <w:r>
        <w:rPr>
          <w:rFonts w:cs="Century" w:ascii="Century" w:hAnsi="Century"/>
          <w:sz w:val="32"/>
          <w:szCs w:val="32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הנוקטים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הננקטים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בהתחברותם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הנוקטים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</w:t>
      </w:r>
      <w:r>
        <w:rPr>
          <w:rtl w:val="true"/>
        </w:rPr>
        <w:t>התארגנויות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, </w:t>
      </w:r>
      <w:r>
        <w:rPr>
          <w:rtl w:val="true"/>
        </w:rPr>
        <w:t>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כסרטן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לסכן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</w:t>
      </w:r>
      <w:r>
        <w:rPr>
          <w:rtl w:val="true"/>
        </w:rPr>
        <w:t>" (</w:t>
      </w:r>
      <w:hyperlink r:id="rId6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בארין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193</w:t>
      </w:r>
      <w:r>
        <w:rPr>
          <w:rtl w:val="true"/>
        </w:rPr>
        <w:t xml:space="preserve">, </w:t>
      </w:r>
      <w:r>
        <w:rPr/>
        <w:t>207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בארין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spacing w:val="6"/>
          <w:sz w:val="32"/>
          <w:szCs w:val="32"/>
        </w:rPr>
      </w:pPr>
      <w:r>
        <w:rPr>
          <w:spacing w:val="6"/>
          <w:sz w:val="32"/>
          <w:szCs w:val="3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pacing w:val="6"/>
          <w:rtl w:val="true"/>
        </w:rPr>
        <w:tab/>
      </w:r>
      <w:r>
        <w:rPr>
          <w:spacing w:val="6"/>
          <w:rtl w:val="true"/>
        </w:rPr>
        <w:t>המונח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ארגון טרוריסטי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מוגדר בפקודה בלשון רחבה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פורש בפסיקה בפרשנות תכליתית מצמצמת ההולמת את רוח הפקודה בכללותה ואת תכליתה להתמודד עם תופעות הטרור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שהגדרת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ארגון טרוריסטי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מתייחסת ל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בהתאם לכך נקבע בפסיקה כי ייחודו של ארגון טרוריסטי בא לידי ביטוי בשניים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מניעיהם של אנשי הארגון הם אידיאולוגיים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ומטרתם אינה עבריינית גרידא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מכוונת להשגת יעד של שינוי מדיניות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 פעילות של אלימות עבריינית שאינה אלימות אידיאולוגית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כזו שבוצעה במסגרת ארגון פשיעה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בגדר פעילות טרור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מאחורי מעשי האלימות שעושה הארגון עומדת הכוונה להשיג את מטרותיו באמצעות הטלת אימה ופחד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אין זה תנאי כי לארגון יהיה מבנה פורמלי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שאין צורך להוכיח קיומה של היררכיה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ודרכי החברות בארגון יכולות להיות רבות ומגוונות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1952-1951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209-208</w:t>
      </w:r>
      <w:r>
        <w:rPr>
          <w:rFonts w:cs="Century" w:ascii="Century" w:hAnsi="Century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Century"/>
            <w:rtl w:val="true"/>
          </w:rPr>
          <w:t>ת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י</w:t>
        </w:r>
        <w:r>
          <w:rPr>
            <w:rStyle w:val="Hyperlink"/>
            <w:rFonts w:cs="Century" w:ascii="Century" w:hAnsi="Century"/>
            <w:rtl w:val="true"/>
          </w:rPr>
          <w:t>-</w:t>
        </w:r>
        <w:r>
          <w:rPr>
            <w:rStyle w:val="Hyperlink"/>
            <w:rFonts w:ascii="Century" w:hAnsi="Century" w:cs="Century"/>
            <w:rtl w:val="true"/>
          </w:rPr>
          <w:t>ם</w:t>
        </w:r>
        <w:r>
          <w:rPr>
            <w:rStyle w:val="Hyperlink"/>
            <w:rFonts w:cs="Century" w:ascii="Century" w:hAnsi="Century"/>
            <w:rtl w:val="true"/>
          </w:rPr>
          <w:t xml:space="preserve">) </w:t>
        </w:r>
        <w:r>
          <w:rPr>
            <w:rStyle w:val="Hyperlink"/>
            <w:rFonts w:cs="Century" w:ascii="Century" w:hAnsi="Century"/>
          </w:rPr>
          <w:t>216/03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זליגר</w:t>
      </w:r>
      <w:r>
        <w:rPr>
          <w:rFonts w:cs="FrankRuehl" w:ascii="FrankRuehl" w:hAnsi="FrankRuehl"/>
          <w:b/>
          <w:spacing w:val="0"/>
          <w:sz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3.12.2004</w:t>
      </w:r>
      <w:r>
        <w:rPr>
          <w:rFonts w:cs="Century" w:ascii="Century" w:hAnsi="Century"/>
          <w:rtl w:val="true"/>
        </w:rPr>
        <w:t xml:space="preserve">); 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645/05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5.12.2006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עמנואל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גרוס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מאבקה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דמוקרטיה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היבטים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ומוסריים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מנחם אמיר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ארגוני טרור וארגוני פשע מאורגן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הדמיון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השוני והקשר ביניהם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וחברה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spacing w:val="6"/>
          <w:rtl w:val="true"/>
        </w:rPr>
        <w:t xml:space="preserve">ליאת </w:t>
      </w:r>
      <w:r>
        <w:rPr>
          <w:rFonts w:ascii="Century" w:hAnsi="Century" w:cs="Century"/>
          <w:color w:val="000000"/>
          <w:spacing w:val="6"/>
          <w:rtl w:val="true"/>
        </w:rPr>
        <w:t>לבנון</w:t>
      </w:r>
      <w:r>
        <w:rPr>
          <w:rFonts w:cs="Century" w:ascii="Century" w:hAnsi="Century"/>
          <w:color w:val="000000"/>
          <w:spacing w:val="6"/>
          <w:rtl w:val="true"/>
        </w:rPr>
        <w:t xml:space="preserve">, </w:t>
      </w:r>
      <w:hyperlink r:id="rId68"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חברות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בארגון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טרור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ascii="Century" w:hAnsi="Century" w:cs="Century"/>
          <w:spacing w:val="6"/>
          <w:rtl w:val="true"/>
        </w:rPr>
        <w:t xml:space="preserve">מחקר מדיניות </w:t>
      </w:r>
      <w:r>
        <w:rPr>
          <w:rFonts w:cs="Century" w:ascii="Century" w:hAnsi="Century"/>
          <w:spacing w:val="6"/>
        </w:rPr>
        <w:t>94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המכון הישראלי לדמוקרטיה</w:t>
      </w:r>
      <w:r>
        <w:rPr>
          <w:rFonts w:cs="Century" w:ascii="Century" w:hAnsi="Century"/>
          <w:spacing w:val="6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65-62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הליקוי של הגדרות רחבות וחסרות שבפקודה בא על תיקונו בחוק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בין היתר החליף את ההוראות בדברי החקיקה השונים שעסקו בנושא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בפקודה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ההגדרות לענין זה בחוק הן מפורטות וממוקדות במאפיינים הייחודיים של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המונחים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הוגדרו </w:t>
      </w:r>
      <w:hyperlink r:id="rId6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"'</w:t>
      </w:r>
      <w:r>
        <w:rPr>
          <w:rFonts w:ascii="Century" w:hAnsi="Century" w:cs="Century"/>
          <w:rtl w:val="true"/>
        </w:rPr>
        <w:t>ארגון טרור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כל אחד מאלה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spacing w:lineRule="auto" w:line="276" w:before="0" w:after="80"/>
        <w:ind w:start="1644" w:end="1281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חבר בני אדם בתבנית מאורגנת ומתמשכת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שמבצע מעשי טרור או פועל במטרה שיבוצעו מעשי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חבר בני אדם כאמור שעוסק באימונים או בהדרכה לביצוע מעשי טרור או שעושה פעולה או עסקה בנשק לביצוע מעשי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שהוכרז ארגון טרור לפי פרק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ובין שלא</w:t>
      </w:r>
      <w:r>
        <w:rPr>
          <w:rFonts w:cs="Century" w:ascii="Century" w:hAnsi="Century"/>
          <w:rtl w:val="true"/>
        </w:rPr>
        <w:t>;</w:t>
      </w:r>
    </w:p>
    <w:p>
      <w:pPr>
        <w:pStyle w:val="Ruller51"/>
        <w:spacing w:lineRule="auto" w:line="276" w:before="0" w:after="80"/>
        <w:ind w:start="1644" w:end="1281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חבר בני אדם בתבנית מאורגנת ומתמשכת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pacing w:val="4"/>
          <w:rtl w:val="true"/>
        </w:rPr>
        <w:t>במישרין או בעקיפין</w:t>
      </w:r>
      <w:r>
        <w:rPr>
          <w:rFonts w:cs="Century" w:ascii="Century" w:hAnsi="Century"/>
          <w:spacing w:val="4"/>
          <w:rtl w:val="true"/>
        </w:rPr>
        <w:t xml:space="preserve">, </w:t>
      </w:r>
      <w:r>
        <w:rPr>
          <w:rFonts w:ascii="Century" w:hAnsi="Century" w:cs="Century"/>
          <w:spacing w:val="4"/>
          <w:rtl w:val="true"/>
        </w:rPr>
        <w:t xml:space="preserve">כדי לסייע לארגון כאמור בפסקה </w:t>
      </w:r>
      <w:r>
        <w:rPr>
          <w:rFonts w:cs="Century" w:ascii="Century" w:hAnsi="Century"/>
          <w:spacing w:val="4"/>
          <w:rtl w:val="true"/>
        </w:rPr>
        <w:t>(</w:t>
      </w:r>
      <w:r>
        <w:rPr>
          <w:rFonts w:cs="Century" w:ascii="Century" w:hAnsi="Century"/>
          <w:spacing w:val="4"/>
        </w:rPr>
        <w:t>1</w:t>
      </w:r>
      <w:r>
        <w:rPr>
          <w:rFonts w:cs="Century" w:ascii="Century" w:hAnsi="Century"/>
          <w:spacing w:val="4"/>
          <w:rtl w:val="true"/>
        </w:rPr>
        <w:t>)...</w:t>
      </w:r>
      <w:r>
        <w:rPr>
          <w:rFonts w:cs="Century" w:ascii="Century" w:hAnsi="Century"/>
          <w:spacing w:val="4"/>
          <w:rtl w:val="true"/>
        </w:rPr>
        <w:t>;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ארגון שהוכרז מחוץ לישראל ארגון טרור</w:t>
      </w:r>
      <w:r>
        <w:rPr>
          <w:rFonts w:cs="Century" w:ascii="Century" w:hAnsi="Century"/>
          <w:rtl w:val="true"/>
        </w:rPr>
        <w:t>...</w:t>
      </w:r>
    </w:p>
    <w:p>
      <w:pPr>
        <w:pStyle w:val="Ruller41"/>
        <w:ind w:start="164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720"/>
          <w:tab w:val="left" w:pos="7172" w:leader="none"/>
        </w:tabs>
        <w:spacing w:lineRule="auto" w:line="240" w:before="0" w:after="80"/>
        <w:ind w:start="1644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חבר בארגון טרור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 הנמנה עם 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 זה </w:t>
      </w:r>
      <w:r>
        <w:rPr>
          <w:rFonts w:cs="Century" w:ascii="Century" w:hAnsi="Century"/>
          <w:rtl w:val="true"/>
        </w:rPr>
        <w:t>-</w:t>
      </w:r>
    </w:p>
    <w:p>
      <w:pPr>
        <w:pStyle w:val="Ruller41"/>
        <w:tabs>
          <w:tab w:val="clear" w:pos="720"/>
          <w:tab w:val="left" w:pos="2211" w:leader="none"/>
          <w:tab w:val="left" w:pos="7172" w:leader="none"/>
        </w:tabs>
        <w:overflowPunct w:val="true"/>
        <w:autoSpaceDE w:val="true"/>
        <w:spacing w:lineRule="auto" w:line="240"/>
        <w:ind w:start="1644" w:end="1276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מי שנוטל חלק פעיל בפעילות של ארגון טרור</w:t>
      </w:r>
      <w:r>
        <w:rPr>
          <w:rFonts w:cs="Century" w:ascii="Century" w:hAnsi="Century"/>
          <w:rtl w:val="true"/>
        </w:rPr>
        <w:t>...</w:t>
      </w:r>
    </w:p>
    <w:p>
      <w:pPr>
        <w:pStyle w:val="Ruller41"/>
        <w:tabs>
          <w:tab w:val="clear" w:pos="720"/>
          <w:tab w:val="left" w:pos="2069" w:leader="none"/>
          <w:tab w:val="left" w:pos="7172" w:leader="none"/>
        </w:tabs>
        <w:ind w:start="1644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76" w:before="0" w:after="120"/>
        <w:ind w:start="1644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מעשה טרור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מעשה המהווה עבירה או איום בעשיית מעשה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שמתקיימים לגביהם כל אלה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tabs>
          <w:tab w:val="clear" w:pos="720"/>
          <w:tab w:val="left" w:pos="2211" w:leader="none"/>
        </w:tabs>
        <w:spacing w:lineRule="auto" w:line="240" w:before="0" w:after="120"/>
        <w:ind w:start="1644" w:end="1276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</w:t>
        <w:tab/>
      </w:r>
      <w:r>
        <w:rPr>
          <w:rFonts w:ascii="Century" w:hAnsi="Century" w:cs="Century"/>
          <w:rtl w:val="true"/>
        </w:rPr>
        <w:t>הם נעשו מתוך מניע מדיני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לאומני או אידאולוגי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spacing w:lineRule="auto" w:line="276" w:before="0" w:after="120"/>
        <w:ind w:start="1644" w:end="1276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הם נעשו במטרה לעורר פחד או בהלה בציבור או במטרה לאלץ ממשלה או רשות שלטונית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ממשלה או רשות שלטונית אחרת של מדינה זרה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ארגון ציבורי בין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לעשות מעשה או להימנע מעשיית מעשה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spacing w:lineRule="auto" w:line="276" w:before="0" w:after="120"/>
        <w:ind w:start="1644" w:end="1276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במעשה שנעשה או במעשה שאיימו בעשייתו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אחד מאלה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סיכון ממשי לאחד מאלה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start="2069" w:end="1134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פגיעה חמורה בגופו של אדם או בחירותו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spacing w:lineRule="auto" w:line="240"/>
        <w:ind w:start="2069" w:end="1134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  </w:t>
      </w:r>
      <w:r>
        <w:rPr>
          <w:rFonts w:ascii="Century" w:hAnsi="Century" w:cs="Century"/>
          <w:rtl w:val="true"/>
        </w:rPr>
        <w:t>פגיעה חמורה בבטיחות הציבור או בבריאותו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spacing w:lineRule="auto" w:line="276"/>
        <w:ind w:start="2069" w:end="1134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   </w:t>
      </w:r>
      <w:r>
        <w:rPr>
          <w:rFonts w:ascii="Century" w:hAnsi="Century" w:cs="Century"/>
          <w:rtl w:val="true"/>
        </w:rPr>
        <w:t>פגיעה חמורה ברכוש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..."</w:t>
      </w:r>
    </w:p>
    <w:p>
      <w:pPr>
        <w:pStyle w:val="Ruller41"/>
        <w:ind w:start="2069" w:end="1134"/>
        <w:jc w:val="both"/>
        <w:rPr>
          <w:rFonts w:ascii="Century" w:hAnsi="Century" w:cs="Century"/>
          <w:sz w:val="24"/>
          <w:szCs w:val="32"/>
        </w:rPr>
      </w:pPr>
      <w:r>
        <w:rPr>
          <w:rFonts w:cs="Century" w:ascii="Century" w:hAnsi="Century"/>
          <w:sz w:val="24"/>
          <w:szCs w:val="3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ניתן בנקל להבחין כי בהגדרה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מעשה 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בחוק המאבק בטרור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הדומה בעיקרה להגדרה </w:t>
      </w:r>
      <w:r>
        <w:rPr>
          <w:rtl w:val="true"/>
        </w:rPr>
        <w:t>הקיימת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מימון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ascii="Century" w:hAnsi="Century" w:cs="Century"/>
          <w:rtl w:val="true"/>
        </w:rPr>
        <w:t xml:space="preserve"> הלכה למעשה את הפרשנות שניתנה בפסיקה להוראות הפקודה על מנת לצמצם ולמקד את ההגדרה הרחבה שבפקודה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start="1134" w:end="1134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אין אפוא כל ספק כי המעשים בגינם הורשע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כמו גם מעשיו של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שנעשו בצוותא עמו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מהווים מעשי טרור במסגרת ארגון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לפי ההגדרות הרחבות של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ascii="Century" w:hAnsi="Century" w:cs="Century"/>
          <w:rtl w:val="true"/>
        </w:rPr>
        <w:t xml:space="preserve"> והן לפי ההגדרות הממוקדות של חוק המאבק בטרור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אעמוד בקצרה על עיקרי הדברים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1"/>
        <w:numPr>
          <w:ilvl w:val="0"/>
          <w:numId w:val="8"/>
        </w:numPr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before="0" w:after="240"/>
        <w:ind w:hanging="0" w:start="652" w:end="0"/>
        <w:jc w:val="both"/>
        <w:textAlignment w:val="auto"/>
        <w:rPr>
          <w:rFonts w:ascii="Century" w:hAnsi="Century" w:cs="Century"/>
        </w:rPr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הכרזה</w:t>
      </w:r>
      <w:r>
        <w:rPr>
          <w:rFonts w:ascii="Century" w:hAnsi="Century" w:cs="Century"/>
          <w:rtl w:val="true"/>
        </w:rPr>
        <w:t xml:space="preserve"> על ארגון כארגון טרור אינה תנאי לאישום ולהרשעה בעבירה של חברות בארגון טרור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לא לפי הפקודה ולא לפי החוק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אלא היא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כלי עזר ראייתי</w:t>
      </w:r>
      <w:r>
        <w:rPr>
          <w:rFonts w:ascii="Century" w:hAnsi="Century" w:cs="Century"/>
          <w:rtl w:val="true"/>
        </w:rPr>
        <w:t xml:space="preserve">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העובדה שלא קדמה להגשת כתב האישום הכרזה לפי הפקודה על פעילי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 מחיר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ארגון טרוריסטי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אינה שוללת את האפשרות להרשיע פעילים אלה בעבירה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hyperlink r:id="rId7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לפקודה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הכרזה כי חבר אנשים מסוים הינו ארגון טרוריסטי תשמש הוכחה לכך אלא אם יוכח ההיפך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פתוחה בפני התביעה האפשרות להוכיח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בדרכי ההוכחה הרגילות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חבר אנשים הינו ארגון טרוריסטי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שאכן נעשה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בהתייחס להוראת ההכרזה בחוק המאבק בטרור </w:t>
      </w:r>
      <w:r>
        <w:rPr>
          <w:rFonts w:cs="Century" w:ascii="Century" w:hAnsi="Century"/>
          <w:rtl w:val="true"/>
        </w:rPr>
        <w:t>(</w:t>
      </w:r>
      <w:hyperlink r:id="rId7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הובהר בדברי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עצם טיבה של פעילותו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במטרה לקדם מעשי טרור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מגדירה אותו כארגון טרור אף אם טרם הוכרז עליו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וחלות עליו כל הוראות החוק הנוגעות ל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ארגון טרור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באשר הוא כזה</w:t>
      </w:r>
      <w:r>
        <w:rPr>
          <w:rtl w:val="true"/>
        </w:rPr>
        <w:t>"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/>
        <w:t>611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וראו גם </w:t>
      </w:r>
      <w:hyperlink r:id="rId74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hyperlink r:id="rId75">
        <w:r>
          <w:rPr>
            <w:rStyle w:val="Hyperlink"/>
            <w:rFonts w:cs="Century" w:ascii="Century" w:hAnsi="Century"/>
          </w:rPr>
          <w:t>101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numPr>
          <w:ilvl w:val="0"/>
          <w:numId w:val="8"/>
        </w:numPr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before="0" w:after="240"/>
        <w:ind w:hanging="0" w:start="652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אשר לתנאי הבסיסי בדבר פעילות במסגרת </w:t>
      </w:r>
      <w:r>
        <w:rPr>
          <w:rFonts w:cs="Century" w:ascii="Century" w:hAnsi="Century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חבר אנשים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בצדק קבע בית המשפט קמא כי משמעותו היא חבורה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ואין לקרוא לתוך מונח זה דרישה מספרית שאין לה עיגון בפקודה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וגם לא בחוק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אליו הפנו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במפורש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לנו צורך לקבוע הלכה בנדון זה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והנשיא אולשן אף העיר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לפי מילון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יהודה קיימת גם אפשרות של שניים המהווים חבר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1951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בפסקי דין מאוחרים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העוסקים בהתאגדות אסורה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נתפרש תנאי זה בעקביות באופן הדורש התאגדות של שני אנשים ויותר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hyperlink r:id="rId7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קדמי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בפלילים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 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מהדורת 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1991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אין תימא אפוא שבדיון לפנינו לא חזרו המערערים על טענתם בהקשר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8"/>
        </w:numPr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before="0" w:after="180"/>
        <w:ind w:hanging="0" w:start="652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הארגון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בכוונתי לחזור על הדברים שכבר נסקרו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אציין בפרט את הבחירה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יעדי</w:t>
      </w:r>
      <w:r>
        <w:rPr>
          <w:rFonts w:ascii="Century" w:hAnsi="Century" w:cs="Century"/>
          <w:rtl w:val="true"/>
        </w:rPr>
        <w:t xml:space="preserve"> פעולות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המעידה על מניע אידיאולוגי מובהק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את הפעילות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בדפוס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שיטתי</w:t>
      </w:r>
      <w:r>
        <w:rPr>
          <w:rFonts w:ascii="Century" w:hAnsi="Century" w:cs="Century"/>
          <w:rtl w:val="true"/>
        </w:rPr>
        <w:t xml:space="preserve"> ומתמשך מאותם מניעים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ההצטיידות המוקדמת בכלים מתאימים בהתאם לאופי הפיגוע המתוכנן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נסיבות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המלמדות על חלוקת תפקידים ומשימות ברורה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חברותו של המערער בארגון נלמדת מפעולותיו בצוותא יחד עם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להוצאת פיגועים כנגד אזרחים ערבים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שכללו כזכור בין היתר יידוי בקבוקי תבערה לתוך בית מאוכלס באישון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יידוי רימוני גז לעבר בית מאוכלס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יידוי אבנים לעבר רכבים נוסעים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הצתת רכבים ותקיפה אכזרית של עובר אורח פלסטיני מבוגר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כאשר חלק מפעולות אלה לוו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ריסוס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כתובות</w:t>
      </w:r>
      <w:r>
        <w:rPr>
          <w:rFonts w:ascii="Century" w:hAnsi="Century" w:cs="Century"/>
          <w:rtl w:val="true"/>
        </w:rPr>
        <w:t xml:space="preserve"> שהצביעו בבירור על מהותן ותכליתן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שנקבע בצדק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באירועים אקראיים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ברצף של עבירות שבמרכזם הכוונה לפגוע בגוף וברכוש של פלסטינים חפים מפשע לשם הטלת אימה ממניעים אידיאולוגיים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before="0" w:after="240"/>
        <w:ind w:start="652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האידיאולוגי</w:t>
      </w:r>
      <w:r>
        <w:rPr>
          <w:rFonts w:ascii="Century" w:hAnsi="Century" w:cs="Century"/>
          <w:rtl w:val="true"/>
        </w:rPr>
        <w:t xml:space="preserve"> העומד מאחורי אותן פעולות ניתן ללמוד לא רק מכך שיש בנסיבות ביצוען כדי להצביע על תכליתן לזרות אימה וחרדה בקרב הציבור הערבי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מהכתובות שרוססו כאמור בחלק מזירות האירועים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מהמידע שמסר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עצמו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מטרת הפעולות הייתה נקמה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הרתעה והפחדה של ערבים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יש לשים לב לרקע למרבית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נעשו כפעולות תגמול על פיגועים שבוצעו כלפי יהודים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כמחאה על מדיניות הממשלה בפרשת דומא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8"/>
        </w:numPr>
        <w:tabs>
          <w:tab w:val="clear" w:pos="720"/>
          <w:tab w:val="left" w:pos="651" w:leader="none"/>
          <w:tab w:val="left" w:pos="1218" w:leader="none"/>
        </w:tabs>
        <w:overflowPunct w:val="true"/>
        <w:autoSpaceDE w:val="true"/>
        <w:spacing w:before="0" w:after="240"/>
        <w:ind w:hanging="0" w:start="652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לבסוף ב</w:t>
      </w:r>
      <w:r>
        <w:rPr>
          <w:rtl w:val="true"/>
        </w:rPr>
        <w:t>אשר</w:t>
      </w:r>
      <w:r>
        <w:rPr>
          <w:rFonts w:ascii="Century" w:hAnsi="Century" w:cs="Century"/>
          <w:rtl w:val="true"/>
        </w:rPr>
        <w:t xml:space="preserve"> לחוות דעתו של המומחה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יש לומר כי בנסיבות העניין די בתשתית העובדתית שהוכחה כדי לבסס את האישום וההרשעה בחברות בארגון טרוריסטי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 לא נדרשה חוות דעת מומחה לשם ביסוס ההרשעה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גם ממש בטענות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לענין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עיקר הטענות מופנה נגד התרשמותו של בית המשפט קמא מעדותו של המומחה ומממצאי חוות דעתו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 כי אין זה מדרכה של ערכאת הערעור להתערב בממצאי עובדה ומהימנות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 זאת בהחלטתה לאמץ ממצאים ומסקנות של מומחה </w:t>
      </w:r>
      <w:r>
        <w:rPr>
          <w:rFonts w:cs="Century" w:ascii="Century" w:hAnsi="Century"/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1872/16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18.5.2017</w:t>
      </w:r>
      <w:r>
        <w:rPr>
          <w:rFonts w:cs="Century" w:ascii="Century" w:hAnsi="Century"/>
          <w:rtl w:val="true"/>
        </w:rPr>
        <w:t xml:space="preserve">); 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2566/14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גלפונד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17.2.2016</w:t>
      </w:r>
      <w:r>
        <w:rPr>
          <w:rFonts w:cs="Century" w:ascii="Century" w:hAnsi="Century"/>
          <w:rtl w:val="true"/>
        </w:rPr>
        <w:t xml:space="preserve">); </w:t>
      </w:r>
      <w:hyperlink r:id="rId7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1242/06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13.6.2007</w:t>
      </w:r>
      <w:r>
        <w:rPr>
          <w:rFonts w:cs="Century" w:ascii="Century" w:hAnsi="Century"/>
          <w:rtl w:val="true"/>
        </w:rPr>
        <w:t xml:space="preserve">); </w:t>
      </w:r>
      <w:hyperlink r:id="rId8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10715/08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1.9.2009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המקרה שלפנינו אינו מקרה חריג המצדיק את התערבותנו</w:t>
      </w:r>
    </w:p>
    <w:p>
      <w:pPr>
        <w:pStyle w:val="Ruller41"/>
        <w:ind w:firstLine="5" w:start="652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גם הטענות נגד קבילות חוות הדעת דינן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כבר נפסק כי אין בעובדה שעדויותיהם של מומחים מסוגו של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אשר ככלל מבוססות על הידע והניסיון המקצועי שלהם ושאובות ממקורות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ממידע מודיעיני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 דווקא מראיות קבילות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להשפיע על קבילותן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>עדות מומחה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 מודיעין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מאבדת את משקלה רק בשל כך שמוטל חיסיון על מקורות המידע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כושרו המקצועי ואמינותו של המומחה ניתנים להצגה ולבחינה גם ללא חשיפתם של מקורות אלו</w:t>
      </w:r>
      <w:r>
        <w:rPr>
          <w:rFonts w:cs="Century" w:ascii="Century" w:hAnsi="Century"/>
          <w:rtl w:val="true"/>
        </w:rPr>
        <w:t>" (</w:t>
      </w:r>
      <w:hyperlink r:id="rId8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621/88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פיילר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112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לפיכך נקבע כי אין מדובר בשאלה של קבילות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בשאלה של משקל</w:t>
      </w:r>
      <w:r>
        <w:rPr>
          <w:rFonts w:cs="Century" w:ascii="Century" w:hAnsi="Century"/>
          <w:rtl w:val="true"/>
        </w:rPr>
        <w:t xml:space="preserve">: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spacing w:lineRule="auto" w:line="276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vertAlign w:val="superscript"/>
          <w:rtl w:val="true"/>
        </w:rPr>
        <w:t>-</w:t>
      </w:r>
      <w:r>
        <w:rPr>
          <w:rtl w:val="true"/>
        </w:rPr>
        <w:t>הקבילות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vertAlign w:val="superscript"/>
          <w:rtl w:val="true"/>
        </w:rPr>
        <w:t>-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>...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שיקול</w:t>
      </w:r>
      <w:r>
        <w:rPr>
          <w:vertAlign w:val="superscript"/>
          <w:rtl w:val="true"/>
        </w:rPr>
        <w:t>-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האילוץ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vertAlign w:val="superscript"/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>" (</w:t>
      </w:r>
      <w:hyperlink r:id="rId82">
        <w:r>
          <w:rPr>
            <w:rStyle w:val="Hyperlink"/>
            <w:rFonts w:ascii="FrankRuehl" w:hAnsi="FrankRuehl"/>
            <w:rtl w:val="true"/>
            <w:lang w:eastAsia="he-IL"/>
          </w:rPr>
          <w:t>בש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>"</w:t>
        </w:r>
        <w:r>
          <w:rPr>
            <w:rStyle w:val="Hyperlink"/>
            <w:rFonts w:ascii="FrankRuehl" w:hAnsi="FrankRuehl"/>
            <w:rtl w:val="true"/>
            <w:lang w:eastAsia="he-IL"/>
          </w:rPr>
          <w:t xml:space="preserve">פ </w:t>
        </w:r>
        <w:r>
          <w:rPr>
            <w:rStyle w:val="Hyperlink"/>
            <w:rFonts w:cs="FrankRuehl" w:ascii="FrankRuehl" w:hAnsi="FrankRuehl"/>
            <w:lang w:eastAsia="he-IL"/>
          </w:rPr>
          <w:t>11493/03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 xml:space="preserve">‏ </w:t>
        </w:r>
        <w:r>
          <w:rPr>
            <w:rStyle w:val="Hyperlink"/>
            <w:rFonts w:ascii="FrankRuehl" w:hAnsi="FrankRuehl"/>
            <w:rtl w:val="true"/>
            <w:lang w:eastAsia="he-IL"/>
          </w:rPr>
          <w:t>מחאג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>'</w:t>
        </w:r>
        <w:r>
          <w:rPr>
            <w:rStyle w:val="Hyperlink"/>
            <w:rFonts w:ascii="FrankRuehl" w:hAnsi="FrankRuehl"/>
            <w:rtl w:val="true"/>
            <w:lang w:eastAsia="he-IL"/>
          </w:rPr>
          <w:t>נה נ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 xml:space="preserve">' </w:t>
        </w:r>
        <w:r>
          <w:rPr>
            <w:rStyle w:val="Hyperlink"/>
            <w:rFonts w:ascii="FrankRuehl" w:hAnsi="FrankRuehl"/>
            <w:rtl w:val="true"/>
            <w:lang w:eastAsia="he-IL"/>
          </w:rPr>
          <w:t>מדינת ישראל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 xml:space="preserve">, </w:t>
        </w:r>
        <w:r>
          <w:rPr>
            <w:rStyle w:val="Hyperlink"/>
            <w:rFonts w:ascii="FrankRuehl" w:hAnsi="FrankRuehl"/>
            <w:rtl w:val="true"/>
            <w:lang w:eastAsia="he-IL"/>
          </w:rPr>
          <w:t>פ</w:t>
        </w:r>
        <w:r>
          <w:rPr>
            <w:rStyle w:val="Hyperlink"/>
            <w:rFonts w:cs="FrankRuehl" w:ascii="FrankRuehl" w:hAnsi="FrankRuehl"/>
            <w:rtl w:val="true"/>
            <w:lang w:eastAsia="he-IL"/>
          </w:rPr>
          <w:t>"</w:t>
        </w:r>
        <w:r>
          <w:rPr>
            <w:rStyle w:val="Hyperlink"/>
            <w:rFonts w:ascii="FrankRuehl" w:hAnsi="FrankRuehl"/>
            <w:rtl w:val="true"/>
            <w:lang w:eastAsia="he-IL"/>
          </w:rPr>
          <w:t>ד נט</w:t>
        </w:r>
      </w:hyperlink>
      <w:r>
        <w:rPr>
          <w:rFonts w:cs="FrankRuehl" w:ascii="FrankRuehl" w:hAnsi="FrankRuehl"/>
          <w:color w:val="000000"/>
          <w:rtl w:val="true"/>
          <w:lang w:eastAsia="he-IL"/>
        </w:rPr>
        <w:t>(</w:t>
      </w:r>
      <w:r>
        <w:rPr>
          <w:rFonts w:cs="FrankRuehl" w:ascii="FrankRuehl" w:hAnsi="FrankRuehl"/>
          <w:color w:val="000000"/>
          <w:lang w:eastAsia="he-IL"/>
        </w:rPr>
        <w:t>4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) </w:t>
      </w:r>
      <w:r>
        <w:rPr>
          <w:rFonts w:cs="FrankRuehl" w:ascii="FrankRuehl" w:hAnsi="FrankRuehl"/>
          <w:color w:val="000000"/>
          <w:lang w:eastAsia="he-IL"/>
        </w:rPr>
        <w:t>193</w:t>
      </w:r>
      <w:r>
        <w:rPr>
          <w:sz w:val="20"/>
          <w:rtl w:val="true"/>
          <w:lang w:eastAsia="he-IL"/>
        </w:rPr>
        <w:t xml:space="preserve">,  </w:t>
      </w:r>
      <w:r>
        <w:rPr>
          <w:sz w:val="20"/>
          <w:lang w:eastAsia="he-IL"/>
        </w:rPr>
        <w:t>202-201</w:t>
      </w:r>
      <w:r>
        <w:rPr>
          <w:sz w:val="20"/>
          <w:rtl w:val="true"/>
          <w:lang w:eastAsia="he-IL"/>
        </w:rPr>
        <w:t xml:space="preserve"> (</w:t>
      </w:r>
      <w:r>
        <w:rPr>
          <w:sz w:val="20"/>
          <w:lang w:eastAsia="he-IL"/>
        </w:rPr>
        <w:t>2004</w:t>
      </w:r>
      <w:r>
        <w:rPr>
          <w:sz w:val="20"/>
          <w:rtl w:val="true"/>
          <w:lang w:eastAsia="he-IL"/>
        </w:rPr>
        <w:t>)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firstLine="5" w:start="652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</w:p>
    <w:p>
      <w:pPr>
        <w:pStyle w:val="Ruller41"/>
        <w:ind w:firstLine="5" w:start="652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חלקו הארי של החומר עליו התבסס המומחה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הינו חומר שהועבר לעיון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 לחלק החסוי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מוצדקת אפוא קביעתו של בית המשפט קמא כי לכל היותר הדבר ישפיע על משקלה של חוות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רואה כל פגם במסקנה כי עדותו של המומחה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משקפת ראייה מקצועית של גישת הארגון המתמחה בסיכול 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המדובר בתשתית טרור בעלת מאפיינים מובהקים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חיזוק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למצבור הראיות האחרות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ואשר לטענה בדבר אכיפה בררנית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הבהירה כי היא נוהגת להעמיד לדין בעבירה של חברות בארגון טרוריסטי רק כאשר קיימת תשתית ראייתית לכך שהחשוד הוא חלק מחבר אנשים המבצעים פעולות טרור כהגדרתן ב</w:t>
      </w:r>
      <w:hyperlink r:id="rId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מניעת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טרור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קבועה ולאורך 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המדינה אף הציגה בפני בית המשפט קמא את השיקולים הפרטניים שנבדקו ביחס למעורבים הנוספים ששמם עלה בחוות דעתו של המכונה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והסבירה מדוע בסופו של יום מבין המעורבים בחרה לייחס רק למערערים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קיבל בהקשר זה את גישת המאשימה לפיה ייתכן פער בין האופן בו רואה המודיעין את תמונת המצב לבין מצב הראיות המאפשר הגשת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ושוכנע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ההגנה לא ביססה תחילתה של טענה הנוגעת לאכיפה בררנית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גם בקביעה עובדתית זו של הערכאה הדיונית אין כל הצדקה להתערב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לאמור אזכיר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הנחייה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/>
        <w:t>4.1004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הבהירה כי האישור להגשת כתב האישום דנן ניתן על ידי פרקליט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הוסמך לכך לפי סעיף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להנחיה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פיקוח מרכזי זה על הגשת כתבי אישום לפי הפקודה נועד להבטיח בין היתר הפעלת מדיניות אחידה בהגשת אישומים בעבירות בעלות רגישות מיוחדת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העבירה של חברות בארגון טרוריסטי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אציין כי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בפסיקה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מאחר והדרישה לאישור אינה מכוח חוק אלא מכוח הנחיה פנימית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העדר אישור מלכתחילה אינו מוביל בהכרח לביטול מעיקרא של 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אשר לטענות נוספות שהועלו בכתב הערעור והנוגעות להרשעתו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בעבירה של קשירת קשר לביצוע פשע באישומים </w:t>
      </w:r>
      <w:r>
        <w:rPr>
          <w:rFonts w:cs="Century" w:ascii="Century" w:hAnsi="Century"/>
        </w:rPr>
        <w:t>7-3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בנוסף להרשעה בעבירה המושלמת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בנוגע לאישומים </w:t>
      </w:r>
      <w:r>
        <w:rPr>
          <w:rFonts w:cs="Century" w:ascii="Century" w:hAnsi="Century"/>
        </w:rPr>
        <w:t>4-2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כי נראה שבטיעונו 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פה לפנינו זנח בא כוחו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טענות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אעיר להלן לטענות בקצרה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לענין ההרשעה בעבירת הקשר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קמא עמד בפירוט על טענה זו והבהיר בין היתר כי העובדות בהן הודה </w:t>
      </w:r>
      <w:r>
        <w:rPr>
          <w:rFonts w:eastAsia="Calibri" w:cs="Miriam"/>
          <w:szCs w:val="24"/>
          <w:rtl w:val="true"/>
        </w:rPr>
        <w:t>מ</w:t>
      </w:r>
      <w:r>
        <w:rPr>
          <w:rFonts w:eastAsia="Calibri" w:cs="Miriam"/>
          <w:szCs w:val="24"/>
          <w:rtl w:val="true"/>
        </w:rPr>
        <w:t>"</w:t>
      </w:r>
      <w:r>
        <w:rPr>
          <w:rFonts w:eastAsia="Calibri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מבססות במובהק את יסודות עבירת הקשר באישומים הנדונים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ממחיש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שבהעמדה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המושלמת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הנחיית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3.1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וניסוח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24-18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Calibri"/>
          <w:rtl w:val="true"/>
        </w:rPr>
        <w:t xml:space="preserve">). </w:t>
      </w:r>
      <w:r>
        <w:rPr>
          <w:rFonts w:ascii="Century" w:hAnsi="Century" w:cs="Century"/>
          <w:rtl w:val="true"/>
        </w:rPr>
        <w:t>אוסיף לענין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כבר נפסק לא פעם כי </w:t>
      </w:r>
      <w:r>
        <w:rPr>
          <w:rFonts w:cs="Century" w:ascii="Century" w:hAnsi="Century"/>
          <w:rtl w:val="true"/>
        </w:rPr>
        <w:t xml:space="preserve">-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76"/>
        <w:ind w:start="1644" w:end="1134"/>
        <w:jc w:val="both"/>
        <w:rPr>
          <w:rFonts w:ascii="Century" w:hAnsi="Century" w:cs="Century"/>
          <w:spacing w:val="10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המושלמת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יוטלו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hyperlink r:id="rId8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1272/13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אכתילאת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11.11.2013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6162/16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4.2.2018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644" w:end="1134"/>
        <w:jc w:val="both"/>
        <w:rPr>
          <w:rFonts w:ascii="Century" w:hAnsi="Century" w:cs="FrankRuehl"/>
          <w:spacing w:val="10"/>
          <w:sz w:val="24"/>
          <w:szCs w:val="32"/>
        </w:rPr>
      </w:pPr>
      <w:r>
        <w:rPr>
          <w:rFonts w:cs="FrankRuehl" w:ascii="Century" w:hAnsi="Century"/>
          <w:spacing w:val="10"/>
          <w:sz w:val="24"/>
          <w:szCs w:val="3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הנחיית פרקליט המדינה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3.1</w:t>
      </w:r>
      <w:r>
        <w:rPr>
          <w:rFonts w:cs="Century" w:ascii="Century" w:hAnsi="Century"/>
          <w:rtl w:val="true"/>
        </w:rPr>
        <w:t xml:space="preserve"> - </w:t>
      </w:r>
      <w:r>
        <w:rPr>
          <w:rFonts w:ascii="Century" w:hAnsi="Century" w:cs="Century"/>
          <w:rtl w:val="true"/>
        </w:rPr>
        <w:t>הכנה וניסוח כתב אישום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כוללת בין היתר הנחייה לתובעים מתי יש לכלול בכתב אישום עבירה של קשירת קשר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92-90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בין היתר מובהר שם כי בהתאם לפסיקה עבירת הקשר היא עבירה עצמאית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מניעה שבכתב האישום ייכללו הן עבירת הקשר והן העבירה המושלמת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עם זאת נקבע בהנחיה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spacing w:val="6"/>
          <w:rtl w:val="true"/>
        </w:rPr>
        <w:t>ככלל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ראוי שלא להאשים אדם בעבירת קשירת הקשר כאשר ניתן להוכיח את ביצוע העבירה מושא הקשר</w:t>
      </w:r>
      <w:r>
        <w:rPr>
          <w:rFonts w:cs="Century" w:ascii="Century" w:hAnsi="Century"/>
          <w:spacing w:val="6"/>
          <w:rtl w:val="true"/>
        </w:rPr>
        <w:t xml:space="preserve">... </w:t>
      </w:r>
      <w:r>
        <w:rPr>
          <w:rFonts w:ascii="Century" w:hAnsi="Century" w:cs="Century"/>
          <w:spacing w:val="6"/>
          <w:rtl w:val="true"/>
        </w:rPr>
        <w:t>זאת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אלא אם כן ישנה מטרה מיוחדת אשר מצדיקה האשמה והרשעה גם בעבירת הקשר</w:t>
      </w:r>
      <w:r>
        <w:rPr>
          <w:rFonts w:cs="Century" w:ascii="Century" w:hAnsi="Century"/>
          <w:spacing w:val="6"/>
          <w:rtl w:val="true"/>
        </w:rPr>
        <w:t xml:space="preserve">... </w:t>
      </w:r>
      <w:r>
        <w:rPr>
          <w:rFonts w:ascii="Century" w:hAnsi="Century" w:cs="Century"/>
          <w:spacing w:val="6"/>
          <w:rtl w:val="true"/>
        </w:rPr>
        <w:t>כגון</w:t>
      </w:r>
      <w:r>
        <w:rPr>
          <w:rFonts w:cs="Century" w:ascii="Century" w:hAnsi="Century"/>
          <w:spacing w:val="6"/>
          <w:rtl w:val="true"/>
        </w:rPr>
        <w:t xml:space="preserve">... </w:t>
      </w:r>
      <w:r>
        <w:rPr>
          <w:rFonts w:ascii="Century" w:hAnsi="Century" w:cs="Century"/>
          <w:spacing w:val="6"/>
          <w:rtl w:val="true"/>
        </w:rPr>
        <w:t>כאשר יש בהאשמה בעבירת הקשר כדי לסייע בהבנת ההקשר של העבירה או של שרשרת עבירות קשורות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בית המשפט קמא בחן כאמור שאלה זו וקבע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ובדין קבע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כי הנסיבות בענייננו הצדיקו הגשת כתב אישום גם בגין עבירות הקשר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ascii="Century" w:hAnsi="Century" w:cs="Century"/>
          <w:spacing w:val="6"/>
          <w:rtl w:val="true"/>
        </w:rPr>
        <w:t>הדבר עולה בקנה אחד גם עם הנחיית פרקליט המדינה</w:t>
      </w:r>
      <w:r>
        <w:rPr>
          <w:rFonts w:cs="Century" w:ascii="Century" w:hAnsi="Century"/>
          <w:spacing w:val="6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אזכיר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בכל מקרה אין להטיל </w:t>
      </w:r>
      <w:r>
        <w:rPr>
          <w:rFonts w:ascii="FrankRuehl" w:hAnsi="FrankRuehl"/>
          <w:rtl w:val="true"/>
        </w:rPr>
        <w:t>עונשים מצטברים בעקבות הרשעה בשתי העבירות</w:t>
      </w:r>
      <w:r>
        <w:rPr>
          <w:rFonts w:cs="FrankRuehl" w:ascii="FrankRuehl" w:hAnsi="FrankRuehl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לטענות בנוגע לאישומים </w:t>
      </w:r>
      <w:r>
        <w:rPr>
          <w:rFonts w:cs="Century" w:ascii="Century" w:hAnsi="Century"/>
        </w:rPr>
        <w:t>4-2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בטענות מעלה כי הן מופנות למעשה נגד ממצאי עובדה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והמסקנות הנגזרות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מהכרעת הדין עולה כי הדברים נבחנו ביסודיות ובזהירות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והקביעות מנומקות בפירוט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מבחינה עובדתית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מבחינה משפטית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איני רואה כל עילה להתערב בקביעה ביחס לאירוע השלכת בקבוקי התבערה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אישום רביעי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כי נתקיים במערער היסוד הנפשי הדרוש לעבירה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שאינני מוצא כל פגם בקביעה כי במסגרת אותו אירוע ביצע המערער גם עבירה נפרדת של הצתה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יסוד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אין מקום להתערבותנו בהכרעות הדין של בתי המשפט קמא בעניינם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 זאת בהרשעתם של </w:t>
      </w:r>
      <w:r>
        <w:rPr>
          <w:rFonts w:ascii="Century" w:hAnsi="Century" w:cs="Miriam"/>
          <w:szCs w:val="24"/>
          <w:rtl w:val="true"/>
        </w:rPr>
        <w:t>ב</w:t>
      </w:r>
      <w:r>
        <w:rPr>
          <w:rFonts w:cs="Miriam" w:ascii="Century" w:hAnsi="Century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בעבירה של חברות בארגון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הערעורים על הכרעות הדין ולהותיר את הרשעות המערערים על כנן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FrankRuehl" w:hAnsi="FrankRuehl" w:cs="FrankRuehl"/>
          <w:color w:val="000000"/>
        </w:rPr>
      </w:pPr>
      <w:r>
        <w:rPr>
          <w:rFonts w:ascii="FrankRuehl" w:hAnsi="FrankRuehl"/>
          <w:color w:val="000000"/>
          <w:rtl w:val="true"/>
        </w:rPr>
        <w:t>נקודת המוצא היא כידוע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כי אין ערכאת הערעור נוטה להתערב בגזר דינה של הערכאה הדיונית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אלא במקרים </w:t>
      </w:r>
      <w:r>
        <w:rPr>
          <w:rFonts w:ascii="FrankRuehl" w:hAnsi="FrankRuehl"/>
          <w:color w:val="000000"/>
          <w:rtl w:val="true"/>
        </w:rPr>
        <w:t>בהם נפלה בגזר הדין טעות מהותית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או שעה שהעונש שנגזר על ידה חורג באופן ממשי מרמת הענישה הנוהגת או הראויה בנסיבות דומות </w:t>
      </w:r>
      <w:r>
        <w:rPr>
          <w:rFonts w:cs="FrankRuehl" w:ascii="FrankRuehl" w:hAnsi="FrankRuehl"/>
          <w:color w:val="000000"/>
          <w:rtl w:val="true"/>
        </w:rPr>
        <w:t>(</w:t>
      </w:r>
      <w:hyperlink r:id="rId87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8164/19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8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2.4.2020</w:t>
      </w:r>
      <w:r>
        <w:rPr>
          <w:rFonts w:cs="FrankRuehl" w:ascii="FrankRuehl" w:hAnsi="FrankRuehl"/>
          <w:color w:val="000000"/>
          <w:rtl w:val="true"/>
        </w:rPr>
        <w:t>)).</w:t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FrankRuehl" w:hAnsi="FrankRuehl"/>
          <w:color w:val="000000"/>
          <w:rtl w:val="true"/>
        </w:rPr>
        <w:t xml:space="preserve">אין צורך להכביר מילים בדבר חומרת המעשים והעבירות בהן הורשעו המערערים 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ascii="FrankRuehl" w:hAnsi="FrankRuehl"/>
          <w:color w:val="000000"/>
          <w:rtl w:val="true"/>
        </w:rPr>
        <w:t xml:space="preserve">כל אחד לפי חלקו 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ascii="FrankRuehl" w:hAnsi="FrankRuehl"/>
          <w:color w:val="000000"/>
          <w:rtl w:val="true"/>
        </w:rPr>
        <w:t>מעשים הטומנים בחובם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לצד פגיעה בחפים מפשע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 xml:space="preserve">גם סכנה לשלום הציבור ורצון </w:t>
      </w:r>
      <w:r>
        <w:rPr>
          <w:rFonts w:ascii="FrankRuehl" w:hAnsi="FrankRuehl"/>
          <w:color w:val="000000"/>
          <w:rtl w:val="true"/>
        </w:rPr>
        <w:t>לכפות את עמדותיהם הקיצוניות על הציבור הרחב בדרכי אלימות</w:t>
      </w:r>
      <w:r>
        <w:rPr>
          <w:rFonts w:ascii="FrankRuehl" w:hAnsi="FrankRuehl"/>
          <w:color w:val="000000"/>
          <w:rtl w:val="true"/>
        </w:rPr>
        <w:t xml:space="preserve"> והטלת פחד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באופן המערער את סדרי המשטר הדמוקרטי</w:t>
      </w:r>
      <w:r>
        <w:rPr>
          <w:rFonts w:cs="FrankRuehl" w:ascii="FrankRuehl" w:hAnsi="FrankRuehl"/>
          <w:color w:val="000000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המערערים עשו דין לעצמם בנטילת החוק לידיים וביצוע פיגועי נקם בחפים מפשע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לגבי עבירות ממניע גזעני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הביע המחוקק את עמדתו באשר לחומרה המיוחדת שהוא רואה בכך בתיקון ל</w:t>
      </w:r>
      <w:hyperlink r:id="rId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משנת 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בהוסיפו בין היתר את </w:t>
      </w:r>
      <w:hyperlink r:id="rId8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ascii="Century" w:hAnsi="Century" w:cs="Century"/>
            <w:rtl w:val="true"/>
          </w:rPr>
          <w:t>ו</w:t>
        </w:r>
        <w:r>
          <w:rPr>
            <w:rStyle w:val="Hyperlink"/>
            <w:rFonts w:cs="Century" w:ascii="Century" w:hAnsi="Century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שכותרתו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עבירות ממניע גזענות או עוינות כלפי ציבור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–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 נסיבה מחמירה</w:t>
      </w:r>
      <w:r>
        <w:rPr>
          <w:rtl w:val="true"/>
        </w:rPr>
        <w:t xml:space="preserve">",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ListParagraph"/>
        <w:bidi w:val="1"/>
        <w:spacing w:lineRule="auto" w:line="276" w:before="0" w:after="120"/>
        <w:ind w:start="1503" w:end="1276"/>
        <w:contextualSpacing/>
        <w:jc w:val="both"/>
        <w:rPr>
          <w:spacing w:val="6"/>
          <w:szCs w:val="28"/>
        </w:rPr>
      </w:pPr>
      <w:r>
        <w:rPr>
          <w:rFonts w:cs="FrankRuehl" w:ascii="FrankRuehl" w:hAnsi="FrankRuehl"/>
          <w:spacing w:val="6"/>
          <w:sz w:val="40"/>
          <w:szCs w:val="28"/>
          <w:rtl w:val="true"/>
        </w:rPr>
        <w:t>"</w:t>
      </w:r>
      <w:r>
        <w:rPr>
          <w:rFonts w:cs="Arial TUR" w:ascii="Arial TUR" w:hAnsi="Arial TUR"/>
          <w:spacing w:val="6"/>
          <w:szCs w:val="28"/>
        </w:rPr>
        <w:t>144</w:t>
      </w:r>
      <w:r>
        <w:rPr>
          <w:rFonts w:ascii="Arial TUR" w:hAnsi="Arial TUR" w:cs="Arial TUR"/>
          <w:spacing w:val="6"/>
          <w:szCs w:val="28"/>
          <w:rtl w:val="true"/>
        </w:rPr>
        <w:t>ו</w:t>
      </w:r>
      <w:r>
        <w:rPr>
          <w:rFonts w:cs="Arial TUR" w:ascii="Arial TUR" w:hAnsi="Arial TUR"/>
          <w:spacing w:val="6"/>
          <w:szCs w:val="28"/>
          <w:rtl w:val="true"/>
        </w:rPr>
        <w:t>.</w:t>
      </w:r>
      <w:r>
        <w:rPr>
          <w:spacing w:val="6"/>
          <w:rtl w:val="true"/>
        </w:rPr>
        <w:t xml:space="preserve">   </w:t>
      </w:r>
      <w:r>
        <w:rPr>
          <w:rFonts w:cs="Arial TUR" w:ascii="Arial TUR" w:hAnsi="Arial TUR"/>
          <w:spacing w:val="6"/>
          <w:szCs w:val="28"/>
          <w:rtl w:val="true"/>
        </w:rPr>
        <w:t>(</w:t>
      </w:r>
      <w:r>
        <w:rPr>
          <w:rFonts w:ascii="Arial TUR" w:hAnsi="Arial TUR" w:cs="Arial TUR"/>
          <w:spacing w:val="6"/>
          <w:szCs w:val="28"/>
          <w:rtl w:val="true"/>
        </w:rPr>
        <w:t>א</w:t>
      </w:r>
      <w:r>
        <w:rPr>
          <w:rFonts w:cs="Arial TUR" w:ascii="Arial TUR" w:hAnsi="Arial TUR"/>
          <w:spacing w:val="6"/>
          <w:szCs w:val="28"/>
          <w:rtl w:val="true"/>
        </w:rPr>
        <w:t xml:space="preserve">)  </w:t>
      </w:r>
      <w:r>
        <w:rPr>
          <w:rFonts w:ascii="Arial TUR" w:hAnsi="Arial TUR" w:cs="Arial TUR"/>
          <w:spacing w:val="6"/>
          <w:szCs w:val="28"/>
          <w:rtl w:val="true"/>
        </w:rPr>
        <w:t>העובר עבירה מתוך מניע של גזענות כהגדרתה בסימן א</w:t>
      </w:r>
      <w:r>
        <w:rPr>
          <w:rFonts w:cs="Arial TUR" w:ascii="Arial TUR" w:hAnsi="Arial TUR"/>
          <w:spacing w:val="6"/>
          <w:szCs w:val="28"/>
          <w:rtl w:val="true"/>
        </w:rPr>
        <w:t>'</w:t>
      </w:r>
      <w:r>
        <w:rPr>
          <w:rFonts w:cs="Arial TUR" w:ascii="Arial TUR" w:hAnsi="Arial TUR"/>
          <w:spacing w:val="6"/>
          <w:szCs w:val="28"/>
        </w:rPr>
        <w:t>1</w:t>
      </w:r>
      <w:r>
        <w:rPr>
          <w:rFonts w:cs="Arial TUR" w:ascii="Arial TUR" w:hAnsi="Arial TUR"/>
          <w:spacing w:val="6"/>
          <w:szCs w:val="28"/>
          <w:rtl w:val="true"/>
        </w:rPr>
        <w:t xml:space="preserve"> </w:t>
      </w:r>
      <w:r>
        <w:rPr>
          <w:rFonts w:ascii="Arial TUR" w:hAnsi="Arial TUR" w:cs="Arial TUR"/>
          <w:spacing w:val="6"/>
          <w:szCs w:val="28"/>
          <w:rtl w:val="true"/>
        </w:rPr>
        <w:t>או של עוינות כלפי ציבור מחמת דת</w:t>
      </w:r>
      <w:r>
        <w:rPr>
          <w:rFonts w:cs="Arial TUR" w:ascii="Arial TUR" w:hAnsi="Arial TUR"/>
          <w:spacing w:val="6"/>
          <w:szCs w:val="28"/>
          <w:rtl w:val="true"/>
        </w:rPr>
        <w:t xml:space="preserve">, </w:t>
      </w:r>
      <w:r>
        <w:rPr>
          <w:rFonts w:ascii="Arial TUR" w:hAnsi="Arial TUR" w:cs="Arial TUR"/>
          <w:spacing w:val="6"/>
          <w:szCs w:val="28"/>
          <w:rtl w:val="true"/>
        </w:rPr>
        <w:t>קבוצה דתית</w:t>
      </w:r>
      <w:r>
        <w:rPr>
          <w:rFonts w:cs="Arial TUR" w:ascii="Arial TUR" w:hAnsi="Arial TUR"/>
          <w:spacing w:val="6"/>
          <w:szCs w:val="28"/>
          <w:rtl w:val="true"/>
        </w:rPr>
        <w:t xml:space="preserve">, </w:t>
      </w:r>
      <w:r>
        <w:rPr>
          <w:rFonts w:ascii="Arial TUR" w:hAnsi="Arial TUR" w:cs="Arial TUR"/>
          <w:spacing w:val="6"/>
          <w:szCs w:val="28"/>
          <w:rtl w:val="true"/>
        </w:rPr>
        <w:t>מוצא עדתי</w:t>
      </w:r>
      <w:r>
        <w:rPr>
          <w:rFonts w:cs="Arial TUR" w:ascii="Arial TUR" w:hAnsi="Arial TUR"/>
          <w:spacing w:val="6"/>
          <w:szCs w:val="28"/>
          <w:rtl w:val="true"/>
        </w:rPr>
        <w:t xml:space="preserve">, </w:t>
      </w:r>
      <w:r>
        <w:rPr>
          <w:rFonts w:ascii="Arial TUR" w:hAnsi="Arial TUR" w:cs="Arial TUR"/>
          <w:spacing w:val="6"/>
          <w:szCs w:val="28"/>
          <w:rtl w:val="true"/>
        </w:rPr>
        <w:t>נטיה מינית או היותם עובדים זרים</w:t>
      </w:r>
      <w:r>
        <w:rPr>
          <w:rFonts w:cs="Arial TUR" w:ascii="Arial TUR" w:hAnsi="Arial TUR"/>
          <w:spacing w:val="6"/>
          <w:szCs w:val="28"/>
          <w:rtl w:val="true"/>
        </w:rPr>
        <w:t xml:space="preserve">, </w:t>
      </w:r>
      <w:r>
        <w:rPr>
          <w:rFonts w:ascii="Arial TUR" w:hAnsi="Arial TUR" w:cs="Arial TUR"/>
          <w:spacing w:val="6"/>
          <w:szCs w:val="28"/>
          <w:rtl w:val="true"/>
        </w:rPr>
        <w:t>דינו – כפל העונש הקבוע לאותה עבירה או מאסר עשר שנים</w:t>
      </w:r>
      <w:r>
        <w:rPr>
          <w:rFonts w:cs="Arial TUR" w:ascii="Arial TUR" w:hAnsi="Arial TUR"/>
          <w:spacing w:val="6"/>
          <w:szCs w:val="28"/>
          <w:rtl w:val="true"/>
        </w:rPr>
        <w:t xml:space="preserve">, </w:t>
      </w:r>
      <w:r>
        <w:rPr>
          <w:rFonts w:ascii="Arial TUR" w:hAnsi="Arial TUR" w:cs="Arial TUR"/>
          <w:spacing w:val="6"/>
          <w:szCs w:val="28"/>
          <w:rtl w:val="true"/>
        </w:rPr>
        <w:t>הכל לפי העונש הקל יותר</w:t>
      </w:r>
      <w:r>
        <w:rPr>
          <w:rFonts w:cs="Arial TUR" w:ascii="Arial TUR" w:hAnsi="Arial TUR"/>
          <w:spacing w:val="6"/>
          <w:szCs w:val="28"/>
          <w:rtl w:val="true"/>
        </w:rPr>
        <w:t>.</w:t>
      </w:r>
    </w:p>
    <w:p>
      <w:pPr>
        <w:pStyle w:val="Ruller41"/>
        <w:spacing w:lineRule="auto" w:line="276"/>
        <w:ind w:start="1502" w:end="1276"/>
        <w:jc w:val="both"/>
        <w:rPr/>
      </w:pPr>
      <w:r>
        <w:rPr>
          <w:rFonts w:eastAsia="Arial TUR" w:cs="Arial TUR"/>
          <w:rtl w:val="true"/>
        </w:rPr>
        <w:t xml:space="preserve">         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עבירה</w:t>
      </w:r>
      <w:r>
        <w:rPr>
          <w:rtl w:val="true"/>
        </w:rPr>
        <w:t xml:space="preserve">" –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לציב</w:t>
      </w:r>
      <w:r>
        <w:rPr>
          <w:rtl w:val="true"/>
        </w:rPr>
        <w:t>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."</w:t>
      </w:r>
    </w:p>
    <w:p>
      <w:pPr>
        <w:pStyle w:val="ListParagraph"/>
        <w:bidi w:val="1"/>
        <w:ind w:end="0"/>
        <w:jc w:val="start"/>
        <w:rPr>
          <w:rFonts w:ascii="Century" w:hAnsi="Century" w:cs="Century"/>
          <w:sz w:val="44"/>
          <w:szCs w:val="32"/>
        </w:rPr>
      </w:pPr>
      <w:r>
        <w:rPr>
          <w:rFonts w:cs="Century" w:ascii="Century" w:hAnsi="Century"/>
          <w:sz w:val="44"/>
          <w:szCs w:val="32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גם בתי המשפט עמדו לא פעם על החומרה היתרה הגלומה בעבירות על רקע אידיאולוגי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start="360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76"/>
        <w:ind w:start="1502" w:end="1134"/>
        <w:jc w:val="both"/>
        <w:rPr>
          <w:spacing w:val="6"/>
        </w:rPr>
      </w:pPr>
      <w:r>
        <w:rPr>
          <w:spacing w:val="6"/>
          <w:rtl w:val="true"/>
        </w:rPr>
        <w:t>"</w:t>
      </w:r>
      <w:r>
        <w:rPr>
          <w:spacing w:val="6"/>
          <w:rtl w:val="true"/>
        </w:rPr>
        <w:t>במציאות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הישראלית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יש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בביצוע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עבירות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רקע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אידאולוגי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המביאות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להעמקת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האיבה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בין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קבוצות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שונות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האוכלוסיה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משום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ערעור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סדרי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המשטר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הדמוקרטי</w:t>
      </w:r>
      <w:r>
        <w:rPr>
          <w:spacing w:val="6"/>
          <w:rtl w:val="true"/>
        </w:rPr>
        <w:t xml:space="preserve">; </w:t>
      </w:r>
      <w:r>
        <w:rPr>
          <w:spacing w:val="6"/>
          <w:rtl w:val="true"/>
        </w:rPr>
        <w:t>כך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כאשר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מדובר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במעשים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המכוונים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לפגוע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ברגשות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האוכלוסיה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המוסלמית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וכך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גם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כאשר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המעשים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מכוונים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כנגד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קבוצה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אידאולוגית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אחרת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שיש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לעבריין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יריבות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עמה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עבירת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ההצתה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היא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העבירות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החמורות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בספר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החוקים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וטבוע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תמיד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סיכון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לנפש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וכמובן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לפגיעה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ברכוש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 xml:space="preserve"> </w:t>
      </w:r>
      <w:r>
        <w:rPr>
          <w:rtl w:val="true"/>
        </w:rPr>
        <w:t>(</w:t>
      </w:r>
      <w:hyperlink r:id="rId9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8469/99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  <w:rtl w:val="true"/>
          </w:rPr>
          <w:t>אסכין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</w:t>
      </w:r>
      <w:r>
        <w:rPr>
          <w:rtl w:val="true"/>
        </w:rPr>
        <w:t xml:space="preserve">, </w:t>
      </w:r>
      <w:r>
        <w:rPr/>
        <w:t>95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spacing w:val="6"/>
          <w:rtl w:val="true"/>
        </w:rPr>
        <w:t>).</w:t>
      </w:r>
    </w:p>
    <w:p>
      <w:pPr>
        <w:pStyle w:val="Ruller41"/>
        <w:spacing w:lineRule="auto" w:line="276"/>
        <w:ind w:start="1502" w:end="1134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41"/>
        <w:spacing w:lineRule="auto" w:line="276"/>
        <w:ind w:start="793" w:end="1134"/>
        <w:jc w:val="both"/>
        <w:rPr>
          <w:spacing w:val="6"/>
        </w:rPr>
      </w:pPr>
      <w:r>
        <w:rPr>
          <w:spacing w:val="6"/>
          <w:rtl w:val="true"/>
        </w:rPr>
        <w:t>וכן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נקבע</w:t>
      </w:r>
      <w:r>
        <w:rPr>
          <w:spacing w:val="6"/>
          <w:rtl w:val="true"/>
        </w:rPr>
        <w:t>:</w:t>
      </w:r>
    </w:p>
    <w:p>
      <w:pPr>
        <w:pStyle w:val="Ruller41"/>
        <w:spacing w:lineRule="auto" w:line="276"/>
        <w:ind w:start="1502" w:end="1134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Normal"/>
        <w:spacing w:lineRule="auto" w:line="276" w:before="0" w:after="120"/>
        <w:ind w:start="1644" w:end="1281"/>
        <w:jc w:val="both"/>
        <w:rPr>
          <w:rFonts w:ascii="Arial TUR" w:hAnsi="Arial TUR" w:cs="Arial TUR"/>
          <w:sz w:val="22"/>
        </w:rPr>
      </w:pPr>
      <w:r>
        <w:rPr>
          <w:rFonts w:cs="FrankRuehl" w:ascii="Arial TUR" w:hAnsi="Arial TUR"/>
          <w:spacing w:val="6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המוטל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המבוצעים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גזעני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לסלידת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החברה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בישראל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ממעשים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ולבטא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משמעי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מרתיע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לבל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יעז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איש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להצית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אש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הגזענות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בקרב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נו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ולפגוע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באדם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תמים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6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6"/>
          <w:sz w:val="22"/>
          <w:sz w:val="22"/>
          <w:szCs w:val="28"/>
          <w:rtl w:val="true"/>
        </w:rPr>
        <w:t>מוצאו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(</w:t>
      </w:r>
      <w:hyperlink r:id="rId91">
        <w:r>
          <w:rPr>
            <w:rStyle w:val="Hyperlink"/>
            <w:rFonts w:ascii="Arial TUR" w:hAnsi="Arial TUR" w:cs="FrankRuehl"/>
            <w:color w:val="0000FF"/>
            <w:spacing w:val="6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6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6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6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6"/>
            <w:sz w:val="22"/>
            <w:szCs w:val="28"/>
            <w:u w:val="single"/>
          </w:rPr>
          <w:t>5813/02</w:t>
        </w:r>
      </w:hyperlink>
      <w:r>
        <w:rPr>
          <w:rFonts w:cs="FrankRuehl" w:ascii="Arial TUR" w:hAnsi="Arial TUR"/>
          <w:spacing w:val="6"/>
          <w:sz w:val="22"/>
          <w:szCs w:val="28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מדינת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ישראל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אמויאל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6"/>
          <w:sz w:val="22"/>
          <w:szCs w:val="28"/>
        </w:rPr>
        <w:t>6.3.2003</w:t>
      </w:r>
      <w:r>
        <w:rPr>
          <w:rFonts w:cs="FrankRuehl" w:ascii="Arial TUR" w:hAnsi="Arial TUR"/>
          <w:spacing w:val="6"/>
          <w:sz w:val="22"/>
          <w:szCs w:val="28"/>
          <w:rtl w:val="true"/>
        </w:rPr>
        <w:t>)).</w:t>
      </w:r>
    </w:p>
    <w:p>
      <w:pPr>
        <w:pStyle w:val="Ruller41"/>
        <w:ind w:start="1502" w:end="1134"/>
        <w:jc w:val="both"/>
        <w:rPr>
          <w:rFonts w:ascii="Arial TUR" w:hAnsi="Arial TUR" w:cs="Arial TUR"/>
          <w:spacing w:val="6"/>
          <w:sz w:val="22"/>
        </w:rPr>
      </w:pPr>
      <w:r>
        <w:rPr>
          <w:rFonts w:cs="Arial TUR"/>
          <w:spacing w:val="6"/>
          <w:sz w:val="22"/>
          <w:rtl w:val="true"/>
        </w:rPr>
      </w:r>
    </w:p>
    <w:p>
      <w:pPr>
        <w:pStyle w:val="Ruller41"/>
        <w:tabs>
          <w:tab w:val="clear" w:pos="720"/>
          <w:tab w:val="left" w:pos="793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בהתאם לכך נקבעה בפסיקה מדיניות ענישה מחמירה בעבירות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 xml:space="preserve">לפיה </w:t>
      </w:r>
      <w:r>
        <w:rPr>
          <w:rFonts w:ascii="Century" w:hAnsi="Century" w:cs="Century"/>
          <w:spacing w:val="6"/>
          <w:rtl w:val="true"/>
        </w:rPr>
        <w:t>נדחים ככלל שיקולי ענישה אחרים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ובהם נסיבות אישיות ושיקולי שיקום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מפני שיקול</w:t>
      </w:r>
      <w:r>
        <w:rPr>
          <w:rFonts w:ascii="Century" w:hAnsi="Century" w:cs="Century"/>
          <w:spacing w:val="6"/>
          <w:rtl w:val="true"/>
        </w:rPr>
        <w:t>י</w:t>
      </w:r>
      <w:r>
        <w:rPr>
          <w:rFonts w:ascii="Century" w:hAnsi="Century" w:cs="Century"/>
          <w:spacing w:val="6"/>
          <w:rtl w:val="true"/>
        </w:rPr>
        <w:t xml:space="preserve"> ההגנה על שלו</w:t>
      </w:r>
      <w:r>
        <w:rPr>
          <w:rFonts w:ascii="Century" w:hAnsi="Century" w:cs="Century"/>
          <w:spacing w:val="6"/>
          <w:rtl w:val="true"/>
        </w:rPr>
        <w:t>ם</w:t>
      </w:r>
      <w:r>
        <w:rPr>
          <w:rFonts w:ascii="Century" w:hAnsi="Century" w:cs="Century"/>
          <w:spacing w:val="6"/>
          <w:rtl w:val="true"/>
        </w:rPr>
        <w:t xml:space="preserve"> הציבור וביטחונו </w:t>
      </w:r>
      <w:r>
        <w:rPr>
          <w:rFonts w:ascii="Century" w:hAnsi="Century" w:cs="Century"/>
          <w:spacing w:val="6"/>
          <w:rtl w:val="true"/>
        </w:rPr>
        <w:t xml:space="preserve">ושיקולי הרתעת היחיד והרבים </w:t>
      </w:r>
      <w:r>
        <w:rPr>
          <w:rFonts w:cs="Century" w:ascii="Century" w:hAnsi="Century"/>
          <w:spacing w:val="6"/>
          <w:rtl w:val="true"/>
        </w:rPr>
        <w:t>-</w:t>
      </w:r>
    </w:p>
    <w:p>
      <w:pPr>
        <w:pStyle w:val="Ruller41"/>
        <w:spacing w:lineRule="auto" w:line="240" w:before="0" w:after="120"/>
        <w:ind w:start="1360" w:end="1134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76" w:before="0" w:after="120"/>
        <w:ind w:start="1360" w:end="1134"/>
        <w:jc w:val="both"/>
        <w:rPr>
          <w:spacing w:val="6"/>
        </w:rPr>
      </w:pPr>
      <w:r>
        <w:rPr>
          <w:rFonts w:cs="Century" w:ascii="Century" w:hAnsi="Century"/>
          <w:rtl w:val="true"/>
        </w:rPr>
        <w:t>"...</w:t>
      </w:r>
      <w:r>
        <w:rPr>
          <w:rtl w:val="true"/>
        </w:rPr>
        <w:t xml:space="preserve"> </w:t>
      </w:r>
      <w:r>
        <w:rPr>
          <w:spacing w:val="6"/>
          <w:rtl w:val="true"/>
        </w:rPr>
        <w:t>לכך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יש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להוסיף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העבירה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בוצעה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מתוך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מניע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גזענות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שאף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לגביו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הביע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המחוקק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גישתו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המחמירה</w:t>
      </w:r>
      <w:r>
        <w:rPr>
          <w:spacing w:val="6"/>
          <w:rtl w:val="true"/>
        </w:rPr>
        <w:t>.</w:t>
      </w:r>
      <w:r>
        <w:rPr>
          <w:spacing w:val="6"/>
          <w:rtl w:val="true"/>
        </w:rPr>
        <w:t>..</w:t>
      </w:r>
    </w:p>
    <w:p>
      <w:pPr>
        <w:pStyle w:val="Ruller41"/>
        <w:spacing w:lineRule="auto" w:line="276" w:before="0" w:after="120"/>
        <w:ind w:start="1360" w:end="1134"/>
        <w:jc w:val="both"/>
        <w:rPr>
          <w:rFonts w:ascii="Century" w:hAnsi="Century" w:cs="Century"/>
        </w:rPr>
      </w:pPr>
      <w:r>
        <w:rPr>
          <w:rFonts w:ascii="Century" w:hAnsi="Century" w:cs="Century"/>
          <w:spacing w:val="6"/>
          <w:rtl w:val="true"/>
        </w:rPr>
        <w:t>בהתאם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נקבע בפסיקה כי כאשר מדובר בעבירות כגון דא אשר בוצעו על רקע אידיאולוגי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נדחים ככלל שיקולי ענישה אחרים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ובהם נסיבות אישיות ושיקולי שיקום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 xml:space="preserve">מפני שיקול ההגנה על שלומו וביטחונו של הציבור והרתעת עבריינים בכוח מפני ביצוע מעשים דומים </w:t>
      </w:r>
      <w:r>
        <w:rPr>
          <w:rFonts w:cs="Century" w:ascii="Century" w:hAnsi="Century"/>
          <w:spacing w:val="6"/>
          <w:rtl w:val="true"/>
        </w:rPr>
        <w:t>(</w:t>
      </w:r>
      <w:hyperlink r:id="rId92">
        <w:r>
          <w:rPr>
            <w:rStyle w:val="Hyperlink"/>
            <w:rFonts w:ascii="Century" w:hAnsi="Century" w:cs="Century"/>
            <w:spacing w:val="6"/>
            <w:rtl w:val="true"/>
          </w:rPr>
          <w:t>ע</w:t>
        </w:r>
        <w:r>
          <w:rPr>
            <w:rStyle w:val="Hyperlink"/>
            <w:rFonts w:cs="Century" w:ascii="Century" w:hAnsi="Century"/>
            <w:spacing w:val="6"/>
            <w:rtl w:val="true"/>
          </w:rPr>
          <w:t>"</w:t>
        </w:r>
        <w:r>
          <w:rPr>
            <w:rStyle w:val="Hyperlink"/>
            <w:rFonts w:ascii="Century" w:hAnsi="Century" w:cs="Century"/>
            <w:spacing w:val="6"/>
            <w:rtl w:val="true"/>
          </w:rPr>
          <w:t>פ</w:t>
        </w:r>
        <w:r>
          <w:rPr>
            <w:rStyle w:val="Hyperlink"/>
            <w:rFonts w:ascii="Century" w:hAnsi="Century" w:cs="Century"/>
            <w:spacing w:val="6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6"/>
          </w:rPr>
          <w:t>2626/15</w:t>
        </w:r>
      </w:hyperlink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עביד נ</w:t>
      </w:r>
      <w:r>
        <w:rPr>
          <w:rFonts w:cs="Century" w:ascii="Century" w:hAnsi="Century"/>
          <w:spacing w:val="6"/>
          <w:rtl w:val="true"/>
        </w:rPr>
        <w:t xml:space="preserve">' </w:t>
      </w:r>
      <w:r>
        <w:rPr>
          <w:rFonts w:ascii="Century" w:hAnsi="Century" w:cs="Century"/>
          <w:spacing w:val="6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cs="Century" w:ascii="Century" w:hAnsi="Century"/>
          <w:spacing w:val="6"/>
        </w:rPr>
        <w:t>7.6.2016</w:t>
      </w:r>
      <w:r>
        <w:rPr>
          <w:rFonts w:cs="Century" w:ascii="Century" w:hAnsi="Century"/>
          <w:spacing w:val="6"/>
          <w:rtl w:val="true"/>
        </w:rPr>
        <w:t xml:space="preserve">); </w:t>
      </w:r>
      <w:hyperlink r:id="rId93">
        <w:r>
          <w:rPr>
            <w:rStyle w:val="Hyperlink"/>
            <w:rFonts w:ascii="Century" w:hAnsi="Century" w:cs="Century"/>
            <w:spacing w:val="6"/>
            <w:rtl w:val="true"/>
          </w:rPr>
          <w:t>ע</w:t>
        </w:r>
        <w:r>
          <w:rPr>
            <w:rStyle w:val="Hyperlink"/>
            <w:rFonts w:cs="Century" w:ascii="Century" w:hAnsi="Century"/>
            <w:spacing w:val="6"/>
            <w:rtl w:val="true"/>
          </w:rPr>
          <w:t>"</w:t>
        </w:r>
        <w:r>
          <w:rPr>
            <w:rStyle w:val="Hyperlink"/>
            <w:rFonts w:ascii="Century" w:hAnsi="Century" w:cs="Century"/>
            <w:spacing w:val="6"/>
            <w:rtl w:val="true"/>
          </w:rPr>
          <w:t>פ</w:t>
        </w:r>
        <w:r>
          <w:rPr>
            <w:rStyle w:val="Hyperlink"/>
            <w:rFonts w:ascii="Century" w:hAnsi="Century" w:cs="Century"/>
            <w:spacing w:val="6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6"/>
          </w:rPr>
          <w:t>7517/15</w:t>
        </w:r>
      </w:hyperlink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מדינת ישראל נ</w:t>
      </w:r>
      <w:r>
        <w:rPr>
          <w:rFonts w:cs="Century" w:ascii="Century" w:hAnsi="Century"/>
          <w:spacing w:val="6"/>
          <w:rtl w:val="true"/>
        </w:rPr>
        <w:t xml:space="preserve">' </w:t>
      </w:r>
      <w:r>
        <w:rPr>
          <w:rFonts w:ascii="Century" w:hAnsi="Century" w:cs="Century"/>
          <w:spacing w:val="6"/>
          <w:rtl w:val="true"/>
        </w:rPr>
        <w:t xml:space="preserve">עביד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cs="Century" w:ascii="Century" w:hAnsi="Century"/>
          <w:spacing w:val="6"/>
        </w:rPr>
        <w:t>9.3.2016</w:t>
      </w:r>
      <w:r>
        <w:rPr>
          <w:rFonts w:cs="Century" w:ascii="Century" w:hAnsi="Century"/>
          <w:spacing w:val="6"/>
          <w:rtl w:val="true"/>
        </w:rPr>
        <w:t xml:space="preserve">); </w:t>
      </w:r>
      <w:hyperlink r:id="rId94">
        <w:r>
          <w:rPr>
            <w:rStyle w:val="Hyperlink"/>
            <w:rFonts w:ascii="Century" w:hAnsi="Century" w:cs="Century"/>
            <w:spacing w:val="6"/>
            <w:rtl w:val="true"/>
          </w:rPr>
          <w:t>ע</w:t>
        </w:r>
        <w:r>
          <w:rPr>
            <w:rStyle w:val="Hyperlink"/>
            <w:rFonts w:cs="Century" w:ascii="Century" w:hAnsi="Century"/>
            <w:spacing w:val="6"/>
            <w:rtl w:val="true"/>
          </w:rPr>
          <w:t>"</w:t>
        </w:r>
        <w:r>
          <w:rPr>
            <w:rStyle w:val="Hyperlink"/>
            <w:rFonts w:ascii="Century" w:hAnsi="Century" w:cs="Century"/>
            <w:spacing w:val="6"/>
            <w:rtl w:val="true"/>
          </w:rPr>
          <w:t>פ</w:t>
        </w:r>
        <w:r>
          <w:rPr>
            <w:rStyle w:val="Hyperlink"/>
            <w:rFonts w:ascii="Century" w:hAnsi="Century" w:cs="Century"/>
            <w:spacing w:val="6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6"/>
          </w:rPr>
          <w:t>1163/07</w:t>
        </w:r>
      </w:hyperlink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אבו ח</w:t>
      </w:r>
      <w:r>
        <w:rPr>
          <w:rFonts w:cs="Century" w:ascii="Century" w:hAnsi="Century"/>
          <w:spacing w:val="6"/>
          <w:rtl w:val="true"/>
        </w:rPr>
        <w:t>'</w:t>
      </w:r>
      <w:r>
        <w:rPr>
          <w:rFonts w:ascii="Century" w:hAnsi="Century" w:cs="Century"/>
          <w:spacing w:val="6"/>
          <w:rtl w:val="true"/>
        </w:rPr>
        <w:t>דיר נ</w:t>
      </w:r>
      <w:r>
        <w:rPr>
          <w:rFonts w:cs="Century" w:ascii="Century" w:hAnsi="Century"/>
          <w:spacing w:val="6"/>
          <w:rtl w:val="true"/>
        </w:rPr>
        <w:t xml:space="preserve">' </w:t>
      </w:r>
      <w:r>
        <w:rPr>
          <w:rFonts w:ascii="Century" w:hAnsi="Century" w:cs="Century"/>
          <w:spacing w:val="6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cs="Century" w:ascii="Century" w:hAnsi="Century"/>
          <w:spacing w:val="6"/>
        </w:rPr>
        <w:t>29.3.2007</w:t>
      </w:r>
      <w:r>
        <w:rPr>
          <w:rFonts w:cs="Century" w:ascii="Century" w:hAnsi="Century"/>
          <w:spacing w:val="6"/>
          <w:rtl w:val="true"/>
        </w:rPr>
        <w:t xml:space="preserve">); </w:t>
      </w:r>
      <w:hyperlink r:id="rId95">
        <w:r>
          <w:rPr>
            <w:rStyle w:val="Hyperlink"/>
            <w:rFonts w:ascii="Century" w:hAnsi="Century" w:cs="Century"/>
            <w:spacing w:val="6"/>
            <w:rtl w:val="true"/>
          </w:rPr>
          <w:t>ע</w:t>
        </w:r>
        <w:r>
          <w:rPr>
            <w:rStyle w:val="Hyperlink"/>
            <w:rFonts w:cs="Century" w:ascii="Century" w:hAnsi="Century"/>
            <w:spacing w:val="6"/>
            <w:rtl w:val="true"/>
          </w:rPr>
          <w:t>"</w:t>
        </w:r>
        <w:r>
          <w:rPr>
            <w:rStyle w:val="Hyperlink"/>
            <w:rFonts w:ascii="Century" w:hAnsi="Century" w:cs="Century"/>
            <w:spacing w:val="6"/>
            <w:rtl w:val="true"/>
          </w:rPr>
          <w:t>פ</w:t>
        </w:r>
        <w:r>
          <w:rPr>
            <w:rStyle w:val="Hyperlink"/>
            <w:rFonts w:ascii="Century" w:hAnsi="Century" w:cs="Century"/>
            <w:spacing w:val="6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6"/>
          </w:rPr>
          <w:t>9507/11</w:t>
        </w:r>
      </w:hyperlink>
      <w:r>
        <w:rPr>
          <w:rFonts w:cs="Century" w:ascii="Century" w:hAnsi="Century"/>
          <w:spacing w:val="6"/>
          <w:rtl w:val="true"/>
        </w:rPr>
        <w:t xml:space="preserve"> ‏</w:t>
      </w:r>
      <w:r>
        <w:rPr>
          <w:rFonts w:ascii="Century" w:hAnsi="Century" w:cs="Century"/>
          <w:spacing w:val="6"/>
          <w:rtl w:val="true"/>
        </w:rPr>
        <w:t>סביליה נ</w:t>
      </w:r>
      <w:r>
        <w:rPr>
          <w:rFonts w:cs="Century" w:ascii="Century" w:hAnsi="Century"/>
          <w:spacing w:val="6"/>
          <w:rtl w:val="true"/>
        </w:rPr>
        <w:t xml:space="preserve">' </w:t>
      </w:r>
      <w:r>
        <w:rPr>
          <w:rFonts w:ascii="Century" w:hAnsi="Century" w:cs="Century"/>
          <w:spacing w:val="6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cs="Century" w:ascii="Century" w:hAnsi="Century"/>
          <w:spacing w:val="6"/>
        </w:rPr>
        <w:t>4.4.2012</w:t>
      </w:r>
      <w:r>
        <w:rPr>
          <w:rFonts w:cs="Century" w:ascii="Century" w:hAnsi="Century"/>
          <w:spacing w:val="6"/>
          <w:rtl w:val="true"/>
        </w:rPr>
        <w:t xml:space="preserve">); </w:t>
      </w:r>
      <w:hyperlink r:id="rId96">
        <w:r>
          <w:rPr>
            <w:rStyle w:val="Hyperlink"/>
            <w:rFonts w:ascii="Century" w:hAnsi="Century" w:cs="Century"/>
            <w:spacing w:val="6"/>
            <w:rtl w:val="true"/>
          </w:rPr>
          <w:t>ע</w:t>
        </w:r>
        <w:r>
          <w:rPr>
            <w:rStyle w:val="Hyperlink"/>
            <w:rFonts w:cs="Century" w:ascii="Century" w:hAnsi="Century"/>
            <w:spacing w:val="6"/>
            <w:rtl w:val="true"/>
          </w:rPr>
          <w:t>"</w:t>
        </w:r>
        <w:r>
          <w:rPr>
            <w:rStyle w:val="Hyperlink"/>
            <w:rFonts w:ascii="Century" w:hAnsi="Century" w:cs="Century"/>
            <w:spacing w:val="6"/>
            <w:rtl w:val="true"/>
          </w:rPr>
          <w:t>פ</w:t>
        </w:r>
        <w:r>
          <w:rPr>
            <w:rStyle w:val="Hyperlink"/>
            <w:rFonts w:ascii="Century" w:hAnsi="Century" w:cs="Century"/>
            <w:spacing w:val="6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pacing w:val="6"/>
          </w:rPr>
          <w:t>3183/16</w:t>
        </w:r>
      </w:hyperlink>
      <w:r>
        <w:rPr>
          <w:rFonts w:cs="Century" w:ascii="Century" w:hAnsi="Century"/>
          <w:spacing w:val="6"/>
          <w:rtl w:val="true"/>
        </w:rPr>
        <w:t xml:space="preserve"> ‏</w:t>
      </w:r>
      <w:r>
        <w:rPr>
          <w:rFonts w:ascii="Century" w:hAnsi="Century" w:cs="Century"/>
          <w:spacing w:val="6"/>
          <w:rtl w:val="true"/>
        </w:rPr>
        <w:t>עופרי נ</w:t>
      </w:r>
      <w:r>
        <w:rPr>
          <w:rFonts w:cs="Century" w:ascii="Century" w:hAnsi="Century"/>
          <w:spacing w:val="6"/>
          <w:rtl w:val="true"/>
        </w:rPr>
        <w:t xml:space="preserve">' </w:t>
      </w:r>
      <w:r>
        <w:rPr>
          <w:rFonts w:ascii="Century" w:hAnsi="Century" w:cs="Century"/>
          <w:spacing w:val="6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cs="Century" w:ascii="Century" w:hAnsi="Century"/>
          <w:spacing w:val="6"/>
        </w:rPr>
        <w:t>8.3.2017</w:t>
      </w:r>
      <w:r>
        <w:rPr>
          <w:rFonts w:cs="Century" w:ascii="Century" w:hAnsi="Century"/>
          <w:spacing w:val="6"/>
          <w:rtl w:val="true"/>
        </w:rPr>
        <w:t>))</w:t>
      </w:r>
      <w:r>
        <w:rPr>
          <w:rFonts w:cs="Century" w:ascii="Century" w:hAnsi="Century"/>
          <w:spacing w:val="6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3250/17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14.10.2018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start="1502" w:end="1134"/>
        <w:jc w:val="both"/>
        <w:rPr>
          <w:rFonts w:ascii="Century" w:hAnsi="Century" w:cs="Century"/>
          <w:spacing w:val="6"/>
        </w:rPr>
      </w:pPr>
      <w:r>
        <w:rPr>
          <w:rFonts w:cs="Century" w:ascii="Century" w:hAnsi="Century"/>
          <w:spacing w:val="6"/>
          <w:rtl w:val="true"/>
        </w:rPr>
      </w:r>
    </w:p>
    <w:p>
      <w:pPr>
        <w:pStyle w:val="Ruller41"/>
        <w:tabs>
          <w:tab w:val="clear" w:pos="720"/>
          <w:tab w:val="left" w:pos="84" w:leader="none"/>
          <w:tab w:val="left" w:pos="651" w:leader="none"/>
        </w:tabs>
        <w:ind w:start="84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ובאופן ספציפי באשר לעבירות הצתה ממניע אידיאולוגי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 נקבע לענין זה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76"/>
        <w:ind w:start="1502" w:end="1134"/>
        <w:jc w:val="both"/>
        <w:rPr>
          <w:rFonts w:ascii="Century" w:hAnsi="Century" w:cs="Century"/>
          <w:spacing w:val="6"/>
        </w:rPr>
      </w:pPr>
      <w:r>
        <w:rPr>
          <w:rFonts w:cs="Century" w:ascii="Century" w:hAnsi="Century"/>
          <w:spacing w:val="6"/>
          <w:rtl w:val="true"/>
        </w:rPr>
      </w:r>
    </w:p>
    <w:p>
      <w:pPr>
        <w:pStyle w:val="Ruller41"/>
        <w:spacing w:lineRule="auto" w:line="276" w:before="0" w:after="120"/>
        <w:ind w:start="1503" w:end="1134"/>
        <w:jc w:val="both"/>
        <w:rPr>
          <w:spacing w:val="6"/>
        </w:rPr>
      </w:pPr>
      <w:r>
        <w:rPr>
          <w:spacing w:val="6"/>
          <w:rtl w:val="true"/>
        </w:rPr>
        <w:t>"...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ראוי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להדגיש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החומרה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היתרה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שמאפיינת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הצתה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רקע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אידיאולוגי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(</w:t>
      </w:r>
      <w:hyperlink r:id="rId98">
        <w:r>
          <w:rPr>
            <w:rStyle w:val="Hyperlink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5794/15</w:t>
        </w:r>
      </w:hyperlink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מדינת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ישראל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נ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טויטו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(</w:t>
      </w:r>
      <w:r>
        <w:rPr>
          <w:spacing w:val="6"/>
        </w:rPr>
        <w:t>31.1.2016</w:t>
      </w:r>
      <w:r>
        <w:rPr>
          <w:spacing w:val="6"/>
          <w:rtl w:val="true"/>
        </w:rPr>
        <w:t xml:space="preserve">); </w:t>
      </w:r>
      <w:hyperlink r:id="rId99">
        <w:r>
          <w:rPr>
            <w:rStyle w:val="Hyperlink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401/16</w:t>
        </w:r>
      </w:hyperlink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מדינת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ישראל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נ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גבאי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(</w:t>
      </w:r>
      <w:r>
        <w:rPr>
          <w:spacing w:val="6"/>
        </w:rPr>
        <w:t>28.9.2016</w:t>
      </w:r>
      <w:r>
        <w:rPr>
          <w:spacing w:val="6"/>
          <w:rtl w:val="true"/>
        </w:rPr>
        <w:t>)</w:t>
      </w:r>
      <w:r>
        <w:rPr>
          <w:spacing w:val="6"/>
          <w:rtl w:val="true"/>
        </w:rPr>
        <w:t>.</w:t>
      </w:r>
      <w:r>
        <w:rPr>
          <w:spacing w:val="6"/>
          <w:rtl w:val="true"/>
        </w:rPr>
        <w:t>..</w:t>
      </w:r>
    </w:p>
    <w:p>
      <w:pPr>
        <w:pStyle w:val="Ruller41"/>
        <w:spacing w:lineRule="auto" w:line="276"/>
        <w:ind w:start="1502" w:end="1134"/>
        <w:jc w:val="both"/>
        <w:rPr/>
      </w:pPr>
      <w:r>
        <w:rPr>
          <w:spacing w:val="6"/>
          <w:rtl w:val="true"/>
        </w:rPr>
        <w:t>אכן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בעבירות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בעלות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רקע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אידיאולוגי</w:t>
      </w:r>
      <w:r>
        <w:rPr>
          <w:spacing w:val="6"/>
          <w:rtl w:val="true"/>
        </w:rPr>
        <w:t>-</w:t>
      </w:r>
      <w:r>
        <w:rPr>
          <w:spacing w:val="6"/>
          <w:rtl w:val="true"/>
        </w:rPr>
        <w:t>לאומני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על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בית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להעביר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מסר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הרתעתי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חד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משמעי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וכאשר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המניע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לביצוע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המעשים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נדחים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שיקולי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ענישה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אחרים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מפני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שיקול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ההרתעה</w:t>
      </w:r>
      <w:r>
        <w:rPr>
          <w:spacing w:val="6"/>
          <w:rtl w:val="true"/>
        </w:rPr>
        <w:t>'" (</w:t>
      </w:r>
      <w:hyperlink r:id="rId100">
        <w:r>
          <w:rPr>
            <w:rStyle w:val="Hyperlink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2460/15</w:t>
        </w:r>
      </w:hyperlink>
      <w:r>
        <w:rPr>
          <w:spacing w:val="6"/>
          <w:rtl w:val="true"/>
        </w:rPr>
        <w:t xml:space="preserve">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בארין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מדינת ישראל</w:t>
      </w:r>
      <w:r>
        <w:rPr>
          <w:spacing w:val="6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בפסקה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</w:rPr>
        <w:t>103</w:t>
      </w:r>
      <w:r>
        <w:rPr>
          <w:spacing w:val="6"/>
          <w:rtl w:val="true"/>
        </w:rPr>
        <w:t xml:space="preserve"> (</w:t>
      </w:r>
      <w:r>
        <w:rPr>
          <w:spacing w:val="6"/>
        </w:rPr>
        <w:t>4.5.2016</w:t>
      </w:r>
      <w:r>
        <w:rPr>
          <w:spacing w:val="6"/>
          <w:rtl w:val="true"/>
        </w:rPr>
        <w:t>)</w:t>
      </w:r>
      <w:r>
        <w:rPr>
          <w:spacing w:val="6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6928/17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spacing w:val="6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בפסקה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</w:rPr>
        <w:t>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16.8.2018</w:t>
      </w:r>
      <w:r>
        <w:rPr>
          <w:rFonts w:cs="Century" w:ascii="Century" w:hAnsi="Century"/>
          <w:rtl w:val="true"/>
        </w:rPr>
        <w:t>)</w:t>
      </w:r>
      <w:r>
        <w:rPr>
          <w:spacing w:val="6"/>
          <w:rtl w:val="true"/>
        </w:rPr>
        <w:t>)</w:t>
      </w:r>
      <w:r>
        <w:rPr>
          <w:spacing w:val="6"/>
          <w:rtl w:val="true"/>
        </w:rPr>
        <w:t>.</w:t>
      </w:r>
    </w:p>
    <w:p>
      <w:pPr>
        <w:pStyle w:val="Ruller41"/>
        <w:spacing w:lineRule="auto" w:line="240" w:before="0" w:after="120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651" w:leader="none"/>
        </w:tabs>
        <w:spacing w:lineRule="auto" w:line="240" w:before="0" w:after="1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76"/>
        <w:ind w:start="1502" w:end="1134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ובהיעדרה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הדמוקרטי</w:t>
      </w:r>
      <w:r>
        <w:rPr>
          <w:rtl w:val="true"/>
        </w:rPr>
        <w:t>..</w:t>
      </w:r>
      <w:r>
        <w:rPr>
          <w:rtl w:val="true"/>
        </w:rPr>
        <w:t>.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0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1214/18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11.11.2018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8"/>
          <w:szCs w:val="32"/>
        </w:rPr>
      </w:pPr>
      <w:r>
        <w:rPr>
          <w:rFonts w:cs="Century" w:ascii="Century" w:hAnsi="Century"/>
          <w:sz w:val="28"/>
          <w:szCs w:val="32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spacing w:val="6"/>
        </w:rPr>
      </w:pP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spacing w:val="6"/>
          <w:rtl w:val="true"/>
        </w:rPr>
        <w:t>לסלידת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החברה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בישראל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ממעשים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מסוג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וכפי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שצוין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עקב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ברדיפות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וגזענות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FrankRuehl" w:hAnsi="FrankRuehl"/>
          <w:rtl w:val="true"/>
        </w:rPr>
        <w:t>מה שלא רצינו לאורך תולדותינו שיחווה יהודי בתפוצות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אל יארע בתוכנו</w:t>
      </w:r>
      <w:r>
        <w:rPr>
          <w:rFonts w:cs="FrankRuehl" w:ascii="FrankRuehl" w:hAnsi="FrankRuehl"/>
          <w:rtl w:val="true"/>
        </w:rPr>
        <w:t>"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FrankRuehl" w:hAnsi="FrankRuehl"/>
          <w:rtl w:val="true"/>
        </w:rPr>
        <w:t xml:space="preserve">דברי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בענין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 זליגר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שם </w:t>
      </w:r>
      <w:r>
        <w:rPr>
          <w:rFonts w:ascii="FrankRuehl" w:hAnsi="FrankRuehl"/>
          <w:rtl w:val="true"/>
        </w:rPr>
        <w:t>בפסקה ג</w:t>
      </w:r>
      <w:r>
        <w:rPr>
          <w:rFonts w:cs="FrankRuehl" w:ascii="FrankRuehl" w:hAnsi="FrankRuehl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). </w:t>
      </w:r>
    </w:p>
    <w:p>
      <w:pPr>
        <w:pStyle w:val="Ruller41"/>
        <w:ind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41"/>
        <w:ind w:end="0"/>
        <w:jc w:val="both"/>
        <w:rPr/>
      </w:pPr>
      <w:r>
        <w:rPr>
          <w:spacing w:val="6"/>
          <w:rtl w:val="true"/>
        </w:rPr>
        <w:tab/>
      </w:r>
      <w:r>
        <w:rPr>
          <w:spacing w:val="6"/>
          <w:rtl w:val="true"/>
        </w:rPr>
        <w:t>לפיכך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הכלל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כאמור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כי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מסוג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Fonts w:eastAsia="Arial TUR" w:cs="Arial TUR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נדחים שיקולי</w:t>
      </w:r>
      <w:r>
        <w:rPr>
          <w:rFonts w:ascii="Century" w:hAnsi="Century" w:cs="Century"/>
          <w:spacing w:val="6"/>
          <w:rtl w:val="true"/>
        </w:rPr>
        <w:t xml:space="preserve">ם של </w:t>
      </w:r>
      <w:r>
        <w:rPr>
          <w:rFonts w:ascii="Century" w:hAnsi="Century" w:cs="Century"/>
          <w:spacing w:val="6"/>
          <w:rtl w:val="true"/>
        </w:rPr>
        <w:t>נסיבות אישיות ושיקולי שיקום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מפני שיקול</w:t>
      </w:r>
      <w:r>
        <w:rPr>
          <w:rFonts w:ascii="Century" w:hAnsi="Century" w:cs="Century"/>
          <w:spacing w:val="6"/>
          <w:rtl w:val="true"/>
        </w:rPr>
        <w:t>י</w:t>
      </w:r>
      <w:r>
        <w:rPr>
          <w:rFonts w:ascii="Century" w:hAnsi="Century" w:cs="Century"/>
          <w:spacing w:val="6"/>
          <w:rtl w:val="true"/>
        </w:rPr>
        <w:t xml:space="preserve"> ההגנה על שלו</w:t>
      </w:r>
      <w:r>
        <w:rPr>
          <w:rFonts w:ascii="Century" w:hAnsi="Century" w:cs="Century"/>
          <w:spacing w:val="6"/>
          <w:rtl w:val="true"/>
        </w:rPr>
        <w:t>ם</w:t>
      </w:r>
      <w:r>
        <w:rPr>
          <w:rFonts w:ascii="Century" w:hAnsi="Century" w:cs="Century"/>
          <w:spacing w:val="6"/>
          <w:rtl w:val="true"/>
        </w:rPr>
        <w:t xml:space="preserve"> הציבור וביטחונו </w:t>
      </w:r>
      <w:r>
        <w:rPr>
          <w:rFonts w:ascii="Century" w:hAnsi="Century" w:cs="Century"/>
          <w:spacing w:val="6"/>
          <w:rtl w:val="true"/>
        </w:rPr>
        <w:t>ושיקולי הרתעת היחיד והרבים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76"/>
        <w:ind w:start="1502" w:end="1134"/>
        <w:jc w:val="both"/>
        <w:rPr/>
      </w:pP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א</w:t>
      </w:r>
      <w:r>
        <w:rPr>
          <w:rFonts w:ascii="FrankRuehl" w:hAnsi="FrankRuehl"/>
          <w:rtl w:val="true"/>
        </w:rPr>
        <w:t>כן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כאשר בענישת קטינים עסקינן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יש לייחס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ככלל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משקל מוגבר לנסיבותיו האישיות של הנאשם ולאפשרויות השיקום המתקיימות בעניינו</w:t>
      </w:r>
      <w:r>
        <w:rPr>
          <w:rFonts w:cs="FrankRuehl" w:ascii="FrankRuehl" w:hAnsi="FrankRuehl"/>
          <w:rtl w:val="true"/>
        </w:rPr>
        <w:t>...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ואולם שיקולי השיקום אינם חזות הכל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ובית משפט זה עמד לא אחת על כך שכאשר מדובר בעבריינות אלימה המתבצעת על רקע אידיאולוגי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/>
          <w:rtl w:val="true"/>
        </w:rPr>
        <w:t>לאומני או בעבירות שנעשו ממניע של גזענות נדחים שיקולי ענישה אחרים מפני שיקול ההרתעה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וזאת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גם כאשר בנאשם קטין עסקינן</w:t>
      </w:r>
      <w:r>
        <w:rPr>
          <w:rFonts w:cs="FrankRuehl" w:ascii="FrankRuehl" w:hAnsi="FrankRuehl"/>
          <w:rtl w:val="true"/>
        </w:rPr>
        <w:t>..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7.8.2016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והאסמכתאות הנזכרות 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tabs>
          <w:tab w:val="clear" w:pos="720"/>
          <w:tab w:val="left" w:pos="793" w:leader="none"/>
        </w:tabs>
        <w:ind w:start="360" w:end="0"/>
        <w:jc w:val="both"/>
        <w:rPr>
          <w:rFonts w:ascii="Century" w:hAnsi="Century" w:cs="Century"/>
          <w:sz w:val="24"/>
          <w:szCs w:val="32"/>
        </w:rPr>
      </w:pPr>
      <w:r>
        <w:rPr>
          <w:rFonts w:cs="Century" w:ascii="Century" w:hAnsi="Century"/>
          <w:sz w:val="24"/>
          <w:szCs w:val="32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לאור כל המקובץ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נקל לראות כי העונשים שהושתו על המערערים במקרה דנן אינם מן החמורים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ומשקפים לצד מדיניות ענישה מחמירה כנדרש בעבירות כגון אלה גם התחשבות לא מבוטלת בנסיבותיו האישיות של כל אחד מהמערערים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בגילם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בהיעדרו של עבר פלילי ובשיקולי שיקום באשר לכל אחד ואחד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באריכות בגזרי הדין של בתי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 איני סבור שנפלה כל שגגה בגזרי הדין בעניינם של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המערערים עברו כברת דרך מבחינה שיקומית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 יותר ומי 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בתסקירי שירות המבחן העדכניים שנזכרו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בצדק קבע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להלכותיו של 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FrankRuehl" w:hAnsi="FrankRuehl"/>
          <w:rtl w:val="true"/>
        </w:rPr>
        <w:t xml:space="preserve">כאשר </w:t>
      </w:r>
      <w:r>
        <w:rPr>
          <w:rFonts w:ascii="FrankRuehl" w:hAnsi="FrankRuehl"/>
          <w:rtl w:val="true"/>
        </w:rPr>
        <w:t>עסקינן</w:t>
      </w:r>
      <w:r>
        <w:rPr>
          <w:rFonts w:ascii="FrankRuehl" w:hAnsi="FrankRuehl"/>
          <w:rtl w:val="true"/>
        </w:rPr>
        <w:t xml:space="preserve"> בעבריינות אלימה על רקע אידיאולוגי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/>
          <w:rtl w:val="true"/>
        </w:rPr>
        <w:t>לאומני</w:t>
      </w:r>
      <w:r>
        <w:rPr>
          <w:rFonts w:cs="FrankRuehl" w:ascii="FrankRuehl" w:hAnsi="FrankRuehl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או בעבירות </w:t>
      </w:r>
      <w:r>
        <w:rPr>
          <w:rFonts w:ascii="FrankRuehl" w:hAnsi="FrankRuehl"/>
          <w:rtl w:val="true"/>
        </w:rPr>
        <w:t>אשר בוצעו</w:t>
      </w:r>
      <w:r>
        <w:rPr>
          <w:rFonts w:ascii="FrankRuehl" w:hAnsi="FrankRuehl"/>
          <w:rtl w:val="true"/>
        </w:rPr>
        <w:t xml:space="preserve"> ממניע של גזענות</w:t>
      </w:r>
      <w:r>
        <w:rPr>
          <w:rFonts w:cs="FrankRuehl" w:ascii="FrankRuehl" w:hAnsi="FrankRuehl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יש ליתן מעמד בכורה ל</w:t>
      </w:r>
      <w:r>
        <w:rPr>
          <w:rFonts w:ascii="FrankRuehl" w:hAnsi="FrankRuehl"/>
          <w:rtl w:val="true"/>
        </w:rPr>
        <w:t>שיקול</w:t>
      </w:r>
      <w:r>
        <w:rPr>
          <w:rFonts w:ascii="FrankRuehl" w:hAnsi="FrankRuehl"/>
          <w:rtl w:val="true"/>
        </w:rPr>
        <w:t>י</w:t>
      </w:r>
      <w:r>
        <w:rPr>
          <w:rFonts w:ascii="FrankRuehl" w:hAnsi="FrankRuehl"/>
          <w:rtl w:val="true"/>
        </w:rPr>
        <w:t xml:space="preserve"> הרתעה</w:t>
      </w:r>
      <w:r>
        <w:rPr>
          <w:rFonts w:ascii="FrankRuehl" w:hAnsi="FrankRuehl"/>
          <w:rtl w:val="true"/>
        </w:rPr>
        <w:t xml:space="preserve"> והלימה</w:t>
      </w:r>
      <w:r>
        <w:rPr>
          <w:rFonts w:cs="FrankRuehl" w:ascii="FrankRuehl" w:hAnsi="FrankRuehl"/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ListParagraph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נוכח האמור </w:t>
      </w:r>
      <w:r>
        <w:rPr>
          <w:rFonts w:ascii="FrankRuehl" w:hAnsi="FrankRuehl"/>
          <w:color w:val="000000"/>
          <w:rtl w:val="true"/>
        </w:rPr>
        <w:t>איני רואה מקום להקל בעונש</w:t>
      </w:r>
      <w:r>
        <w:rPr>
          <w:rFonts w:ascii="FrankRuehl" w:hAnsi="FrankRuehl"/>
          <w:color w:val="000000"/>
          <w:rtl w:val="true"/>
        </w:rPr>
        <w:t>ם</w:t>
      </w:r>
      <w:r>
        <w:rPr>
          <w:rFonts w:ascii="FrankRuehl" w:hAnsi="FrankRuehl"/>
          <w:color w:val="00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FrankRuehl" w:hAnsi="FrankRuehl"/>
          <w:color w:val="000000"/>
          <w:rtl w:val="true"/>
        </w:rPr>
        <w:t xml:space="preserve">מעבר להקלה שכבר </w:t>
      </w:r>
      <w:r>
        <w:rPr>
          <w:rFonts w:ascii="FrankRuehl" w:hAnsi="FrankRuehl"/>
          <w:color w:val="000000"/>
          <w:rtl w:val="true"/>
        </w:rPr>
        <w:t>נקט כלפיהם</w:t>
      </w:r>
      <w:r>
        <w:rPr>
          <w:rFonts w:ascii="FrankRuehl" w:hAnsi="FrankRuehl"/>
          <w:color w:val="000000"/>
          <w:rtl w:val="true"/>
        </w:rPr>
        <w:t xml:space="preserve"> בית המשפט קמא</w:t>
      </w:r>
      <w:r>
        <w:rPr>
          <w:rFonts w:ascii="FrankRuehl" w:hAnsi="FrankRuehl"/>
          <w:color w:val="000000"/>
          <w:rtl w:val="true"/>
        </w:rPr>
        <w:t xml:space="preserve"> </w:t>
      </w:r>
      <w:r>
        <w:rPr>
          <w:rFonts w:ascii="FrankRuehl" w:hAnsi="FrankRuehl"/>
          <w:color w:val="000000"/>
          <w:rtl w:val="true"/>
        </w:rPr>
        <w:t>–</w:t>
      </w:r>
      <w:r>
        <w:rPr>
          <w:rFonts w:ascii="FrankRuehl" w:hAnsi="FrankRuehl"/>
          <w:color w:val="000000"/>
          <w:rtl w:val="true"/>
        </w:rPr>
        <w:t xml:space="preserve"> כל אחד לפני נסיבותיו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/>
          <w:color w:val="000000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אני סבור שיש לדחות את ערעורם על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start="36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הוא הדין באשר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חומרת העבירות בהן הורשע והמניע הלאומני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 לביצוען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עליו הוא על הצד המקל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התחשבות בין היתר בתהליך השיקומי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המצביע על שינוי עמדות ותפיסות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לא ניתן היה במקרה דנן להימנע מהשתת עונש מאסר מאחורי סורג ובריח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המניע לעבירות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מחייבים את העדפתם של שיקולי ההלימה וההרתעה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לפיכך אין מנוס לדעתי מדחיית ערעורו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על גזר דינו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jc w:val="end"/>
        <w:rPr>
          <w:rFonts w:ascii="Century" w:hAnsi="Century" w:cs="Century"/>
          <w:sz w:val="40"/>
          <w:szCs w:val="28"/>
        </w:rPr>
      </w:pPr>
      <w:r>
        <w:rPr>
          <w:rFonts w:cs="Century" w:ascii="Century" w:hAnsi="Century"/>
          <w:sz w:val="40"/>
          <w:szCs w:val="28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התלבטתי רבות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מחד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תפקידו במסכת העבריינית מושא כתב האישום היה מרכזי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היה מעורב ושותף לסדרה של מעשים חמורים מאוד שבוצעו ממניע 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עבר הליך שיקומי מרשים וחריג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מכל תסקירי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למן מעצרו שיתף פעולה באופן מלא עם גורמי החינוך והטיפול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לאורך כל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ופעל לשיקום חייו ותיקונם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במהלך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המשיך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להקפיד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התנאים שהושתו עליו כאסיר ביטחוני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בתסקירו המעודכן המליץ שירות המבחן לשקול בחיוב קיצור ביתרת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ונציגתו אף הדגישה בדיון לפנינו את ייחודיות ההליך השיקומי בעניינו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במובחן מיתר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המדינה ציינה כי אינה מתעלמת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הליך השיקום המרשים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שעבר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שהיא סבורה כי הדבר קיבל ביטוי בעונש שהוטל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הוגש לנו גם מכתב מרגש של 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המכים על חטא בשל כשלונם לעמוד בזמן אמת על הדרך הרעה אליה סטה בנם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ומפנים לשינוי העצום שעבר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מאז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הגעתי למסקנה כי לאור השיקום המרשים והחריג שעבר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גם בגילו הצעיר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מקום להקלת מה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כמסר של עידוד ותמיכה להתמדה בדרכו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על כן אציע להפחית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מעונש המאסר לריצוי בפועל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ולהעמידו על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יתר חלקי גזר דינו יוותרו על כנם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יסוד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הערעורים על כל חלקיהם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ערעורו של </w:t>
      </w:r>
      <w:r>
        <w:rPr>
          <w:rFonts w:ascii="Century" w:hAnsi="Century" w:cs="Miriam"/>
          <w:szCs w:val="24"/>
          <w:rtl w:val="true"/>
        </w:rPr>
        <w:t>מ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ח</w:t>
      </w:r>
      <w:r>
        <w:rPr>
          <w:rFonts w:ascii="Century" w:hAnsi="Century" w:cs="Century"/>
          <w:rtl w:val="true"/>
        </w:rPr>
        <w:t xml:space="preserve">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בפסקה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קפלן</w:t>
      </w:r>
      <w:r>
        <w:rPr>
          <w:rFonts w:ascii="Century" w:hAnsi="Century" w:cs="Century"/>
          <w:rtl w:val="true"/>
        </w:rPr>
        <w:t xml:space="preserve"> יתייצב לריצוי מאסרו בבית הסוהר הדרים ביום </w:t>
      </w:r>
      <w:r>
        <w:rPr>
          <w:rFonts w:cs="Century" w:ascii="Century" w:hAnsi="Century"/>
        </w:rPr>
        <w:t>1.6.2020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השעה </w:t>
      </w:r>
      <w:r>
        <w:rPr>
          <w:rFonts w:cs="Century" w:ascii="Century" w:hAnsi="Century"/>
        </w:rPr>
        <w:t>10:00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כשברשותו תעודת זהות או דרכון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יו </w:t>
      </w:r>
      <w:r>
        <w:rPr>
          <w:rFonts w:ascii="Century" w:hAnsi="Century" w:cs="Century"/>
          <w:rtl w:val="true"/>
        </w:rPr>
        <w:t>לתאם את הכניסה למאסר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כולל האפשרות למיון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ענף אבחון ומיון של 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טלפון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08-9787377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08-9787336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9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3.5.2020</w:t>
      </w:r>
      <w:r>
        <w:rPr>
          <w:rFonts w:cs="Century" w:ascii="Century" w:hAnsi="Century"/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המשנה לנשיאה                                ש ו פ ט                                         ש ו פ ט ת </w:t>
      </w:r>
    </w:p>
    <w:p>
      <w:pPr>
        <w:pStyle w:val="Ruller41"/>
        <w:overflowPunct w:val="true"/>
        <w:autoSpaceDE w:val="true"/>
        <w:ind w:end="0"/>
        <w:jc w:val="both"/>
        <w:textAlignment w:val="auto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18037930</w:t>
      </w:r>
      <w:r>
        <w:rPr>
          <w:sz w:val="16"/>
          <w:rtl w:val="true"/>
        </w:rPr>
        <w:t>_</w:t>
      </w:r>
      <w:r>
        <w:rPr>
          <w:sz w:val="16"/>
        </w:rPr>
        <w:t>B20.docx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לג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54678313-3793/18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6"/>
      <w:footerReference w:type="default" r:id="rId107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3793/18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end"/>
      <w:pPr>
        <w:tabs>
          <w:tab w:val="num" w:pos="0"/>
        </w:tabs>
        <w:ind w:start="360" w:hanging="360"/>
      </w:pPr>
      <w:rPr>
        <w:rFonts w:ascii="FrankRuehl" w:hAnsi="FrankRuehl" w:cs="FrankRuehl" w:hint="default"/>
      </w:rPr>
    </w:lvl>
  </w:abstractNum>
  <w:abstractNum w:abstractNumId="3">
    <w:lvl w:ilvl="0">
      <w:start w:val="3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b w:val="false"/>
        <w:szCs w:val="28"/>
        <w:bCs w:val="false"/>
        <w:rFonts w:cs="FrankRuehl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8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8"/>
        <w:szCs w:val="28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7">
    <w:lvl w:ilvl="0">
      <w:start w:val="1"/>
      <w:numFmt w:val="decimal"/>
      <w:lvlText w:val="[%1]"/>
      <w:lvlJc w:val="start"/>
      <w:pPr>
        <w:tabs>
          <w:tab w:val="num" w:pos="1152"/>
        </w:tabs>
        <w:ind w:start="0" w:hanging="0"/>
      </w:pPr>
      <w:rPr>
        <w:sz w:val="24"/>
        <w:i w:val="false"/>
        <w:rFonts w:ascii="Times New Roman" w:hAnsi="Times New Roman" w:cs="Times New Roman"/>
        <w:color w:val="000000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080" w:hanging="36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/>
    </w:lvl>
  </w:abstractNum>
  <w:abstractNum w:abstractNumId="9">
    <w:lvl w:ilvl="0">
      <w:start w:val="1"/>
      <w:numFmt w:val="hebrew1"/>
      <w:lvlText w:val="%1."/>
      <w:lvlJc w:val="start"/>
      <w:pPr>
        <w:tabs>
          <w:tab w:val="num" w:pos="0"/>
        </w:tabs>
        <w:ind w:start="72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verflowPunct w:val="true"/>
      <w:autoSpaceDE w:val="true"/>
      <w:bidi w:val="0"/>
      <w:spacing w:lineRule="auto" w:line="360" w:before="40" w:after="0"/>
      <w:textAlignment w:val="auto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overflowPunct w:val="true"/>
      <w:autoSpaceDE w:val="true"/>
      <w:bidi w:val="0"/>
      <w:spacing w:lineRule="auto" w:line="360" w:before="40" w:after="0"/>
      <w:textAlignment w:val="auto"/>
      <w:outlineLvl w:val="4"/>
    </w:pPr>
    <w:rPr>
      <w:rFonts w:ascii="Calibri Light" w:hAnsi="Calibri Light" w:eastAsia="Times New Roman" w:cs="Times New Roman"/>
      <w:color w:val="2E74B5"/>
      <w:sz w:val="28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FrankRuehl"/>
      <w:b w:val="false"/>
      <w:bCs w:val="false"/>
      <w:sz w:val="24"/>
      <w:szCs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  <w:szCs w:val="28"/>
    </w:rPr>
  </w:style>
  <w:style w:type="character" w:styleId="WW8Num15z0">
    <w:name w:val="WW8Num15z0"/>
    <w:qFormat/>
    <w:rPr>
      <w:rFonts w:cs="David"/>
      <w:b w:val="false"/>
      <w:bCs w:val="false"/>
      <w:sz w:val="24"/>
      <w:szCs w:val="24"/>
      <w:lang w:val="en-US"/>
    </w:rPr>
  </w:style>
  <w:style w:type="character" w:styleId="WW8Num16z0">
    <w:name w:val="WW8Num16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 w:color="000000"/>
      <w:vertAlign w:val="baseline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sz w:val="28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>
      <w:rFonts w:ascii="Wingdings" w:hAnsi="Wingdings" w:cs="Wingdings"/>
      <w:color w:val="000000"/>
    </w:rPr>
  </w:style>
  <w:style w:type="character" w:styleId="WW8Num25z2">
    <w:name w:val="WW8Num25z2"/>
    <w:qFormat/>
    <w:rPr>
      <w:rFonts w:ascii="Times New Roman" w:hAnsi="Times New Roman" w:eastAsia="Times New Roman" w:cs="Times New Roman"/>
      <w:color w:val="000000"/>
    </w:rPr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Times New Roman" w:hAnsi="Times New Roman" w:cs="Times New Roman"/>
      <w:i w:val="false"/>
      <w:color w:val="000000"/>
      <w:sz w:val="24"/>
    </w:rPr>
  </w:style>
  <w:style w:type="character" w:styleId="WW8Num27z1">
    <w:name w:val="WW8Num27z1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"/>
    </w:rPr>
  </w:style>
  <w:style w:type="character" w:styleId="CharChar3">
    <w:name w:val=" Char Char3"/>
    <w:qFormat/>
    <w:rPr>
      <w:rFonts w:cs="David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harChar7">
    <w:name w:val=" Char Char7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2E74B5"/>
      <w:sz w:val="2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Strong">
    <w:name w:val="Strong"/>
    <w:qFormat/>
    <w:rPr>
      <w:rFonts w:cs="FrankRuehl"/>
      <w:b w:val="false"/>
      <w:bCs w:val="false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CharChar5">
    <w:name w:val=" Char Char5"/>
    <w:qFormat/>
    <w:rPr>
      <w:rFonts w:cs="David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CharChar1">
    <w:name w:val=" Char Char1"/>
    <w:qFormat/>
    <w:rPr>
      <w:rFonts w:cs="FrankRuehl"/>
    </w:rPr>
  </w:style>
  <w:style w:type="character" w:styleId="EndnoteCharacters">
    <w:name w:val="Endnote Characters"/>
    <w:qFormat/>
    <w:rPr>
      <w:vertAlign w:val="superscript"/>
    </w:rPr>
  </w:style>
  <w:style w:type="character" w:styleId="CharChar">
    <w:name w:val=" Char Char"/>
    <w:qFormat/>
    <w:rPr>
      <w:rFonts w:cs="FrankRuehl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3"/>
      </w:numPr>
      <w:overflowPunct w:val="true"/>
      <w:autoSpaceDE w:val="true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6"/>
      </w:numPr>
      <w:overflowPunct w:val="true"/>
      <w:autoSpaceDE w:val="true"/>
      <w:textAlignment w:val="auto"/>
    </w:pPr>
    <w:rPr>
      <w:sz w:val="28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lineRule="auto" w:line="360" w:before="0" w:after="0"/>
      <w:ind w:hanging="0" w:start="720" w:end="0"/>
      <w:contextualSpacing/>
      <w:textAlignment w:val="auto"/>
    </w:pPr>
    <w:rPr>
      <w:rFonts w:cs="FrankRuehl"/>
      <w:sz w:val="28"/>
      <w:szCs w:val="20"/>
    </w:rPr>
  </w:style>
  <w:style w:type="paragraph" w:styleId="1">
    <w:name w:val="סגנון1"/>
    <w:basedOn w:val="Normal"/>
    <w:qFormat/>
    <w:pPr>
      <w:spacing w:lineRule="auto" w:line="360"/>
      <w:jc w:val="both"/>
      <w:textAlignment w:val="auto"/>
    </w:pPr>
    <w:rPr>
      <w:rFonts w:ascii="Century" w:hAnsi="Century" w:cs="Times New Roman"/>
      <w:spacing w:val="10"/>
      <w:sz w:val="22"/>
      <w:szCs w:val="22"/>
    </w:rPr>
  </w:style>
  <w:style w:type="paragraph" w:styleId="Style12">
    <w:name w:val="כללי"/>
    <w:basedOn w:val="Normal"/>
    <w:qFormat/>
    <w:pPr>
      <w:spacing w:lineRule="exact" w:line="280" w:before="0" w:after="240"/>
      <w:ind w:firstLine="284" w:start="0" w:end="0"/>
      <w:jc w:val="both"/>
      <w:textAlignment w:val="auto"/>
    </w:pPr>
    <w:rPr>
      <w:rFonts w:cs="FrankRuehl"/>
    </w:rPr>
  </w:style>
  <w:style w:type="paragraph" w:styleId="EndnoteText">
    <w:name w:val="endnote text"/>
    <w:basedOn w:val="Normal"/>
    <w:pPr>
      <w:overflowPunct w:val="true"/>
      <w:autoSpaceDE w:val="true"/>
      <w:bidi w:val="0"/>
      <w:textAlignment w:val="auto"/>
    </w:pPr>
    <w:rPr>
      <w:rFonts w:cs="FrankRuehl"/>
      <w:szCs w:val="20"/>
    </w:rPr>
  </w:style>
  <w:style w:type="paragraph" w:styleId="FootnoteText">
    <w:name w:val="footnote text"/>
    <w:basedOn w:val="Normal"/>
    <w:pPr>
      <w:overflowPunct w:val="true"/>
      <w:autoSpaceDE w:val="true"/>
      <w:bidi w:val="0"/>
      <w:textAlignment w:val="auto"/>
    </w:pPr>
    <w:rPr>
      <w:rFonts w:cs="FrankRuehl"/>
      <w:szCs w:val="20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3">
    <w:name w:val="מספר הליך"/>
    <w:basedOn w:val="Normal"/>
    <w:qFormat/>
    <w:pPr>
      <w:spacing w:lineRule="exact" w:line="280" w:before="0" w:after="240"/>
      <w:ind w:firstLine="284" w:start="0" w:end="0"/>
      <w:jc w:val="end"/>
      <w:textAlignment w:val="auto"/>
    </w:pPr>
    <w:rPr>
      <w:rFonts w:cs="FrankRuehl"/>
      <w:szCs w:val="28"/>
    </w:rPr>
  </w:style>
  <w:style w:type="paragraph" w:styleId="ParaNoNdepar-AltN">
    <w:name w:val="Para. No. / Nº de par. - Alt N"/>
    <w:qFormat/>
    <w:pPr>
      <w:widowControl/>
      <w:numPr>
        <w:ilvl w:val="0"/>
        <w:numId w:val="7"/>
      </w:numPr>
      <w:bidi w:val="0"/>
      <w:spacing w:lineRule="auto" w:line="480" w:before="480" w:after="480"/>
      <w:jc w:val="both"/>
    </w:pPr>
    <w:rPr>
      <w:rFonts w:ascii="Times New Roman" w:hAnsi="Times New Roman" w:eastAsia="Times New Roman" w:cs="Arial"/>
      <w:color w:val="auto"/>
      <w:sz w:val="24"/>
      <w:szCs w:val="22"/>
      <w:lang w:val="en-CA" w:bidi="ar-SA" w:eastAsia="zh-CN"/>
    </w:rPr>
  </w:style>
  <w:style w:type="paragraph" w:styleId="bodyverdict1">
    <w:name w:val="bodyverdict"/>
    <w:basedOn w:val="Normal"/>
    <w:qFormat/>
    <w:pPr>
      <w:textAlignment w:val="auto"/>
    </w:pPr>
    <w:rPr>
      <w:rFonts w:cs="Times New Roman"/>
      <w:spacing w:val="10"/>
      <w:sz w:val="22"/>
      <w:szCs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54004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367" TargetMode="External"/><Relationship Id="rId5" Type="http://schemas.openxmlformats.org/officeDocument/2006/relationships/hyperlink" Target="http://www.nevo.co.il/safrut/bookgroup/1172" TargetMode="External"/><Relationship Id="rId6" Type="http://schemas.openxmlformats.org/officeDocument/2006/relationships/hyperlink" Target="http://www.nevo.co.il/safrut/bookgroup/1172" TargetMode="External"/><Relationship Id="rId7" Type="http://schemas.openxmlformats.org/officeDocument/2006/relationships/hyperlink" Target="http://www.nevo.co.il/law/72515" TargetMode="External"/><Relationship Id="rId8" Type="http://schemas.openxmlformats.org/officeDocument/2006/relationships/hyperlink" Target="http://www.nevo.co.il/law/72515/1" TargetMode="External"/><Relationship Id="rId9" Type="http://schemas.openxmlformats.org/officeDocument/2006/relationships/hyperlink" Target="http://www.nevo.co.il/law/72515/3" TargetMode="External"/><Relationship Id="rId10" Type="http://schemas.openxmlformats.org/officeDocument/2006/relationships/hyperlink" Target="http://www.nevo.co.il/law/72515/8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law/70348/24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5" TargetMode="External"/><Relationship Id="rId16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70301/332" TargetMode="External"/><Relationship Id="rId18" Type="http://schemas.openxmlformats.org/officeDocument/2006/relationships/hyperlink" Target="http://www.nevo.co.il/law/70301/332a" TargetMode="External"/><Relationship Id="rId19" Type="http://schemas.openxmlformats.org/officeDocument/2006/relationships/hyperlink" Target="http://www.nevo.co.il/law/70301/332a.a" TargetMode="External"/><Relationship Id="rId20" Type="http://schemas.openxmlformats.org/officeDocument/2006/relationships/hyperlink" Target="http://www.nevo.co.il/law/70301/332a.b" TargetMode="External"/><Relationship Id="rId21" Type="http://schemas.openxmlformats.org/officeDocument/2006/relationships/hyperlink" Target="http://www.nevo.co.il/law/70301/jC" TargetMode="External"/><Relationship Id="rId22" Type="http://schemas.openxmlformats.org/officeDocument/2006/relationships/hyperlink" Target="http://www.nevo.co.il/law/70301/jaC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141771/2" TargetMode="External"/><Relationship Id="rId25" Type="http://schemas.openxmlformats.org/officeDocument/2006/relationships/hyperlink" Target="http://www.nevo.co.il/law/141771/2.a.1" TargetMode="External"/><Relationship Id="rId26" Type="http://schemas.openxmlformats.org/officeDocument/2006/relationships/hyperlink" Target="http://www.nevo.co.il/law/141771/19" TargetMode="External"/><Relationship Id="rId27" Type="http://schemas.openxmlformats.org/officeDocument/2006/relationships/hyperlink" Target="http://www.nevo.co.il/law/141771/22.a" TargetMode="External"/><Relationship Id="rId28" Type="http://schemas.openxmlformats.org/officeDocument/2006/relationships/hyperlink" Target="http://www.nevo.co.il/law/141771/101" TargetMode="External"/><Relationship Id="rId29" Type="http://schemas.openxmlformats.org/officeDocument/2006/relationships/hyperlink" Target="http://www.nevo.co.il/law/73854" TargetMode="External"/><Relationship Id="rId30" Type="http://schemas.openxmlformats.org/officeDocument/2006/relationships/hyperlink" Target="http://www.nevo.co.il/law/72515" TargetMode="External"/><Relationship Id="rId31" Type="http://schemas.openxmlformats.org/officeDocument/2006/relationships/hyperlink" Target="http://www.nevo.co.il/law/72515" TargetMode="External"/><Relationship Id="rId32" Type="http://schemas.openxmlformats.org/officeDocument/2006/relationships/hyperlink" Target="http://www.nevo.co.il/law/72515" TargetMode="External"/><Relationship Id="rId33" Type="http://schemas.openxmlformats.org/officeDocument/2006/relationships/hyperlink" Target="http://www.nevo.co.il/law/72515" TargetMode="External"/><Relationship Id="rId34" Type="http://schemas.openxmlformats.org/officeDocument/2006/relationships/hyperlink" Target="http://www.nevo.co.il/case/22554004" TargetMode="External"/><Relationship Id="rId35" Type="http://schemas.openxmlformats.org/officeDocument/2006/relationships/hyperlink" Target="http://www.nevo.co.il/law/73729" TargetMode="External"/><Relationship Id="rId36" Type="http://schemas.openxmlformats.org/officeDocument/2006/relationships/hyperlink" Target="http://www.nevo.co.il/law/72515/3" TargetMode="External"/><Relationship Id="rId37" Type="http://schemas.openxmlformats.org/officeDocument/2006/relationships/hyperlink" Target="http://www.nevo.co.il/law/72515" TargetMode="External"/><Relationship Id="rId38" Type="http://schemas.openxmlformats.org/officeDocument/2006/relationships/hyperlink" Target="http://www.nevo.co.il/law/70348" TargetMode="External"/><Relationship Id="rId39" Type="http://schemas.openxmlformats.org/officeDocument/2006/relationships/hyperlink" Target="http://www.nevo.co.il/law/70348/24.1" TargetMode="External"/><Relationship Id="rId40" Type="http://schemas.openxmlformats.org/officeDocument/2006/relationships/hyperlink" Target="http://www.nevo.co.il/law/72515" TargetMode="External"/><Relationship Id="rId41" Type="http://schemas.openxmlformats.org/officeDocument/2006/relationships/hyperlink" Target="http://www.nevo.co.il/case/17938880" TargetMode="External"/><Relationship Id="rId42" Type="http://schemas.openxmlformats.org/officeDocument/2006/relationships/hyperlink" Target="http://www.nevo.co.il/law/70301/332a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32a.a" TargetMode="External"/><Relationship Id="rId45" Type="http://schemas.openxmlformats.org/officeDocument/2006/relationships/hyperlink" Target="http://www.nevo.co.il/law/72515" TargetMode="External"/><Relationship Id="rId46" Type="http://schemas.openxmlformats.org/officeDocument/2006/relationships/hyperlink" Target="http://www.nevo.co.il/law/70301/332" TargetMode="External"/><Relationship Id="rId47" Type="http://schemas.openxmlformats.org/officeDocument/2006/relationships/hyperlink" Target="http://www.nevo.co.il/law/70301/332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2515/3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jaC" TargetMode="External"/><Relationship Id="rId52" Type="http://schemas.openxmlformats.org/officeDocument/2006/relationships/hyperlink" Target="http://www.nevo.co.il/law/70301/jC" TargetMode="External"/><Relationship Id="rId53" Type="http://schemas.openxmlformats.org/officeDocument/2006/relationships/hyperlink" Target="http://www.nevo.co.il/case/6243572" TargetMode="External"/><Relationship Id="rId54" Type="http://schemas.openxmlformats.org/officeDocument/2006/relationships/hyperlink" Target="http://www.nevo.co.il/law/72515/3" TargetMode="External"/><Relationship Id="rId55" Type="http://schemas.openxmlformats.org/officeDocument/2006/relationships/hyperlink" Target="http://www.nevo.co.il/law/72515" TargetMode="External"/><Relationship Id="rId56" Type="http://schemas.openxmlformats.org/officeDocument/2006/relationships/hyperlink" Target="http://www.nevo.co.il/law/72515/3" TargetMode="External"/><Relationship Id="rId57" Type="http://schemas.openxmlformats.org/officeDocument/2006/relationships/hyperlink" Target="http://www.nevo.co.il/law/141771/22.a" TargetMode="External"/><Relationship Id="rId58" Type="http://schemas.openxmlformats.org/officeDocument/2006/relationships/hyperlink" Target="http://www.nevo.co.il/law/70301/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2515/3" TargetMode="External"/><Relationship Id="rId61" Type="http://schemas.openxmlformats.org/officeDocument/2006/relationships/hyperlink" Target="http://www.nevo.co.il/law/72515" TargetMode="External"/><Relationship Id="rId62" Type="http://schemas.openxmlformats.org/officeDocument/2006/relationships/hyperlink" Target="http://www.nevo.co.il/law/72515/1" TargetMode="External"/><Relationship Id="rId63" Type="http://schemas.openxmlformats.org/officeDocument/2006/relationships/hyperlink" Target="http://www.nevo.co.il/law/72515" TargetMode="External"/><Relationship Id="rId64" Type="http://schemas.openxmlformats.org/officeDocument/2006/relationships/hyperlink" Target="http://www.nevo.co.il/case/%3C!DOCTYPE%20HTML%20PUBLIC%20%5C" TargetMode="External"/><Relationship Id="rId65" Type="http://schemas.openxmlformats.org/officeDocument/2006/relationships/hyperlink" Target="http://www.nevo.co.il/case/2229259" TargetMode="External"/><Relationship Id="rId66" Type="http://schemas.openxmlformats.org/officeDocument/2006/relationships/hyperlink" Target="http://www.nevo.co.il/case/5716378" TargetMode="External"/><Relationship Id="rId67" Type="http://schemas.openxmlformats.org/officeDocument/2006/relationships/hyperlink" Target="http://www.nevo.co.il/safrut/bookgroup/367" TargetMode="External"/><Relationship Id="rId68" Type="http://schemas.openxmlformats.org/officeDocument/2006/relationships/hyperlink" Target="http://www.nevo.co.il/safrut/bookgroup/1172" TargetMode="External"/><Relationship Id="rId69" Type="http://schemas.openxmlformats.org/officeDocument/2006/relationships/hyperlink" Target="http://www.nevo.co.il/law/141771/2" TargetMode="External"/><Relationship Id="rId70" Type="http://schemas.openxmlformats.org/officeDocument/2006/relationships/hyperlink" Target="http://www.nevo.co.il/law/73854" TargetMode="External"/><Relationship Id="rId71" Type="http://schemas.openxmlformats.org/officeDocument/2006/relationships/hyperlink" Target="http://www.nevo.co.il/law/72515" TargetMode="External"/><Relationship Id="rId72" Type="http://schemas.openxmlformats.org/officeDocument/2006/relationships/hyperlink" Target="http://www.nevo.co.il/law/72515/8" TargetMode="External"/><Relationship Id="rId73" Type="http://schemas.openxmlformats.org/officeDocument/2006/relationships/hyperlink" Target="http://www.nevo.co.il/law/141771/2.a.1" TargetMode="External"/><Relationship Id="rId74" Type="http://schemas.openxmlformats.org/officeDocument/2006/relationships/hyperlink" Target="http://www.nevo.co.il/law/141771/19" TargetMode="External"/><Relationship Id="rId75" Type="http://schemas.openxmlformats.org/officeDocument/2006/relationships/hyperlink" Target="http://www.nevo.co.il/law/141771/101" TargetMode="External"/><Relationship Id="rId76" Type="http://schemas.openxmlformats.org/officeDocument/2006/relationships/hyperlink" Target="http://www.nevo.co.il/safrut/bookgroup/4004" TargetMode="External"/><Relationship Id="rId77" Type="http://schemas.openxmlformats.org/officeDocument/2006/relationships/hyperlink" Target="http://www.nevo.co.il/case/21015204" TargetMode="External"/><Relationship Id="rId78" Type="http://schemas.openxmlformats.org/officeDocument/2006/relationships/hyperlink" Target="http://www.nevo.co.il/case/13104233" TargetMode="External"/><Relationship Id="rId79" Type="http://schemas.openxmlformats.org/officeDocument/2006/relationships/hyperlink" Target="http://www.nevo.co.il/case/5755894" TargetMode="External"/><Relationship Id="rId80" Type="http://schemas.openxmlformats.org/officeDocument/2006/relationships/hyperlink" Target="http://www.nevo.co.il/case/6104053" TargetMode="External"/><Relationship Id="rId81" Type="http://schemas.openxmlformats.org/officeDocument/2006/relationships/hyperlink" Target="http://www.nevo.co.il/case/17938381" TargetMode="External"/><Relationship Id="rId82" Type="http://schemas.openxmlformats.org/officeDocument/2006/relationships/hyperlink" Target="http://www.nevo.co.il/case/6180923" TargetMode="External"/><Relationship Id="rId83" Type="http://schemas.openxmlformats.org/officeDocument/2006/relationships/hyperlink" Target="http://www.nevo.co.il/law/72515" TargetMode="External"/><Relationship Id="rId84" Type="http://schemas.openxmlformats.org/officeDocument/2006/relationships/hyperlink" Target="http://www.nevo.co.il/law/72515" TargetMode="External"/><Relationship Id="rId85" Type="http://schemas.openxmlformats.org/officeDocument/2006/relationships/hyperlink" Target="http://www.nevo.co.il/case/7712224" TargetMode="External"/><Relationship Id="rId86" Type="http://schemas.openxmlformats.org/officeDocument/2006/relationships/hyperlink" Target="http://www.nevo.co.il/case/21477661" TargetMode="External"/><Relationship Id="rId87" Type="http://schemas.openxmlformats.org/officeDocument/2006/relationships/hyperlink" Target="http://www.nevo.co.il/case/26256026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144f" TargetMode="External"/><Relationship Id="rId90" Type="http://schemas.openxmlformats.org/officeDocument/2006/relationships/hyperlink" Target="http://www.nevo.co.il/case/6130237" TargetMode="External"/><Relationship Id="rId91" Type="http://schemas.openxmlformats.org/officeDocument/2006/relationships/hyperlink" Target="http://www.nevo.co.il/case/5854437" TargetMode="External"/><Relationship Id="rId92" Type="http://schemas.openxmlformats.org/officeDocument/2006/relationships/hyperlink" Target="http://www.nevo.co.il/case/20221614" TargetMode="External"/><Relationship Id="rId93" Type="http://schemas.openxmlformats.org/officeDocument/2006/relationships/hyperlink" Target="http://www.nevo.co.il/case/20888243" TargetMode="External"/><Relationship Id="rId94" Type="http://schemas.openxmlformats.org/officeDocument/2006/relationships/hyperlink" Target="http://www.nevo.co.il/case/5750760" TargetMode="External"/><Relationship Id="rId95" Type="http://schemas.openxmlformats.org/officeDocument/2006/relationships/hyperlink" Target="http://www.nevo.co.il/case/5614080" TargetMode="External"/><Relationship Id="rId96" Type="http://schemas.openxmlformats.org/officeDocument/2006/relationships/hyperlink" Target="http://www.nevo.co.il/case/21473281" TargetMode="External"/><Relationship Id="rId97" Type="http://schemas.openxmlformats.org/officeDocument/2006/relationships/hyperlink" Target="http://www.nevo.co.il/case/22536272" TargetMode="External"/><Relationship Id="rId98" Type="http://schemas.openxmlformats.org/officeDocument/2006/relationships/hyperlink" Target="http://www.nevo.co.il/case/20923902" TargetMode="External"/><Relationship Id="rId99" Type="http://schemas.openxmlformats.org/officeDocument/2006/relationships/hyperlink" Target="http://www.nevo.co.il/case/20911367" TargetMode="External"/><Relationship Id="rId100" Type="http://schemas.openxmlformats.org/officeDocument/2006/relationships/hyperlink" Target="http://www.nevo.co.il/case/21008663" TargetMode="External"/><Relationship Id="rId101" Type="http://schemas.openxmlformats.org/officeDocument/2006/relationships/hyperlink" Target="http://www.nevo.co.il/case/23763436" TargetMode="External"/><Relationship Id="rId102" Type="http://schemas.openxmlformats.org/officeDocument/2006/relationships/hyperlink" Target="http://www.nevo.co.il/case/23750585" TargetMode="External"/><Relationship Id="rId103" Type="http://schemas.openxmlformats.org/officeDocument/2006/relationships/hyperlink" Target="http://www.nevo.co.il/case/21477553" TargetMode="External"/><Relationship Id="rId104" Type="http://schemas.openxmlformats.org/officeDocument/2006/relationships/hyperlink" Target="http://supreme.court.gov.il/" TargetMode="External"/><Relationship Id="rId105" Type="http://schemas.openxmlformats.org/officeDocument/2006/relationships/hyperlink" Target="http://www.nevo.co.il/advertisements/nevo-100.doc" TargetMode="External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2022-08-31T13:16:00Z</dcterms:created>
  <dc:creator> </dc:creator>
  <dc:description/>
  <cp:keywords/>
  <dc:language>en-IL</dc:language>
  <cp:lastModifiedBy>h11</cp:lastModifiedBy>
  <cp:lastPrinted>2020-05-03T18:52:00Z</cp:lastPrinted>
  <dcterms:modified xsi:type="dcterms:W3CDTF">2022-08-31T13:16:00Z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פלוני;פלוני;פלוני;מיכאל קפלן;פלוני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4004:2;367:2;1172:2</vt:lpwstr>
  </property>
  <property fmtid="{D5CDD505-2E9C-101B-9397-08002B2CF9AE}" pid="5" name="CASESLISTTMP1">
    <vt:lpwstr>22554004:2;17938880;6243572</vt:lpwstr>
  </property>
  <property fmtid="{D5CDD505-2E9C-101B-9397-08002B2CF9AE}" pid="6" name="CASESLISTTMP2">
    <vt:lpwstr>&lt;!DOCTYPE HTML PUBLIC "-//W3C//DTD HTML 4.01//EN""http://www.w3.org/TR/html4/strict.dtd"&gt;&lt;HTML&gt;&lt;HEAD&gt;&lt;TITLE&gt;Service Unavailable&lt;/TITLE&gt;&lt;META HTTP-EQUIV="Content-Type" Content="text/html; charset=us-ascii"&gt;&lt;/HEAD&gt;&lt;BODY&gt;&lt;h2&gt;Service Unavailable&lt;/h2&gt;&lt;hr&gt;&lt;p&gt;HT</vt:lpwstr>
  </property>
  <property fmtid="{D5CDD505-2E9C-101B-9397-08002B2CF9AE}" pid="7" name="CASESLISTTMP3">
    <vt:lpwstr>2229259;5716378;21015204;13104233;5755894;6104053;17938381;6180923;7712224;21477661;26256026;6130237;5854437;20221614;20888243;5750760;5614080;21473281;22536272;20923902;20911367;21008663;23763436;23750585;21477553</vt:lpwstr>
  </property>
  <property fmtid="{D5CDD505-2E9C-101B-9397-08002B2CF9AE}" pid="8" name="DATE">
    <vt:lpwstr>20200503</vt:lpwstr>
  </property>
  <property fmtid="{D5CDD505-2E9C-101B-9397-08002B2CF9AE}" pid="9" name="ISABSTRACT">
    <vt:lpwstr>Y</vt:lpwstr>
  </property>
  <property fmtid="{D5CDD505-2E9C-101B-9397-08002B2CF9AE}" pid="10" name="JUDGE">
    <vt:lpwstr>מ' מזוז;ע' ברון;ח' מלצר</vt:lpwstr>
  </property>
  <property fmtid="{D5CDD505-2E9C-101B-9397-08002B2CF9AE}" pid="11" name="LAWLISTTMP1">
    <vt:lpwstr>72515/003:5;001;008</vt:lpwstr>
  </property>
  <property fmtid="{D5CDD505-2E9C-101B-9397-08002B2CF9AE}" pid="12" name="LAWLISTTMP2">
    <vt:lpwstr>73729</vt:lpwstr>
  </property>
  <property fmtid="{D5CDD505-2E9C-101B-9397-08002B2CF9AE}" pid="13" name="LAWLISTTMP3">
    <vt:lpwstr>70348/024.1</vt:lpwstr>
  </property>
  <property fmtid="{D5CDD505-2E9C-101B-9397-08002B2CF9AE}" pid="14" name="LAWLISTTMP4">
    <vt:lpwstr>70301/332a.b;332a.a;332;332a;jaC;jC;005;144f</vt:lpwstr>
  </property>
  <property fmtid="{D5CDD505-2E9C-101B-9397-08002B2CF9AE}" pid="15" name="LAWLISTTMP5">
    <vt:lpwstr>141771/022.a;002;002.a.1;019;101</vt:lpwstr>
  </property>
  <property fmtid="{D5CDD505-2E9C-101B-9397-08002B2CF9AE}" pid="16" name="LAWLISTTMP6">
    <vt:lpwstr>73854</vt:lpwstr>
  </property>
  <property fmtid="{D5CDD505-2E9C-101B-9397-08002B2CF9AE}" pid="17" name="LAWYER">
    <vt:lpwstr>שרית משגב;זאב וולף;יהודה נדב;עדי קידר;אלינור הרצקה;הבר חי</vt:lpwstr>
  </property>
  <property fmtid="{D5CDD505-2E9C-101B-9397-08002B2CF9AE}" pid="18" name="METAKZER">
    <vt:lpwstr>נעה</vt:lpwstr>
  </property>
  <property fmtid="{D5CDD505-2E9C-101B-9397-08002B2CF9AE}" pid="19" name="NOSE11">
    <vt:lpwstr>עונשין</vt:lpwstr>
  </property>
  <property fmtid="{D5CDD505-2E9C-101B-9397-08002B2CF9AE}" pid="20" name="NOSE12">
    <vt:lpwstr>עונשין</vt:lpwstr>
  </property>
  <property fmtid="{D5CDD505-2E9C-101B-9397-08002B2CF9AE}" pid="21" name="NOSE13">
    <vt:lpwstr>עונשין</vt:lpwstr>
  </property>
  <property fmtid="{D5CDD505-2E9C-101B-9397-08002B2CF9AE}" pid="22" name="NOSE14">
    <vt:lpwstr>עונשין</vt:lpwstr>
  </property>
  <property fmtid="{D5CDD505-2E9C-101B-9397-08002B2CF9AE}" pid="23" name="NOSE15">
    <vt:lpwstr>עונשין</vt:lpwstr>
  </property>
  <property fmtid="{D5CDD505-2E9C-101B-9397-08002B2CF9AE}" pid="24" name="NOSE1ID">
    <vt:lpwstr>77;77;77;77;77</vt:lpwstr>
  </property>
  <property fmtid="{D5CDD505-2E9C-101B-9397-08002B2CF9AE}" pid="25" name="NOSE21">
    <vt:lpwstr>עבירות</vt:lpwstr>
  </property>
  <property fmtid="{D5CDD505-2E9C-101B-9397-08002B2CF9AE}" pid="26" name="NOSE22">
    <vt:lpwstr>ענישה</vt:lpwstr>
  </property>
  <property fmtid="{D5CDD505-2E9C-101B-9397-08002B2CF9AE}" pid="27" name="NOSE23">
    <vt:lpwstr>ענישה</vt:lpwstr>
  </property>
  <property fmtid="{D5CDD505-2E9C-101B-9397-08002B2CF9AE}" pid="28" name="NOSE24">
    <vt:lpwstr>ענישה</vt:lpwstr>
  </property>
  <property fmtid="{D5CDD505-2E9C-101B-9397-08002B2CF9AE}" pid="29" name="NOSE25">
    <vt:lpwstr>ענישה</vt:lpwstr>
  </property>
  <property fmtid="{D5CDD505-2E9C-101B-9397-08002B2CF9AE}" pid="30" name="NOSE2ID">
    <vt:lpwstr>1443;1446;1446;1446;1446</vt:lpwstr>
  </property>
  <property fmtid="{D5CDD505-2E9C-101B-9397-08002B2CF9AE}" pid="31" name="NOSE31">
    <vt:lpwstr>חברות בארגון טרוריסטי</vt:lpwstr>
  </property>
  <property fmtid="{D5CDD505-2E9C-101B-9397-08002B2CF9AE}" pid="32" name="NOSE32">
    <vt:lpwstr>מדיניות ענישה: עבירות אלימות על רקע אידיאולוגי</vt:lpwstr>
  </property>
  <property fmtid="{D5CDD505-2E9C-101B-9397-08002B2CF9AE}" pid="33" name="NOSE33">
    <vt:lpwstr>מדיניות ענישה: חברות בארגון טרור ‏</vt:lpwstr>
  </property>
  <property fmtid="{D5CDD505-2E9C-101B-9397-08002B2CF9AE}" pid="34" name="NOSE34">
    <vt:lpwstr>מדיניות ענישה: קטינים</vt:lpwstr>
  </property>
  <property fmtid="{D5CDD505-2E9C-101B-9397-08002B2CF9AE}" pid="35" name="NOSE35">
    <vt:lpwstr>מדיניות ענישה: שיקום</vt:lpwstr>
  </property>
  <property fmtid="{D5CDD505-2E9C-101B-9397-08002B2CF9AE}" pid="36" name="NOSE3ID">
    <vt:lpwstr>15688;17645;15678;15724;14346</vt:lpwstr>
  </property>
  <property fmtid="{D5CDD505-2E9C-101B-9397-08002B2CF9AE}" pid="37" name="PADIDATE">
    <vt:lpwstr>20200504</vt:lpwstr>
  </property>
  <property fmtid="{D5CDD505-2E9C-101B-9397-08002B2CF9AE}" pid="38" name="PADIMAIL">
    <vt:lpwstr>YES</vt:lpwstr>
  </property>
  <property fmtid="{D5CDD505-2E9C-101B-9397-08002B2CF9AE}" pid="39" name="PROCESS">
    <vt:lpwstr>עפ;עפ;עפ</vt:lpwstr>
  </property>
  <property fmtid="{D5CDD505-2E9C-101B-9397-08002B2CF9AE}" pid="40" name="PROCNUM">
    <vt:lpwstr>3793;9057;5591</vt:lpwstr>
  </property>
  <property fmtid="{D5CDD505-2E9C-101B-9397-08002B2CF9AE}" pid="41" name="PROCYEAR">
    <vt:lpwstr>18;18;19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410120200503</vt:lpwstr>
  </property>
  <property fmtid="{D5CDD505-2E9C-101B-9397-08002B2CF9AE}" pid="45" name="TYPE_N_DATE">
    <vt:lpwstr>41020200503</vt:lpwstr>
  </property>
  <property fmtid="{D5CDD505-2E9C-101B-9397-08002B2CF9AE}" pid="46" name="WORDNUMPAGES">
    <vt:lpwstr>38</vt:lpwstr>
  </property>
</Properties>
</file>