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3793/20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השאם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מורייחי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31241-09-19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רבקה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פוקס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9.11.2020</w:t>
            </w:r>
            <w:r>
              <w:rPr>
                <w:sz w:val="24"/>
                <w:szCs w:val="24"/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ואפי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נסראלדין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bookmarkStart w:id="4" w:name="FirstLawyer"/>
            <w:bookmarkEnd w:id="4"/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המשיב</w:t>
            </w:r>
            <w:r>
              <w:rPr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נגה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סידי</w:t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shd w:fill="FFFFFF" w:val="clear"/>
          <w:rtl w:val="true"/>
        </w:rPr>
        <w:t>מיני</w:t>
      </w:r>
      <w:r>
        <w:rPr>
          <w:rFonts w:cs="FrankRuehl"/>
          <w:sz w:val="24"/>
          <w:szCs w:val="26"/>
          <w:shd w:fill="FFFFFF" w:val="clear"/>
          <w:rtl w:val="true"/>
        </w:rPr>
        <w:t>-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רציו</w:t>
      </w:r>
      <w:r>
        <w:rPr>
          <w:rFonts w:cs="FrankRuehl"/>
          <w:sz w:val="24"/>
          <w:szCs w:val="26"/>
          <w:shd w:fill="FFFFFF" w:val="clear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לעסקה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נשק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דיון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פלילי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ערעור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אי</w:t>
      </w:r>
      <w:r>
        <w:rPr>
          <w:rFonts w:cs="FrankRuehl"/>
          <w:sz w:val="24"/>
          <w:szCs w:val="26"/>
          <w:shd w:fill="FFFFFF" w:val="clear"/>
          <w:rtl w:val="true"/>
        </w:rPr>
        <w:t>-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התערבות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במידת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העונש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אחדות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ערעור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בגדרו הוטל על המערער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לריצוי בפועל ומאסרים מותנים בגין הרשעתו בעבירה של נסיון לעסקה אחרת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בהסכמת השופטים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סולברג 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ידועה 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לא בנקל תתערב ערכאת הערעור בעונש שהושת על 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לשם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להצביע על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חריגות שבהן נפלה טעות מהותית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קיצונית ממדיניות הענישה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דנא אינו בא בגדרי אותם מקרים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הדגיש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חזור ואמור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חומרתן הרבה של העבירות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הצורך במיגורן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ואת ההרתעה הנדרשת בענישה של מי שמבקשים להציב סכנה ממשית לשלום הציבור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בתוך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ניכרת בשנים האחרונות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מגמת החמרה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עבירות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בדמות מאסר ממושך לריצוי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לקבל את טענת המערער כי יש להקל בעונשו מפני שתיווך בעסקת נשק ולא סחר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 מחמירה נדרשת לכל חוליה בשרשרת של עבירת הסחר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ובכלל זה גם מי שתיווך בעסקה ותרם תרומה מרכזית לביצועה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ביקש לדחות את טענת המשיבה לפיה היה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הרוח החיה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בעסקה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בין כה וכה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דומה כי אין חולק על כך שהמערער היה גורם מרכזי ודומיננטי בהוצאת העסקה אל הפועל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יצר את הקשר בין הסוחר מהרשות לבין הרוכש מישראל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תיאם והגיע למפגש בין השניים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במהלכו נבחן הנשק וסוכמו מחיר העסקה ודרך ביצועה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גם תיאם את אסוף הנשק והעברתו אל הרוכש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ברי כי המערער היה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חוליה בלעדי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לצורך ביצוע עסקת הנשק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שאין בעובדה ששימש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מתווך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כשהיא לעצמה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להמעיט מחלקו ולהוות שיקול להקלה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לטענת המערער כי הוא הורשע אך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נסיון לתיווך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בעסקת נשק ולא בעבירה מושלמת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 עונשו צריך להיות קל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הכלל הוא כי אלא אם נקבע בחוק 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דין החל על הביצוע העיקרי של העבירה המושלמת חל גם על נסיון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..." (</w:t>
      </w:r>
      <w:hyperlink r:id="rId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34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ד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אומנם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עסקת המכר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לא הושלמה בעין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במובן זה שהנשק לא הגיע לידיו של הרוכש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זאת הודות להתערבות המשטרה ולא משום סיבה אחרת הנוגעת למערער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אבחנת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סואעד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ואלדראגמה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העסקה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מתמטי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שהוזכרו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הלקחים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האישית</w:t>
      </w:r>
      <w:r>
        <w:rPr>
          <w:rFonts w:cs="FrankRuehl"/>
          <w:sz w:val="24"/>
          <w:szCs w:val="26"/>
          <w:rtl w:val="true"/>
        </w:rPr>
        <w:t>.</w:t>
      </w:r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  <w:bookmarkStart w:id="14" w:name="Start_Write"/>
      <w:bookmarkEnd w:id="14"/>
    </w:p>
    <w:p>
      <w:pPr>
        <w:pStyle w:val="Ruller41"/>
        <w:ind w:end="0"/>
        <w:jc w:val="both"/>
        <w:rPr>
          <w:rFonts w:cs="Miriam"/>
          <w:b/>
          <w:bCs/>
          <w:sz w:val="24"/>
          <w:szCs w:val="24"/>
          <w:u w:val="single"/>
        </w:rPr>
      </w:pPr>
      <w:r>
        <w:rPr>
          <w:rFonts w:cs="Miriam"/>
          <w:b/>
          <w:bCs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tl w:val="true"/>
        </w:rPr>
        <w:t>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פוקס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31241-09-19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11.5.2020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24.8.2019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tl w:val="true"/>
        </w:rPr>
        <w:t xml:space="preserve"> המערער קשר עם תושב הרשות הפלסטינית שזהותו אינה ידועה </w:t>
      </w:r>
      <w:r>
        <w:rPr>
          <w:rtl w:val="true"/>
        </w:rPr>
        <w:t>(</w:t>
      </w:r>
      <w:r>
        <w:rPr>
          <w:rtl w:val="true"/>
        </w:rPr>
        <w:t>להלן 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הרשות</w:t>
      </w:r>
      <w:r>
        <w:rPr>
          <w:rtl w:val="true"/>
        </w:rPr>
        <w:t xml:space="preserve">), </w:t>
      </w:r>
      <w:r>
        <w:rPr>
          <w:rtl w:val="true"/>
        </w:rPr>
        <w:t>וכן עם אחרים</w:t>
      </w:r>
      <w:r>
        <w:rPr>
          <w:rtl w:val="true"/>
        </w:rPr>
        <w:t xml:space="preserve">, </w:t>
      </w:r>
      <w:r>
        <w:rPr>
          <w:rtl w:val="true"/>
        </w:rPr>
        <w:t>אשר למערער יש עמם היכרות קודמת</w:t>
      </w:r>
      <w:r>
        <w:rPr>
          <w:rtl w:val="true"/>
        </w:rPr>
        <w:t xml:space="preserve">. </w:t>
      </w:r>
      <w:r>
        <w:rPr>
          <w:rtl w:val="true"/>
        </w:rPr>
        <w:t>מטרת הקשר הייתה לבצע מכירה והעברה של אקדח</w:t>
      </w:r>
      <w:r>
        <w:rPr>
          <w:rtl w:val="true"/>
        </w:rPr>
        <w:t xml:space="preserve">, </w:t>
      </w:r>
      <w:r>
        <w:rPr>
          <w:rtl w:val="true"/>
        </w:rPr>
        <w:t xml:space="preserve">שהינו כלי נשק המסוגל לירות ובכוחו להמית אדם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הנשק</w:t>
      </w:r>
      <w:r>
        <w:rPr>
          <w:rtl w:val="true"/>
        </w:rPr>
        <w:t xml:space="preserve">), </w:t>
      </w:r>
      <w:r>
        <w:rPr>
          <w:rtl w:val="true"/>
        </w:rPr>
        <w:t>בצירוף מחסנית תואמת לנשק</w:t>
      </w:r>
      <w:r>
        <w:rPr>
          <w:rtl w:val="true"/>
        </w:rPr>
        <w:t xml:space="preserve">, </w:t>
      </w:r>
      <w:r>
        <w:rPr>
          <w:rtl w:val="true"/>
        </w:rPr>
        <w:t>מחזקתו של הסוחר בשטחי הרשות לידי הרוכש בישראל</w:t>
      </w:r>
      <w:r>
        <w:rPr>
          <w:rtl w:val="true"/>
        </w:rPr>
        <w:t xml:space="preserve">, </w:t>
      </w:r>
      <w:r>
        <w:rPr>
          <w:rtl w:val="true"/>
        </w:rPr>
        <w:t xml:space="preserve">אחד בשם בלאל סואעד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סואעד</w:t>
      </w:r>
      <w:r>
        <w:rPr>
          <w:rtl w:val="true"/>
        </w:rPr>
        <w:t xml:space="preserve">). </w:t>
      </w:r>
      <w:r>
        <w:rPr>
          <w:rtl w:val="true"/>
        </w:rPr>
        <w:t>המערער נסע עם סואעד למקום לא ידוע כדי לבדוק את הנשק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בין הסוחר</w:t>
      </w:r>
      <w:r>
        <w:rPr>
          <w:rtl w:val="true"/>
        </w:rPr>
        <w:t xml:space="preserve">, </w:t>
      </w:r>
      <w:r>
        <w:rPr>
          <w:rtl w:val="true"/>
        </w:rPr>
        <w:t xml:space="preserve">המערער וסואעד סוכם כי סואעד ירכוש את הנשק תמורת תשלום בגובה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אלף ש</w:t>
      </w:r>
      <w:r>
        <w:rPr>
          <w:rtl w:val="true"/>
        </w:rPr>
        <w:t>"</w:t>
      </w:r>
      <w:r>
        <w:rPr>
          <w:rtl w:val="true"/>
        </w:rPr>
        <w:t>ח וכי למחרת היום יועבר הנשק על ידי הסוחר לסואעד והמערער</w:t>
      </w:r>
      <w:r>
        <w:rPr>
          <w:rtl w:val="true"/>
        </w:rPr>
        <w:t xml:space="preserve">. </w:t>
      </w:r>
      <w:r>
        <w:rPr>
          <w:rtl w:val="true"/>
        </w:rPr>
        <w:t xml:space="preserve">הסוחר סיכם עם אחד בשם אוסאמה אלדראגמה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אלדראגמה</w:t>
      </w:r>
      <w:r>
        <w:rPr>
          <w:rtl w:val="true"/>
        </w:rPr>
        <w:t xml:space="preserve">), </w:t>
      </w:r>
      <w:r>
        <w:rPr>
          <w:rtl w:val="true"/>
        </w:rPr>
        <w:t>תושב הרשות</w:t>
      </w:r>
      <w:r>
        <w:rPr>
          <w:rtl w:val="true"/>
        </w:rPr>
        <w:t xml:space="preserve">, </w:t>
      </w:r>
      <w:r>
        <w:rPr>
          <w:rtl w:val="true"/>
        </w:rPr>
        <w:t>שיוביל את הנשק משטחי הרשות וימסור את הנשק לידי סואעד והמערער בשפרעם</w:t>
      </w:r>
      <w:r>
        <w:rPr>
          <w:rtl w:val="true"/>
        </w:rPr>
        <w:t xml:space="preserve">. </w:t>
      </w:r>
      <w:r>
        <w:rPr>
          <w:rtl w:val="true"/>
        </w:rPr>
        <w:t xml:space="preserve">המערער סיכם עם אחד בשם בלאל אבו סראיא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סראיא</w:t>
      </w:r>
      <w:r>
        <w:rPr>
          <w:rtl w:val="true"/>
        </w:rPr>
        <w:t xml:space="preserve">) </w:t>
      </w:r>
      <w:r>
        <w:rPr>
          <w:rtl w:val="true"/>
        </w:rPr>
        <w:t>לאסוף מאת אלדראגמה את הנשק וזה יעבירו למתחם ביתו של סואעד בשפרעם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25.8.2019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אלדראגמה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בשפרעם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סראיא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  <w:r>
        <w:rPr>
          <w:rtl w:val="true"/>
        </w:rPr>
        <w:t>אלדראגמה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סראיא</w:t>
      </w:r>
      <w:r>
        <w:rPr>
          <w:rtl w:val="true"/>
        </w:rPr>
        <w:t xml:space="preserve">, </w:t>
      </w:r>
      <w:r>
        <w:rPr>
          <w:rtl w:val="true"/>
        </w:rPr>
        <w:t>התיישב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סואעד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ליעד</w:t>
      </w:r>
      <w:r>
        <w:rPr>
          <w:rtl w:val="true"/>
        </w:rPr>
        <w:t xml:space="preserve">, </w:t>
      </w:r>
      <w:r>
        <w:rPr>
          <w:rtl w:val="true"/>
        </w:rPr>
        <w:t>נעצרו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יציאתם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סואעד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,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.</w:t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</w:rPr>
      </w:pPr>
      <w:r>
        <w:rPr>
          <w:rFonts w:cs="Miriam" w:ascii="Century" w:hAnsi="Century"/>
          <w:b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27.1.2020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הורשע המערער</w:t>
      </w:r>
      <w:r>
        <w:rPr>
          <w:rtl w:val="true"/>
        </w:rPr>
        <w:t xml:space="preserve"> </w:t>
      </w:r>
      <w:r>
        <w:rPr>
          <w:rtl w:val="true"/>
        </w:rPr>
        <w:t xml:space="preserve">על פי הודאתו </w:t>
      </w:r>
      <w:r>
        <w:rPr>
          <w:rtl w:val="true"/>
        </w:rPr>
        <w:t>בעבירה של</w:t>
      </w:r>
      <w:r>
        <w:rPr>
          <w:rtl w:val="true"/>
        </w:rPr>
        <w:t xml:space="preserve"> נסיון לעסקה אחרת בנשק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ציין כי במקרה דנן מידת הפגיעה בערכים החברתיים המוגנים </w:t>
      </w:r>
      <w:r>
        <w:rPr>
          <w:rtl w:val="true"/>
        </w:rPr>
        <w:t>–</w:t>
      </w:r>
      <w:r>
        <w:rPr>
          <w:rtl w:val="true"/>
        </w:rPr>
        <w:t xml:space="preserve"> שמירה על בטחון הציבור והסדר הציבורי וכן ההגנה על שלמות הגוף </w:t>
      </w:r>
      <w:r>
        <w:rPr>
          <w:rtl w:val="true"/>
        </w:rPr>
        <w:t>–</w:t>
      </w:r>
      <w:r>
        <w:rPr>
          <w:rtl w:val="true"/>
        </w:rPr>
        <w:t xml:space="preserve"> היא חמורה</w:t>
      </w:r>
      <w:r>
        <w:rPr>
          <w:rtl w:val="true"/>
        </w:rPr>
        <w:t xml:space="preserve">. </w:t>
      </w:r>
      <w:r>
        <w:rPr>
          <w:rtl w:val="true"/>
        </w:rPr>
        <w:t xml:space="preserve">עסקת הנשק הייתה </w:t>
      </w:r>
      <w:r>
        <w:rPr>
          <w:rtl w:val="true"/>
        </w:rPr>
        <w:t>"</w:t>
      </w:r>
      <w:r>
        <w:rPr>
          <w:rtl w:val="true"/>
        </w:rPr>
        <w:t>במרחק נגיעה</w:t>
      </w:r>
      <w:r>
        <w:rPr>
          <w:rtl w:val="true"/>
        </w:rPr>
        <w:t xml:space="preserve">" </w:t>
      </w:r>
      <w:r>
        <w:rPr>
          <w:rtl w:val="true"/>
        </w:rPr>
        <w:t>מהשלמה</w:t>
      </w:r>
      <w:r>
        <w:rPr>
          <w:rtl w:val="true"/>
        </w:rPr>
        <w:t xml:space="preserve">, </w:t>
      </w:r>
      <w:r>
        <w:rPr>
          <w:rtl w:val="true"/>
        </w:rPr>
        <w:t>וסוכלה רק בשל התערבות המשטרה בשלביה האחרונים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 xml:space="preserve">כי נסיבות ביצוע העבירה בהן הועבר הנשק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בתעוזה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משטחי הרשות לישראל</w:t>
      </w:r>
      <w:r>
        <w:rPr>
          <w:rtl w:val="true"/>
        </w:rPr>
        <w:t xml:space="preserve">, </w:t>
      </w:r>
      <w:r>
        <w:rPr>
          <w:rtl w:val="true"/>
        </w:rPr>
        <w:t>הן מחמירות</w:t>
      </w:r>
      <w:r>
        <w:rPr>
          <w:rtl w:val="true"/>
        </w:rPr>
        <w:t xml:space="preserve">; </w:t>
      </w:r>
      <w:r>
        <w:rPr>
          <w:rtl w:val="true"/>
        </w:rPr>
        <w:t>וכי חלקו של המערער בנסיון הוצאתה לפועל של העסקה היה משמעותי</w:t>
      </w:r>
      <w:r>
        <w:rPr>
          <w:rtl w:val="true"/>
        </w:rPr>
        <w:t xml:space="preserve">, </w:t>
      </w:r>
      <w:r>
        <w:rPr>
          <w:rtl w:val="true"/>
        </w:rPr>
        <w:t>שכן הוא זה שהיה אחראי ליצירת הקשר בין סואעד לסוחר</w:t>
      </w:r>
      <w:r>
        <w:rPr>
          <w:rtl w:val="true"/>
        </w:rPr>
        <w:t xml:space="preserve">, </w:t>
      </w:r>
      <w:r>
        <w:rPr>
          <w:rtl w:val="true"/>
        </w:rPr>
        <w:t>הגיע ביחד עם סואעד למפגש עם הסוחר</w:t>
      </w:r>
      <w:r>
        <w:rPr>
          <w:rtl w:val="true"/>
        </w:rPr>
        <w:t xml:space="preserve">, </w:t>
      </w:r>
      <w:r>
        <w:rPr>
          <w:rtl w:val="true"/>
        </w:rPr>
        <w:t>במסגרתו נבחן הנשק והוסכם על מכירתו</w:t>
      </w:r>
      <w:r>
        <w:rPr>
          <w:rtl w:val="true"/>
        </w:rPr>
        <w:t xml:space="preserve">, </w:t>
      </w:r>
      <w:r>
        <w:rPr>
          <w:rtl w:val="true"/>
        </w:rPr>
        <w:t>וכן פעל לקידום העסקה</w:t>
      </w:r>
      <w:r>
        <w:rPr>
          <w:rtl w:val="true"/>
        </w:rPr>
        <w:t xml:space="preserve">, </w:t>
      </w:r>
      <w:r>
        <w:rPr>
          <w:rtl w:val="true"/>
        </w:rPr>
        <w:t>כאשר סיכם עם אבו סראיה כיצד יאסוף את הנשק מידי אלדראגמה</w:t>
      </w:r>
      <w:r>
        <w:rPr>
          <w:rtl w:val="true"/>
        </w:rPr>
        <w:t xml:space="preserve">. </w:t>
      </w:r>
      <w:r>
        <w:rPr>
          <w:rtl w:val="true"/>
        </w:rPr>
        <w:t>בית המשפט הוסיף ועמד על הצורך בהעברת מסר חד וברור כלפי מבצעי עבירות בנשק</w:t>
      </w:r>
      <w:r>
        <w:rPr>
          <w:rtl w:val="true"/>
        </w:rPr>
        <w:t xml:space="preserve">, </w:t>
      </w:r>
      <w:r>
        <w:rPr>
          <w:rtl w:val="true"/>
        </w:rPr>
        <w:t>באמצעות ענישה מחמירה ומרתיעה</w:t>
      </w:r>
      <w:r>
        <w:rPr>
          <w:rtl w:val="true"/>
        </w:rPr>
        <w:t xml:space="preserve">. </w:t>
      </w:r>
      <w:r>
        <w:rPr>
          <w:rtl w:val="true"/>
        </w:rPr>
        <w:t>לאחר שסקר את מדיניות הענישה הנוהגת בעבירה של עסקה בנשק</w:t>
      </w:r>
      <w:r>
        <w:rPr>
          <w:rtl w:val="true"/>
        </w:rPr>
        <w:t xml:space="preserve">, </w:t>
      </w:r>
      <w:r>
        <w:rPr>
          <w:rtl w:val="true"/>
        </w:rPr>
        <w:t>נתן בית המשפט משקל לעונשים שהושתו על יתר המעורבים בפרשה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דחה בית המשפט את ההשוואה שביקש בא כוח המערער לעשות מעונשו של סואעד</w:t>
      </w:r>
      <w:r>
        <w:rPr>
          <w:rtl w:val="true"/>
        </w:rPr>
        <w:t xml:space="preserve">, </w:t>
      </w:r>
      <w:r>
        <w:rPr>
          <w:rtl w:val="true"/>
        </w:rPr>
        <w:t>שנדון 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בקבעו כי עניינו של סואעד שונה</w:t>
      </w:r>
      <w:r>
        <w:rPr>
          <w:rtl w:val="true"/>
        </w:rPr>
        <w:t xml:space="preserve">, </w:t>
      </w:r>
      <w:r>
        <w:rPr>
          <w:rtl w:val="true"/>
        </w:rPr>
        <w:t xml:space="preserve">עת הורשע בעבירה בנשק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אשר העונש המירבי הקבוע בצידה עומד 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; </w:t>
      </w:r>
      <w:r>
        <w:rPr>
          <w:rtl w:val="true"/>
        </w:rPr>
        <w:t xml:space="preserve">בעוד שהמערער הורשע בעבירה בנשק 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אשר העונש המירבי הקבוע בצידה עומד על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 xml:space="preserve">כי בעניינו של אלדראגמה </w:t>
      </w:r>
      <w:r>
        <w:rPr>
          <w:rtl w:val="true"/>
        </w:rPr>
        <w:t>–</w:t>
      </w:r>
      <w:r>
        <w:rPr>
          <w:rtl w:val="true"/>
        </w:rPr>
        <w:t xml:space="preserve"> שהורשע גם כן בעבירה קלה יותר</w:t>
      </w:r>
      <w:r>
        <w:rPr>
          <w:rtl w:val="true"/>
        </w:rPr>
        <w:t xml:space="preserve">, </w:t>
      </w:r>
      <w:r>
        <w:rPr>
          <w:rtl w:val="true"/>
        </w:rPr>
        <w:t>של החזקה</w:t>
      </w:r>
      <w:r>
        <w:rPr>
          <w:rtl w:val="true"/>
        </w:rPr>
        <w:t xml:space="preserve">, </w:t>
      </w:r>
      <w:r>
        <w:rPr>
          <w:rtl w:val="true"/>
        </w:rPr>
        <w:t>נשיאה והובלה של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אשר העונש המירבי הקבוע בצידה עומד על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–</w:t>
      </w:r>
      <w:r>
        <w:rPr>
          <w:rtl w:val="true"/>
        </w:rPr>
        <w:t xml:space="preserve"> נקבע מתחם עונש הולם של </w:t>
      </w:r>
      <w:r>
        <w:rPr/>
        <w:t>48-18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העמיד בית המשפט את מתחם העונש ההולם בעניינו של המערער על </w:t>
      </w:r>
      <w:r>
        <w:rPr/>
        <w:t>52-18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לקביעת העונש בתוך מתחם העונש ההולם</w:t>
      </w:r>
      <w:r>
        <w:rPr>
          <w:rtl w:val="true"/>
        </w:rPr>
        <w:t xml:space="preserve">, </w:t>
      </w:r>
      <w:r>
        <w:rPr>
          <w:rtl w:val="true"/>
        </w:rPr>
        <w:t>התחשב בית המשפט בנסיבות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נמנו נסיבות לקולא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tl w:val="true"/>
        </w:rPr>
        <w:t xml:space="preserve">: </w:t>
      </w:r>
      <w:r>
        <w:rPr>
          <w:rtl w:val="true"/>
        </w:rPr>
        <w:t>הודאת המערער שחסכה זמן שיפוטי</w:t>
      </w:r>
      <w:r>
        <w:rPr>
          <w:rtl w:val="true"/>
        </w:rPr>
        <w:t xml:space="preserve">; </w:t>
      </w:r>
      <w:r>
        <w:rPr>
          <w:rtl w:val="true"/>
        </w:rPr>
        <w:t>התקופה הארוכה בה שהה המערער במעצר</w:t>
      </w:r>
      <w:r>
        <w:rPr>
          <w:rtl w:val="true"/>
        </w:rPr>
        <w:t xml:space="preserve">, </w:t>
      </w:r>
      <w:r>
        <w:rPr>
          <w:rtl w:val="true"/>
        </w:rPr>
        <w:t>שתנאיו קשים ממאסר</w:t>
      </w:r>
      <w:r>
        <w:rPr>
          <w:rtl w:val="true"/>
        </w:rPr>
        <w:t xml:space="preserve">; </w:t>
      </w:r>
      <w:r>
        <w:rPr>
          <w:rtl w:val="true"/>
        </w:rPr>
        <w:t>תקופת החירום השוררת במדינה נוכח התפשטות נגיף הקורונה וההגבלות שהדבר יוצר בתנאי המאסר</w:t>
      </w:r>
      <w:r>
        <w:rPr>
          <w:rtl w:val="true"/>
        </w:rPr>
        <w:t xml:space="preserve">; </w:t>
      </w:r>
      <w:r>
        <w:rPr>
          <w:rtl w:val="true"/>
        </w:rPr>
        <w:t>הפגיעה הנטענת במערער ובמשפחתו</w:t>
      </w:r>
      <w:r>
        <w:rPr>
          <w:rtl w:val="true"/>
        </w:rPr>
        <w:t xml:space="preserve">, </w:t>
      </w:r>
      <w:r>
        <w:rPr>
          <w:rtl w:val="true"/>
        </w:rPr>
        <w:t>ובפרט מצבה הרפואי של אמו</w:t>
      </w:r>
      <w:r>
        <w:rPr>
          <w:rtl w:val="true"/>
        </w:rPr>
        <w:t xml:space="preserve">, </w:t>
      </w:r>
      <w:r>
        <w:rPr>
          <w:rtl w:val="true"/>
        </w:rPr>
        <w:t>אשר המערער נושא בעול טיפולה</w:t>
      </w:r>
      <w:r>
        <w:rPr>
          <w:rtl w:val="true"/>
        </w:rPr>
        <w:t xml:space="preserve">. </w:t>
      </w:r>
      <w:r>
        <w:rPr>
          <w:rtl w:val="true"/>
        </w:rPr>
        <w:t>מאידך גיסא</w:t>
      </w:r>
      <w:r>
        <w:rPr>
          <w:rtl w:val="true"/>
        </w:rPr>
        <w:t xml:space="preserve">, </w:t>
      </w:r>
      <w:r>
        <w:rPr>
          <w:rtl w:val="true"/>
        </w:rPr>
        <w:t>שקל בית המשפט את עברו הפלילי של המערער</w:t>
      </w:r>
      <w:r>
        <w:rPr>
          <w:rtl w:val="true"/>
        </w:rPr>
        <w:t xml:space="preserve">, </w:t>
      </w:r>
      <w:r>
        <w:rPr>
          <w:rtl w:val="true"/>
        </w:rPr>
        <w:t>ובכלל זה עבירה בנשק בגינה נדון 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החליט בית המשפט לגזור על המערער מאסר בפועל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שמניינו יחל מיום מעצרו</w:t>
      </w:r>
      <w:r>
        <w:rPr>
          <w:rtl w:val="true"/>
        </w:rPr>
        <w:t xml:space="preserve">, </w:t>
      </w:r>
      <w:r>
        <w:rPr>
          <w:rtl w:val="true"/>
        </w:rPr>
        <w:t>לצד מאסרים על תנאי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 משפט קמא שגה כשגזר את דינו בהסתמך על פסיקה הנוגעת למדיניות הענישה הנוהגת בעבירת סחר בנשק</w:t>
      </w:r>
      <w:r>
        <w:rPr>
          <w:rtl w:val="true"/>
        </w:rPr>
        <w:t xml:space="preserve">, </w:t>
      </w:r>
      <w:r>
        <w:rPr>
          <w:rtl w:val="true"/>
        </w:rPr>
        <w:t>שכן זו חמורה יותר מעבירת התיווך בעסקת נשק</w:t>
      </w:r>
      <w:r>
        <w:rPr>
          <w:rtl w:val="true"/>
        </w:rPr>
        <w:t xml:space="preserve">, </w:t>
      </w:r>
      <w:r>
        <w:rPr>
          <w:rtl w:val="true"/>
        </w:rPr>
        <w:t>בה הורשע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בית משפט קמא שגה כאשר קבע שהמערער היה החוליה המרכזית בשרשרת</w:t>
      </w:r>
      <w:r>
        <w:rPr>
          <w:rtl w:val="true"/>
        </w:rPr>
        <w:t xml:space="preserve">, </w:t>
      </w:r>
      <w:r>
        <w:rPr>
          <w:rtl w:val="true"/>
        </w:rPr>
        <w:t>שכן סואעד הוא זה שיזם את העסקה וביקש לקנות את הנשק</w:t>
      </w:r>
      <w:r>
        <w:rPr>
          <w:rtl w:val="true"/>
        </w:rPr>
        <w:t xml:space="preserve">; </w:t>
      </w:r>
      <w:r>
        <w:rPr>
          <w:rtl w:val="true"/>
        </w:rPr>
        <w:t>ואלדראגמה</w:t>
      </w:r>
      <w:r>
        <w:rPr>
          <w:rtl w:val="true"/>
        </w:rPr>
        <w:t xml:space="preserve">, </w:t>
      </w:r>
      <w:r>
        <w:rPr>
          <w:rtl w:val="true"/>
        </w:rPr>
        <w:t>המעורב הנוסף</w:t>
      </w:r>
      <w:r>
        <w:rPr>
          <w:rtl w:val="true"/>
        </w:rPr>
        <w:t xml:space="preserve">, </w:t>
      </w:r>
      <w:r>
        <w:rPr>
          <w:rtl w:val="true"/>
        </w:rPr>
        <w:t>התבקש להעביר את הנשק על ידי הסוחר ולא על ידי המערער</w:t>
      </w:r>
      <w:r>
        <w:rPr>
          <w:rtl w:val="true"/>
        </w:rPr>
        <w:t xml:space="preserve">, </w:t>
      </w:r>
      <w:r>
        <w:rPr>
          <w:rtl w:val="true"/>
        </w:rPr>
        <w:t>בניגוד לקביעת בית משפט קמא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 טוען כי הן בפסיקה עליה הסתמך בית משפט קמא</w:t>
      </w:r>
      <w:r>
        <w:rPr>
          <w:rtl w:val="true"/>
        </w:rPr>
        <w:t xml:space="preserve">, </w:t>
      </w:r>
      <w:r>
        <w:rPr>
          <w:rtl w:val="true"/>
        </w:rPr>
        <w:t>הן בהשוואה לגזר דינם של יתר המעורבים בפרשה</w:t>
      </w:r>
      <w:r>
        <w:rPr>
          <w:rtl w:val="true"/>
        </w:rPr>
        <w:t xml:space="preserve">, </w:t>
      </w:r>
      <w:r>
        <w:rPr>
          <w:rtl w:val="true"/>
        </w:rPr>
        <w:t>מדובר היה בעבירה מושלמת</w:t>
      </w:r>
      <w:r>
        <w:rPr>
          <w:rtl w:val="true"/>
        </w:rPr>
        <w:t xml:space="preserve">, </w:t>
      </w:r>
      <w:r>
        <w:rPr>
          <w:rtl w:val="true"/>
        </w:rPr>
        <w:t>ואילו בעניינו של המערער מדובר על עבירת נסיון</w:t>
      </w:r>
      <w:r>
        <w:rPr>
          <w:rtl w:val="true"/>
        </w:rPr>
        <w:t xml:space="preserve">, </w:t>
      </w:r>
      <w:r>
        <w:rPr>
          <w:rtl w:val="true"/>
        </w:rPr>
        <w:t>שבה יש להקל בעונש לאור 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לעמדת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מתחם העונש ההולם בנסיבות אלו הינו </w:t>
      </w:r>
      <w:r>
        <w:rPr/>
        <w:t>18-6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דרמטי</w:t>
      </w:r>
      <w:r>
        <w:rPr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באת כוח המשיבה ביקשה לדחות את הערעור בטענה כי העונש שהושת על המערער הוא </w:t>
      </w:r>
      <w:r>
        <w:rPr>
          <w:rtl w:val="true"/>
        </w:rPr>
        <w:t>ראוי והולם</w:t>
      </w:r>
      <w:r>
        <w:rPr>
          <w:rtl w:val="true"/>
        </w:rPr>
        <w:t xml:space="preserve">; </w:t>
      </w:r>
      <w:r>
        <w:rPr>
          <w:rtl w:val="true"/>
        </w:rPr>
        <w:t>וכי אין מקום להקל בעונש מחמת העובדה שמדובר בעבירת נסיון</w:t>
      </w:r>
      <w:r>
        <w:rPr>
          <w:rtl w:val="true"/>
        </w:rPr>
        <w:t xml:space="preserve">, </w:t>
      </w:r>
      <w:r>
        <w:rPr>
          <w:rtl w:val="true"/>
        </w:rPr>
        <w:t>שכן אלמלא התערבות המשטרה זו הייתה מושלמת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המשיבה סומכת ידיה על האבחנה שביצע בית משפט קמא בין המערער לבין יתר המעורבים בפרשה</w:t>
      </w:r>
      <w:r>
        <w:rPr>
          <w:rtl w:val="true"/>
        </w:rPr>
        <w:t xml:space="preserve">, </w:t>
      </w:r>
      <w:r>
        <w:rPr>
          <w:rtl w:val="true"/>
        </w:rPr>
        <w:t>לעניין השוני בחומרת העבירות והעונשים שבצידן</w:t>
      </w:r>
      <w:r>
        <w:rPr>
          <w:rtl w:val="true"/>
        </w:rPr>
        <w:t xml:space="preserve">, </w:t>
      </w:r>
      <w:r>
        <w:rPr>
          <w:rtl w:val="true"/>
        </w:rPr>
        <w:t xml:space="preserve">ומדגישה כי המערער היה </w:t>
      </w:r>
      <w:r>
        <w:rPr>
          <w:rtl w:val="true"/>
        </w:rPr>
        <w:t>"</w:t>
      </w:r>
      <w:r>
        <w:rPr>
          <w:rtl w:val="true"/>
        </w:rPr>
        <w:t>הרוח החיה</w:t>
      </w:r>
      <w:r>
        <w:rPr>
          <w:rtl w:val="true"/>
        </w:rPr>
        <w:t xml:space="preserve">" </w:t>
      </w:r>
      <w:r>
        <w:rPr>
          <w:rtl w:val="true"/>
        </w:rPr>
        <w:t>בעסקה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נטען כי </w:t>
      </w:r>
      <w:r>
        <w:rPr>
          <w:rtl w:val="true"/>
        </w:rPr>
        <w:t xml:space="preserve">בית משפט </w:t>
      </w:r>
      <w:r>
        <w:rPr>
          <w:rtl w:val="true"/>
        </w:rPr>
        <w:t xml:space="preserve">זה </w:t>
      </w:r>
      <w:r>
        <w:rPr>
          <w:rtl w:val="true"/>
        </w:rPr>
        <w:t xml:space="preserve">עמד בשורה ארוכה </w:t>
      </w:r>
      <w:r>
        <w:rPr>
          <w:rtl w:val="true"/>
        </w:rPr>
        <w:t xml:space="preserve">של פסקי דין </w:t>
      </w:r>
      <w:r>
        <w:rPr>
          <w:rtl w:val="true"/>
        </w:rPr>
        <w:t>על החומרה ש</w:t>
      </w:r>
      <w:r>
        <w:rPr>
          <w:rtl w:val="true"/>
        </w:rPr>
        <w:t xml:space="preserve">ל </w:t>
      </w:r>
      <w:r>
        <w:rPr>
          <w:rtl w:val="true"/>
        </w:rPr>
        <w:t xml:space="preserve">עבירות </w:t>
      </w:r>
      <w:r>
        <w:rPr>
          <w:rtl w:val="true"/>
        </w:rPr>
        <w:t>ב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ועל הצורך בהחמרת הענישה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דיון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  <w:b/>
          <w:sz w:val="22"/>
        </w:rPr>
      </w:pPr>
      <w:r>
        <w:rPr>
          <w:rFonts w:cs="Century" w:ascii="Century" w:hAnsi="Century"/>
          <w:b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לאחר שעיינו בנימוקי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בגזר הדין של 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ששמענו את טענות הצדדים בדיון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הגענו לכלל מסקנה כי יש לדחות את ערעור המערער על חומרת העונש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הלכה ידועה היא</w:t>
      </w:r>
      <w:r>
        <w:rPr>
          <w:rtl w:val="true"/>
        </w:rPr>
        <w:t xml:space="preserve">, </w:t>
      </w:r>
      <w:r>
        <w:rPr>
          <w:rtl w:val="true"/>
        </w:rPr>
        <w:t>כי לא בנקל תתערב ערכאת הערעור בעונש שהושת על ידי הערכאה הדיונית</w:t>
      </w:r>
      <w:r>
        <w:rPr>
          <w:rtl w:val="true"/>
        </w:rPr>
        <w:t xml:space="preserve">. </w:t>
      </w:r>
      <w:r>
        <w:rPr>
          <w:rtl w:val="true"/>
        </w:rPr>
        <w:t>לשם כך</w:t>
      </w:r>
      <w:r>
        <w:rPr>
          <w:rtl w:val="true"/>
        </w:rPr>
        <w:t xml:space="preserve">, </w:t>
      </w:r>
      <w:r>
        <w:rPr>
          <w:rtl w:val="true"/>
        </w:rPr>
        <w:t xml:space="preserve">יש להצביע על </w:t>
      </w:r>
      <w:r>
        <w:rPr>
          <w:rtl w:val="true"/>
        </w:rPr>
        <w:t>נסיבות חריגות שבהן נפלה טעות מהותית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 קיצונית ממדיניות הענישה </w:t>
      </w:r>
      <w:r>
        <w:rPr>
          <w:rtl w:val="true"/>
        </w:rPr>
        <w:t xml:space="preserve">הנוהגת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6893/17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גולד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7.</w:t>
      </w:r>
      <w:r>
        <w:rPr/>
        <w:t>8</w:t>
      </w:r>
      <w:r>
        <w:rPr/>
        <w:t>.2018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). </w:t>
      </w:r>
      <w:r>
        <w:rPr>
          <w:rtl w:val="true"/>
        </w:rPr>
        <w:t>לא מצאנו כי מקרה זה בא בגדרי אותם מקרים חריגים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זה הדגיש</w:t>
      </w:r>
      <w:r>
        <w:rPr>
          <w:rtl w:val="true"/>
        </w:rPr>
        <w:t xml:space="preserve">, </w:t>
      </w:r>
      <w:r>
        <w:rPr>
          <w:rtl w:val="true"/>
        </w:rPr>
        <w:t>חזור ואמור</w:t>
      </w:r>
      <w:r>
        <w:rPr>
          <w:rtl w:val="true"/>
        </w:rPr>
        <w:t xml:space="preserve">, </w:t>
      </w:r>
      <w:r>
        <w:rPr>
          <w:rtl w:val="true"/>
        </w:rPr>
        <w:t>את חומרתן הרבה של העבירות בנשק</w:t>
      </w:r>
      <w:r>
        <w:rPr>
          <w:rtl w:val="true"/>
        </w:rPr>
        <w:t xml:space="preserve">, </w:t>
      </w:r>
      <w:r>
        <w:rPr>
          <w:rtl w:val="true"/>
        </w:rPr>
        <w:t>את הצורך במיגורן</w:t>
      </w:r>
      <w:r>
        <w:rPr>
          <w:rtl w:val="true"/>
        </w:rPr>
        <w:t xml:space="preserve">, </w:t>
      </w:r>
      <w:r>
        <w:rPr>
          <w:rtl w:val="true"/>
        </w:rPr>
        <w:t xml:space="preserve">ואת ההרתעה הנדרשת בענישה של מי שמבקשים להציב סכנה ממשית לשלום הציבור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4154/16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דהוד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19.1.2017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Miriam" w:hAnsi="Miriam" w:cs="Miriam"/>
          <w:szCs w:val="24"/>
          <w:rtl w:val="true"/>
        </w:rPr>
        <w:t>דהוד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בראנסי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16.8.2018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Miriam" w:hAnsi="Miriam"/>
          <w:szCs w:val="24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 xml:space="preserve">עניין </w:t>
      </w:r>
      <w:r>
        <w:rPr>
          <w:rFonts w:ascii="Miriam" w:hAnsi="Miriam" w:cs="Miriam"/>
          <w:szCs w:val="24"/>
          <w:rtl w:val="true"/>
        </w:rPr>
        <w:t>בראנסי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מדינת ישראל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Miriam" w:hAnsi="Miriam" w:cs="Miriam"/>
          <w:szCs w:val="24"/>
          <w:rtl w:val="true"/>
        </w:rPr>
        <w:t>י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אלרון</w:t>
      </w:r>
      <w:r>
        <w:rPr>
          <w:rtl w:val="true"/>
        </w:rPr>
        <w:t xml:space="preserve">; </w:t>
      </w:r>
      <w:r>
        <w:rPr>
          <w:rtl w:val="true"/>
        </w:rPr>
        <w:t xml:space="preserve">פסק דינו של השופט </w:t>
      </w:r>
      <w:r>
        <w:rPr>
          <w:rFonts w:ascii="Miriam" w:hAnsi="Miriam" w:cs="Miriam"/>
          <w:szCs w:val="24"/>
          <w:rtl w:val="true"/>
        </w:rPr>
        <w:t>מ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מזוז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געביס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11.7.2019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Miriam" w:hAnsi="Miriam" w:cs="Miriam"/>
          <w:szCs w:val="24"/>
          <w:rtl w:val="true"/>
        </w:rPr>
        <w:t>געביס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315/20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אבו טאה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(</w:t>
      </w:r>
      <w:r>
        <w:rPr/>
        <w:t>7.6.2020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).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ניכרת בשנים האחרונות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מגמת החמרה ב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ענישה ב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עבירות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נשק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בדמות </w:t>
      </w:r>
      <w:r>
        <w:rPr>
          <w:rtl w:val="true"/>
        </w:rPr>
        <w:t xml:space="preserve">מאסר ממושך לריצוי בפועל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Miriam" w:hAnsi="Miriam" w:cs="Miriam"/>
          <w:szCs w:val="24"/>
          <w:rtl w:val="true"/>
        </w:rPr>
        <w:t>דהוד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Miriam" w:hAnsi="Miriam" w:cs="Miriam"/>
          <w:szCs w:val="24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Miriam" w:hAnsi="Miriam" w:cs="Miriam"/>
          <w:szCs w:val="24"/>
          <w:rtl w:val="true"/>
        </w:rPr>
        <w:t>געביס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אין לקבל את טענת המערער כי יש להקל בעונשו מפני שתיווך בעסקת נשק ולא סחר בנשק</w:t>
      </w:r>
      <w:r>
        <w:rPr>
          <w:rtl w:val="true"/>
        </w:rPr>
        <w:t xml:space="preserve">. </w:t>
      </w:r>
      <w:r>
        <w:rPr>
          <w:rtl w:val="true"/>
        </w:rPr>
        <w:t>ענישה מחמירה נדרשת לכל חוליה בשרשרת של עבירת הסחר בנשק</w:t>
      </w:r>
      <w:r>
        <w:rPr>
          <w:rtl w:val="true"/>
        </w:rPr>
        <w:t xml:space="preserve">, </w:t>
      </w:r>
      <w:r>
        <w:rPr>
          <w:rtl w:val="true"/>
        </w:rPr>
        <w:t xml:space="preserve">ובכלל זה גם מי שתיווך בעסקה ותרם תרומה מרכזית לביצועה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Miriam" w:hAnsi="Miriam" w:cs="Miriam"/>
          <w:szCs w:val="24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). </w:t>
      </w:r>
      <w:r>
        <w:rPr>
          <w:rtl w:val="true"/>
        </w:rPr>
        <w:t>כאן המקום להזכיר את הוראת החיקוק המגדירה את העבירה שביצע המערער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המייצר</w:t>
      </w:r>
      <w:r>
        <w:rPr>
          <w:rtl w:val="true"/>
        </w:rPr>
        <w:t xml:space="preserve">, </w:t>
      </w:r>
      <w:r>
        <w:rPr>
          <w:rtl w:val="true"/>
        </w:rPr>
        <w:t>מייבא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בתמורה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  <w:r>
        <w:rPr>
          <w:rtl w:val="true"/>
        </w:rPr>
        <w:t>" (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 xml:space="preserve">המערער ביקש לדחות את טענת המשיבה לפיה היה </w:t>
      </w:r>
      <w:r>
        <w:rPr>
          <w:rtl w:val="true"/>
        </w:rPr>
        <w:t>"</w:t>
      </w:r>
      <w:r>
        <w:rPr>
          <w:rtl w:val="true"/>
        </w:rPr>
        <w:t>הרוח החיה</w:t>
      </w:r>
      <w:r>
        <w:rPr>
          <w:rtl w:val="true"/>
        </w:rPr>
        <w:t xml:space="preserve">" </w:t>
      </w:r>
      <w:r>
        <w:rPr>
          <w:rtl w:val="true"/>
        </w:rPr>
        <w:t>בעסקה</w:t>
      </w:r>
      <w:r>
        <w:rPr>
          <w:rtl w:val="true"/>
        </w:rPr>
        <w:t xml:space="preserve">. </w:t>
      </w:r>
      <w:r>
        <w:rPr>
          <w:rtl w:val="true"/>
        </w:rPr>
        <w:t>אולם בין כה וכה</w:t>
      </w:r>
      <w:r>
        <w:rPr>
          <w:rtl w:val="true"/>
        </w:rPr>
        <w:t xml:space="preserve">, </w:t>
      </w:r>
      <w:r>
        <w:rPr>
          <w:rtl w:val="true"/>
        </w:rPr>
        <w:t>דומה כי אין חולק על כך שהמערער היה גורם מרכזי ודומיננטי בהוצאת העסקה אל הפועל</w:t>
      </w:r>
      <w:r>
        <w:rPr>
          <w:rtl w:val="true"/>
        </w:rPr>
        <w:t xml:space="preserve">. </w:t>
      </w:r>
      <w:r>
        <w:rPr>
          <w:rtl w:val="true"/>
        </w:rPr>
        <w:t>המערער יצר את הקשר בין הסוחר לבין סואעד</w:t>
      </w:r>
      <w:r>
        <w:rPr>
          <w:rtl w:val="true"/>
        </w:rPr>
        <w:t xml:space="preserve">; </w:t>
      </w:r>
      <w:r>
        <w:rPr>
          <w:rtl w:val="true"/>
        </w:rPr>
        <w:t>הוא תיאם והגיע עם סואעד למפגש עם הסוחר</w:t>
      </w:r>
      <w:r>
        <w:rPr>
          <w:rtl w:val="true"/>
        </w:rPr>
        <w:t xml:space="preserve">, </w:t>
      </w:r>
      <w:r>
        <w:rPr>
          <w:rtl w:val="true"/>
        </w:rPr>
        <w:t>במהלכו נבחן הנשק והוסכם על מכירתו</w:t>
      </w:r>
      <w:r>
        <w:rPr>
          <w:rtl w:val="true"/>
        </w:rPr>
        <w:t xml:space="preserve">, </w:t>
      </w:r>
      <w:r>
        <w:rPr>
          <w:rtl w:val="true"/>
        </w:rPr>
        <w:t>כמו גם על מחירו</w:t>
      </w:r>
      <w:r>
        <w:rPr>
          <w:rtl w:val="true"/>
        </w:rPr>
        <w:t xml:space="preserve">; </w:t>
      </w:r>
      <w:r>
        <w:rPr>
          <w:rtl w:val="true"/>
        </w:rPr>
        <w:t>הוא גם תיאם עם אבו סראיא לאסוף את הנשק מאלדראגמה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ברי כי המערער היה </w:t>
      </w:r>
      <w:r>
        <w:rPr>
          <w:rFonts w:ascii="Miriam" w:hAnsi="Miriam" w:cs="Miriam"/>
          <w:szCs w:val="24"/>
          <w:rtl w:val="true"/>
        </w:rPr>
        <w:t>חוליה בלעדי</w:t>
      </w:r>
      <w:r>
        <w:rPr>
          <w:rFonts w:ascii="Miriam" w:hAnsi="Miriam" w:cs="Miriam"/>
          <w:szCs w:val="24"/>
          <w:rtl w:val="true"/>
        </w:rPr>
        <w:t>ה</w:t>
      </w:r>
      <w:r>
        <w:rPr>
          <w:rFonts w:ascii="Miriam" w:hAnsi="Miriam" w:cs="Miriam"/>
          <w:szCs w:val="24"/>
          <w:rtl w:val="true"/>
        </w:rPr>
        <w:t xml:space="preserve"> אין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tl w:val="true"/>
        </w:rPr>
        <w:t>לצורך ביצוע עסקת הנשק</w:t>
      </w:r>
      <w:r>
        <w:rPr>
          <w:rtl w:val="true"/>
        </w:rPr>
        <w:t xml:space="preserve">, </w:t>
      </w:r>
      <w:r>
        <w:rPr>
          <w:rtl w:val="true"/>
        </w:rPr>
        <w:t>כך שאין בעובדה ששימש כ</w:t>
      </w:r>
      <w:r>
        <w:rPr>
          <w:rtl w:val="true"/>
        </w:rPr>
        <w:t>"</w:t>
      </w:r>
      <w:r>
        <w:rPr>
          <w:rtl w:val="true"/>
        </w:rPr>
        <w:t>מתווך</w:t>
      </w:r>
      <w:r>
        <w:rPr>
          <w:rtl w:val="true"/>
        </w:rPr>
        <w:t xml:space="preserve">", </w:t>
      </w:r>
      <w:r>
        <w:rPr>
          <w:rtl w:val="true"/>
        </w:rPr>
        <w:t>כשהיא לעצמה</w:t>
      </w:r>
      <w:r>
        <w:rPr>
          <w:rtl w:val="true"/>
        </w:rPr>
        <w:t xml:space="preserve">, </w:t>
      </w:r>
      <w:r>
        <w:rPr>
          <w:rtl w:val="true"/>
        </w:rPr>
        <w:t xml:space="preserve">כדי להמעיט מחלקו ולהוות שיקול להקלה בעונשו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Miriam" w:hAnsi="Miriam" w:cs="Miriam"/>
          <w:szCs w:val="24"/>
          <w:rtl w:val="true"/>
        </w:rPr>
        <w:t>בראנסי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.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Miriam" w:hAnsi="Miriam" w:cs="Miriam"/>
          <w:szCs w:val="24"/>
          <w:rtl w:val="true"/>
        </w:rPr>
        <w:t>דהוד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Miriam" w:hAnsi="Miriam" w:cs="Miriam"/>
          <w:szCs w:val="24"/>
          <w:rtl w:val="true"/>
        </w:rPr>
        <w:t>געביס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Miriam" w:hAnsi="Miriam" w:cs="Miriam"/>
          <w:szCs w:val="24"/>
        </w:rPr>
      </w:pPr>
      <w:r>
        <w:rPr>
          <w:rtl w:val="true"/>
        </w:rPr>
        <w:t>המערער ביקש להדגיש את העובדה שהורשע אך ב</w:t>
      </w:r>
      <w:r>
        <w:rPr>
          <w:rFonts w:ascii="Miriam" w:hAnsi="Miriam" w:cs="Miriam"/>
          <w:szCs w:val="24"/>
          <w:rtl w:val="true"/>
        </w:rPr>
        <w:t xml:space="preserve">נסיון </w:t>
      </w:r>
      <w:r>
        <w:rPr>
          <w:rFonts w:ascii="FrankRuehl" w:hAnsi="FrankRuehl" w:cs="FrankRuehl"/>
          <w:sz w:val="28"/>
          <w:sz w:val="28"/>
          <w:rtl w:val="true"/>
        </w:rPr>
        <w:t xml:space="preserve">לתיווך </w:t>
      </w:r>
      <w:r>
        <w:rPr>
          <w:rtl w:val="true"/>
        </w:rPr>
        <w:t>בעסקת נשק ולא בעבירה מושלמת</w:t>
      </w:r>
      <w:r>
        <w:rPr>
          <w:rtl w:val="true"/>
        </w:rPr>
        <w:t xml:space="preserve">, </w:t>
      </w:r>
      <w:r>
        <w:rPr>
          <w:rtl w:val="true"/>
        </w:rPr>
        <w:t>ולכן עונשו צריך להיות קל יותר</w:t>
      </w:r>
      <w:r>
        <w:rPr>
          <w:rtl w:val="true"/>
        </w:rPr>
        <w:t xml:space="preserve">. </w:t>
      </w:r>
      <w:r>
        <w:rPr>
          <w:rtl w:val="true"/>
        </w:rPr>
        <w:t>על כך יש להשיב בשתי הערות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הכלל הוא כי אלא אם נקבע בחוק אחרת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המושלמת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נסיון</w:t>
      </w:r>
      <w:r>
        <w:rPr>
          <w:rtl w:val="true"/>
        </w:rPr>
        <w:t>..." (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).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אומנם </w:t>
      </w:r>
      <w:r>
        <w:rPr>
          <w:rFonts w:ascii="Miriam" w:hAnsi="Miriam" w:cs="Miriam"/>
          <w:szCs w:val="24"/>
          <w:rtl w:val="true"/>
        </w:rPr>
        <w:t>עסקת המכר</w:t>
      </w:r>
      <w:r>
        <w:rPr>
          <w:rtl w:val="true"/>
        </w:rPr>
        <w:t xml:space="preserve"> לא הושלמה בעין</w:t>
      </w:r>
      <w:r>
        <w:rPr>
          <w:rtl w:val="true"/>
        </w:rPr>
        <w:t xml:space="preserve">, </w:t>
      </w:r>
      <w:r>
        <w:rPr>
          <w:rtl w:val="true"/>
        </w:rPr>
        <w:t>במובן זה שהנשק לא הגיע לידיו של הרוכש</w:t>
      </w:r>
      <w:r>
        <w:rPr>
          <w:rtl w:val="true"/>
        </w:rPr>
        <w:t xml:space="preserve">, </w:t>
      </w:r>
      <w:r>
        <w:rPr>
          <w:rtl w:val="true"/>
        </w:rPr>
        <w:t>אך זאת הודות להתערבות המשטרה ולא משום סיבה אחרת הנוגעת למערער</w:t>
      </w:r>
      <w:r>
        <w:rPr>
          <w:rtl w:val="true"/>
        </w:rPr>
        <w:t xml:space="preserve">, </w:t>
      </w:r>
      <w:r>
        <w:rPr>
          <w:rtl w:val="true"/>
        </w:rPr>
        <w:t>שכן את חלקו</w:t>
      </w:r>
      <w:r>
        <w:rPr>
          <w:rtl w:val="true"/>
        </w:rPr>
        <w:t>-</w:t>
      </w:r>
      <w:r>
        <w:rPr>
          <w:rtl w:val="true"/>
        </w:rPr>
        <w:t xml:space="preserve">שלו ביצע </w:t>
      </w:r>
      <w:r>
        <w:rPr>
          <w:rtl w:val="true"/>
        </w:rPr>
        <w:t>–</w:t>
      </w:r>
      <w:r>
        <w:rPr>
          <w:rtl w:val="true"/>
        </w:rPr>
        <w:t xml:space="preserve"> כאשר הפגיש בין הסוחר לרוכש ואף סוכמו מחיר העסקה ודרך ביצועה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Miriam" w:hAnsi="Miriam" w:cs="Miriam"/>
          <w:szCs w:val="24"/>
        </w:rPr>
      </w:pPr>
      <w:r>
        <w:rPr>
          <w:rFonts w:cs="Miriam" w:ascii="Miriam" w:hAnsi="Miriam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לטענה כי גזר הדין אינו הולם את עקרון אחידות הענישה</w:t>
      </w:r>
      <w:r>
        <w:rPr>
          <w:rtl w:val="true"/>
        </w:rPr>
        <w:t xml:space="preserve">, </w:t>
      </w:r>
      <w:r>
        <w:rPr>
          <w:rtl w:val="true"/>
        </w:rPr>
        <w:t>מקובלת עלינו אבחנת בית משפט קמא</w:t>
      </w:r>
      <w:r>
        <w:rPr>
          <w:rtl w:val="true"/>
        </w:rPr>
        <w:t xml:space="preserve">, </w:t>
      </w:r>
      <w:r>
        <w:rPr>
          <w:rtl w:val="true"/>
        </w:rPr>
        <w:t>לפיה המערער הורשע בעבירה חמורה יותר מאשר סואעד ואלדראגמה</w:t>
      </w:r>
      <w:r>
        <w:rPr>
          <w:rtl w:val="true"/>
        </w:rPr>
        <w:t xml:space="preserve">. </w:t>
      </w:r>
      <w:r>
        <w:rPr>
          <w:rtl w:val="true"/>
        </w:rPr>
        <w:t>לכך יש להוסיף את שנאמר לעניין היות המערער גורם הכרחי לביצוע העסקה בנשק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 xml:space="preserve">עקרון אחידות הענישה איננו כלל </w:t>
      </w:r>
      <w:r>
        <w:rPr>
          <w:rtl w:val="true"/>
        </w:rPr>
        <w:t>"</w:t>
      </w:r>
      <w:r>
        <w:rPr>
          <w:rtl w:val="true"/>
        </w:rPr>
        <w:t>מתמטי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Miriam" w:hAnsi="Miriam" w:cs="Miriam"/>
          <w:szCs w:val="24"/>
          <w:rtl w:val="true"/>
        </w:rPr>
        <w:t>דהוד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); </w:t>
      </w:r>
      <w:r>
        <w:rPr>
          <w:rtl w:val="true"/>
        </w:rPr>
        <w:t>ובאופן כללי</w:t>
      </w:r>
      <w:r>
        <w:rPr>
          <w:rtl w:val="true"/>
        </w:rPr>
        <w:t>, "</w:t>
      </w:r>
      <w:r>
        <w:rPr>
          <w:rtl w:val="true"/>
        </w:rPr>
        <w:t>מלאכת קציבת העונש איננה בגדר יישום נוסחה אריתמטית מדויקת</w:t>
      </w:r>
      <w:r>
        <w:rPr>
          <w:rtl w:val="true"/>
        </w:rPr>
        <w:t xml:space="preserve">, </w:t>
      </w:r>
      <w:r>
        <w:rPr>
          <w:sz w:val="28"/>
          <w:sz w:val="28"/>
          <w:rtl w:val="true"/>
        </w:rPr>
        <w:t>אלא פרי איזונים בין מכלול רחב של נתונים ושיקולים הצריכים לעניין</w:t>
      </w:r>
      <w:r>
        <w:rPr>
          <w:rtl w:val="true"/>
        </w:rPr>
        <w:t>." 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1987/15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דורי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17.8.2015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Miriam" w:hAnsi="Miriam" w:cs="Miriam"/>
          <w:szCs w:val="24"/>
          <w:rtl w:val="true"/>
        </w:rPr>
        <w:t>דורי</w:t>
      </w:r>
      <w:r>
        <w:rPr>
          <w:rtl w:val="true"/>
        </w:rPr>
        <w:t xml:space="preserve">);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עספור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14.6.2015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). </w:t>
      </w:r>
      <w:r>
        <w:rPr>
          <w:rtl w:val="true"/>
        </w:rPr>
        <w:t>כבר נפסק</w:t>
      </w:r>
      <w:r>
        <w:rPr>
          <w:rtl w:val="true"/>
        </w:rPr>
        <w:t xml:space="preserve">, </w:t>
      </w:r>
      <w:r>
        <w:rPr>
          <w:rtl w:val="true"/>
        </w:rPr>
        <w:t>כי עקרון אחידות הענישה איננו חזות הכל</w:t>
      </w:r>
      <w:r>
        <w:rPr>
          <w:rtl w:val="true"/>
        </w:rPr>
        <w:t xml:space="preserve">, </w:t>
      </w:r>
      <w:r>
        <w:rPr>
          <w:rtl w:val="true"/>
        </w:rPr>
        <w:t xml:space="preserve">אלא רק שיקול אחד מבין מגוון שיקולי הענישה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Miriam" w:hAnsi="Miriam" w:cs="Miriam"/>
          <w:szCs w:val="24"/>
          <w:rtl w:val="true"/>
        </w:rPr>
        <w:t>דורי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390/17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סער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3.7.2017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). </w:t>
      </w:r>
      <w:r>
        <w:rPr>
          <w:rtl w:val="true"/>
        </w:rPr>
        <w:t>מלבד האינטרס הציבורי ושיקולי ההרתעה שהוזכרו לעיל</w:t>
      </w:r>
      <w:r>
        <w:rPr>
          <w:rtl w:val="true"/>
        </w:rPr>
        <w:t xml:space="preserve">, </w:t>
      </w:r>
      <w:r>
        <w:rPr>
          <w:rtl w:val="true"/>
        </w:rPr>
        <w:t xml:space="preserve">נראה כי בחינת עברו הפלילי של המערער ובפרט העובדה שכבר ריצה עונש מאסר בפועל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 בגין עבירה בנשק</w:t>
      </w:r>
      <w:r>
        <w:rPr>
          <w:rtl w:val="true"/>
        </w:rPr>
        <w:t xml:space="preserve">, </w:t>
      </w:r>
      <w:r>
        <w:rPr>
          <w:rtl w:val="true"/>
        </w:rPr>
        <w:t>מלמדת כי לא הפיק את הלקחים הנדרשים</w:t>
      </w:r>
      <w:r>
        <w:rPr>
          <w:rtl w:val="true"/>
        </w:rPr>
        <w:t xml:space="preserve">, </w:t>
      </w:r>
      <w:r>
        <w:rPr>
          <w:rtl w:val="true"/>
        </w:rPr>
        <w:t>כך שמעבר להרתעת הרבים נדרשת גם הרתעתו האישית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ascii="Arial TUR" w:hAnsi="Arial TUR" w:cs="Arial TUR"/>
          <w:sz w:val="22"/>
          <w:sz w:val="22"/>
          <w:rtl w:val="true"/>
        </w:rPr>
        <w:t>סוף דבר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במכלול הנסיבות שתוארו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לא מצאנו הצדקה להתערב בגזר הדין של בית משפט קמא ואנו דוחים את ערעור המערער</w:t>
      </w:r>
      <w:r>
        <w:rPr>
          <w:rFonts w:cs="Arial TUR" w:ascii="Arial TUR" w:hAnsi="Arial TUR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Arial TUR" w:hAnsi="Arial TUR" w:cs="Arial TUR"/>
          <w:sz w:val="22"/>
        </w:rPr>
      </w:pPr>
      <w:r>
        <w:rPr>
          <w:rFonts w:cs="Arial TUR"/>
          <w:sz w:val="22"/>
          <w:rtl w:val="true"/>
        </w:rPr>
      </w:r>
    </w:p>
    <w:p>
      <w:pPr>
        <w:pStyle w:val="Ruller41"/>
        <w:ind w:end="0"/>
        <w:jc w:val="both"/>
        <w:rPr/>
      </w:pPr>
      <w:bookmarkStart w:id="15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23.11.2020</w:t>
      </w:r>
      <w:r>
        <w:rPr>
          <w:rtl w:val="true"/>
        </w:rPr>
        <w:t xml:space="preserve">). </w:t>
      </w:r>
      <w:bookmarkEnd w:id="15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20037930</w:t>
      </w:r>
      <w:r>
        <w:rPr>
          <w:sz w:val="16"/>
          <w:rtl w:val="true"/>
        </w:rPr>
        <w:t>_</w:t>
      </w:r>
      <w:r>
        <w:rPr>
          <w:sz w:val="16"/>
        </w:rPr>
        <w:t>Q02.docx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54678313-3793/20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3793/20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השאם מורייחי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2"/>
        <w:szCs w:val="22"/>
        <w:rFonts w:ascii="FrankRuehl" w:hAnsi="FrankRuehl" w:cs="FrankRueh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  <w:color w:val="000000"/>
      <w:sz w:val="22"/>
      <w:szCs w:val="22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03468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34d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34d" TargetMode="External"/><Relationship Id="rId10" Type="http://schemas.openxmlformats.org/officeDocument/2006/relationships/hyperlink" Target="http://www.nevo.co.il/case/26034680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case/22961895" TargetMode="External"/><Relationship Id="rId18" Type="http://schemas.openxmlformats.org/officeDocument/2006/relationships/hyperlink" Target="http://www.nevo.co.il/case/21474520" TargetMode="External"/><Relationship Id="rId19" Type="http://schemas.openxmlformats.org/officeDocument/2006/relationships/hyperlink" Target="http://www.nevo.co.il/case/23750625" TargetMode="External"/><Relationship Id="rId20" Type="http://schemas.openxmlformats.org/officeDocument/2006/relationships/hyperlink" Target="http://www.nevo.co.il/case/25824863" TargetMode="External"/><Relationship Id="rId21" Type="http://schemas.openxmlformats.org/officeDocument/2006/relationships/hyperlink" Target="http://www.nevo.co.il/case/25430243" TargetMode="External"/><Relationship Id="rId22" Type="http://schemas.openxmlformats.org/officeDocument/2006/relationships/hyperlink" Target="http://www.nevo.co.il/case/26358476" TargetMode="External"/><Relationship Id="rId23" Type="http://schemas.openxmlformats.org/officeDocument/2006/relationships/hyperlink" Target="http://www.nevo.co.il/law/70301/34d" TargetMode="External"/><Relationship Id="rId24" Type="http://schemas.openxmlformats.org/officeDocument/2006/relationships/hyperlink" Target="http://www.nevo.co.il/case/20131420" TargetMode="External"/><Relationship Id="rId25" Type="http://schemas.openxmlformats.org/officeDocument/2006/relationships/hyperlink" Target="http://www.nevo.co.il/case/17948130" TargetMode="External"/><Relationship Id="rId26" Type="http://schemas.openxmlformats.org/officeDocument/2006/relationships/hyperlink" Target="http://www.nevo.co.il/case/22137915" TargetMode="External"/><Relationship Id="rId27" Type="http://schemas.openxmlformats.org/officeDocument/2006/relationships/hyperlink" Target="http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2020-11-24T11:08:00Z</dcterms:created>
  <dc:creator>h4</dc:creator>
  <dc:description/>
  <cp:keywords/>
  <dc:language>en-IL</dc:language>
  <cp:lastModifiedBy>hofit</cp:lastModifiedBy>
  <cp:lastPrinted>2020-11-23T14:06:00Z</cp:lastPrinted>
  <dcterms:modified xsi:type="dcterms:W3CDTF">2020-11-24T11:09:00Z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השאם מורייחי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ProcID=235&amp;PartA=52&amp;PartC=18</vt:lpwstr>
  </property>
  <property fmtid="{D5CDD505-2E9C-101B-9397-08002B2CF9AE}" pid="9" name="CASESLISTTMP1">
    <vt:lpwstr>26034680:2;22961895;21474520;23750625;25824863;25430243;26358476;20131420;17948130;22137915</vt:lpwstr>
  </property>
  <property fmtid="{D5CDD505-2E9C-101B-9397-08002B2CF9AE}" pid="10" name="CITY">
    <vt:lpwstr/>
  </property>
  <property fmtid="{D5CDD505-2E9C-101B-9397-08002B2CF9AE}" pid="11" name="DATE">
    <vt:lpwstr>20201123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סולברג;ג' קרא;א' שטיין</vt:lpwstr>
  </property>
  <property fmtid="{D5CDD505-2E9C-101B-9397-08002B2CF9AE}" pid="15" name="LAWLISTTMP1">
    <vt:lpwstr>70301/144.b2:2;025;144.a;144.b;034d</vt:lpwstr>
  </property>
  <property fmtid="{D5CDD505-2E9C-101B-9397-08002B2CF9AE}" pid="16" name="LAWYER">
    <vt:lpwstr>נגה בן סידי;ואפי נסראלדין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77;18;77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ערעור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1446;504;1446</vt:lpwstr>
  </property>
  <property fmtid="{D5CDD505-2E9C-101B-9397-08002B2CF9AE}" pid="49" name="NOSE31">
    <vt:lpwstr>מדיניות ענישה: עבירות נשק</vt:lpwstr>
  </property>
  <property fmtid="{D5CDD505-2E9C-101B-9397-08002B2CF9AE}" pid="50" name="NOSE310">
    <vt:lpwstr/>
  </property>
  <property fmtid="{D5CDD505-2E9C-101B-9397-08002B2CF9AE}" pid="51" name="NOSE32">
    <vt:lpwstr>אי-התערבות במידת העונש</vt:lpwstr>
  </property>
  <property fmtid="{D5CDD505-2E9C-101B-9397-08002B2CF9AE}" pid="52" name="NOSE33">
    <vt:lpwstr>אחדות הענישה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13800;17039;12547</vt:lpwstr>
  </property>
  <property fmtid="{D5CDD505-2E9C-101B-9397-08002B2CF9AE}" pid="60" name="PADIDATE">
    <vt:lpwstr>20201124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3793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410120201123</vt:lpwstr>
  </property>
  <property fmtid="{D5CDD505-2E9C-101B-9397-08002B2CF9AE}" pid="70" name="TYPE_N_DATE">
    <vt:lpwstr>41020201123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