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3819/20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ניסן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וקנין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31.3.2020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60455-08-19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קולה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דני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צרפתי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ורננה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גלפז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מוקדי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21.9.2020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פוקרא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פתחי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334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346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368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טיפול והשגחה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ך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End w:id="5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להמעיט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וחשוב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בסדרת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פרמטר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לבטח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40,000</w:t>
      </w:r>
      <w:r>
        <w:rPr>
          <w:rFonts w:cs="FrankRuehl"/>
          <w:sz w:val="24"/>
          <w:szCs w:val="26"/>
          <w:rtl w:val="true"/>
        </w:rPr>
        <w:t xml:space="preserve"> ₪,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ואיומים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בסדרת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שהוכרזה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נזקקת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בפנימייה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הנוער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ומשפחתי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ומורכב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חיפשה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אהבה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שבהמשך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התאפיינה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שהשפיעו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רגרסיבי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ופוגעני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האספקטים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מקריאת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מישורי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להמעיט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להתארכות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המשתמע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שהסכימה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והחשוב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אמירתו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הנכונה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יוזכר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פרמטר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היתלות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לעמאש</w:t>
      </w:r>
      <w:r>
        <w:rPr>
          <w:rFonts w:cs="FrankRuehl"/>
          <w:sz w:val="24"/>
          <w:szCs w:val="26"/>
          <w:rtl w:val="true"/>
        </w:rPr>
        <w:t>: "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[...]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המליץ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מענייננו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יוזכר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לבטח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המרובות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שאפפו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וחסד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לתחתית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ההיקפי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שהותירו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ABSTRACT_END"/>
      <w:bookmarkStart w:id="7" w:name="LawTable_End"/>
      <w:bookmarkStart w:id="8" w:name="ABSTRACT_END"/>
      <w:bookmarkStart w:id="9" w:name="LawTable_End"/>
      <w:bookmarkEnd w:id="8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60455-08-19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צרפתי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מוקדי</w:t>
      </w:r>
      <w:r>
        <w:rPr>
          <w:rtl w:val="true"/>
        </w:rPr>
        <w:t xml:space="preserve">)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31.3.2020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cs="Miriam" w:ascii="Century" w:hAnsi="Century"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הורשע לאחר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שלא כלל הסכמה לעניין העונש</w:t>
      </w:r>
      <w:r>
        <w:rPr>
          <w:rtl w:val="true"/>
        </w:rPr>
        <w:t xml:space="preserve">, </w:t>
      </w:r>
      <w:r>
        <w:rPr>
          <w:rtl w:val="true"/>
        </w:rPr>
        <w:t>בעבירות כדלקמן</w:t>
      </w:r>
      <w:r>
        <w:rPr>
          <w:rtl w:val="true"/>
        </w:rPr>
        <w:t xml:space="preserve">: </w:t>
      </w:r>
      <w:r>
        <w:rPr>
          <w:rtl w:val="true"/>
        </w:rPr>
        <w:t xml:space="preserve">מעשה מגונה בכוח 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 (</w:t>
      </w:r>
      <w:r>
        <w:rPr>
          <w:rtl w:val="true"/>
        </w:rPr>
        <w:t>ריבוי עבירות</w:t>
      </w:r>
      <w:r>
        <w:rPr>
          <w:rtl w:val="true"/>
        </w:rPr>
        <w:t xml:space="preserve">); </w:t>
      </w:r>
      <w:r>
        <w:rPr>
          <w:rtl w:val="true"/>
        </w:rPr>
        <w:t xml:space="preserve">בעילה אסורה בהסכמה 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346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לחוק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); </w:t>
      </w:r>
      <w:r>
        <w:rPr>
          <w:rtl w:val="true"/>
        </w:rPr>
        <w:t xml:space="preserve">פציעה בנסיבות מחמירות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בנסיבות </w:t>
      </w:r>
      <w:hyperlink r:id="rId1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תקיפת קטין הגורמת חבלה 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); </w:t>
      </w:r>
      <w:r>
        <w:rPr>
          <w:rtl w:val="true"/>
        </w:rPr>
        <w:t xml:space="preserve">ואיומים 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גישור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עובדות כתב האישום</w:t>
      </w:r>
    </w:p>
    <w:p>
      <w:pPr>
        <w:pStyle w:val="Ruller4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הינו יליד </w:t>
      </w:r>
      <w:r>
        <w:rPr/>
        <w:t>1994</w:t>
      </w:r>
      <w:r>
        <w:rPr>
          <w:rtl w:val="true"/>
        </w:rPr>
        <w:t xml:space="preserve"> </w:t>
      </w:r>
      <w:r>
        <w:rPr>
          <w:rtl w:val="true"/>
        </w:rPr>
        <w:t xml:space="preserve">ואילו המתלוננת הינה </w:t>
      </w:r>
      <w:r>
        <w:rPr>
          <w:rtl w:val="true"/>
        </w:rPr>
        <w:t xml:space="preserve">קטינה </w:t>
      </w:r>
      <w:r>
        <w:rPr>
          <w:rtl w:val="true"/>
        </w:rPr>
        <w:t xml:space="preserve">ילידת </w:t>
      </w:r>
      <w:r>
        <w:rPr/>
        <w:t>2002</w:t>
      </w:r>
      <w:r>
        <w:rPr>
          <w:rtl w:val="true"/>
        </w:rPr>
        <w:t xml:space="preserve">. </w:t>
      </w:r>
      <w:r>
        <w:rPr>
          <w:rtl w:val="true"/>
        </w:rPr>
        <w:t xml:space="preserve">בין </w:t>
      </w:r>
      <w:r>
        <w:rPr>
          <w:rtl w:val="true"/>
        </w:rPr>
        <w:t xml:space="preserve">השנים </w:t>
      </w:r>
      <w:r>
        <w:rPr/>
        <w:t>2019-2017</w:t>
      </w:r>
      <w:r>
        <w:rPr>
          <w:rtl w:val="true"/>
        </w:rPr>
        <w:t xml:space="preserve"> </w:t>
      </w:r>
      <w:r>
        <w:rPr>
          <w:rtl w:val="true"/>
        </w:rPr>
        <w:t xml:space="preserve">התקיים בין </w:t>
      </w:r>
      <w:r>
        <w:rPr>
          <w:rtl w:val="true"/>
        </w:rPr>
        <w:t>המערער לבין המתלוננת קשר זוגי שכלל קיום יחסי מין בהסכמה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תקופת הקשר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במהלך תקופת הקשר</w:t>
      </w:r>
      <w:r>
        <w:rPr>
          <w:rtl w:val="true"/>
        </w:rPr>
        <w:t xml:space="preserve">, </w:t>
      </w:r>
      <w:r>
        <w:rPr>
          <w:rtl w:val="true"/>
        </w:rPr>
        <w:t xml:space="preserve">שהתה המתלוננת </w:t>
      </w:r>
      <w:r>
        <w:rPr>
          <w:rtl w:val="true"/>
        </w:rPr>
        <w:t>ב</w:t>
      </w:r>
      <w:r>
        <w:rPr>
          <w:rtl w:val="true"/>
        </w:rPr>
        <w:t>פנימייה ונהגה לצאת מהפנימייה לדירתו של המערער במהלך סופי השבוע וזאת על דעת ואישור גורמי הפנימיה ועו</w:t>
      </w:r>
      <w:r>
        <w:rPr>
          <w:rtl w:val="true"/>
        </w:rPr>
        <w:t>"</w:t>
      </w:r>
      <w:r>
        <w:rPr>
          <w:rtl w:val="true"/>
        </w:rPr>
        <w:t>ס 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והשגחה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>-</w:t>
      </w:r>
      <w:r>
        <w:rPr/>
        <w:t>1960</w:t>
      </w:r>
      <w:r>
        <w:rPr>
          <w:rtl w:val="true"/>
        </w:rPr>
        <w:t xml:space="preserve">, </w:t>
      </w:r>
      <w:r>
        <w:rPr>
          <w:rtl w:val="true"/>
        </w:rPr>
        <w:t xml:space="preserve">וזאת עד לפרידתם סמוך לחודש מרץ </w:t>
      </w:r>
      <w:r>
        <w:rPr/>
        <w:t>2019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 תקופת הקשר</w:t>
      </w:r>
      <w:r>
        <w:rPr>
          <w:rtl w:val="true"/>
        </w:rPr>
        <w:t xml:space="preserve">, </w:t>
      </w:r>
      <w:r>
        <w:rPr>
          <w:rtl w:val="true"/>
        </w:rPr>
        <w:t>צילם המערער את המתלוננת שלא בידיעתה בעירום מלא בזמן שקיימו יחסי מין ביניהם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במספר הזדמנויות הכה המערער את המתלוננת וגרם לה בחלק מהמקרים לחב</w:t>
      </w:r>
      <w:r>
        <w:rPr>
          <w:rtl w:val="true"/>
        </w:rPr>
        <w:t>ל</w:t>
      </w:r>
      <w:r>
        <w:rPr>
          <w:rtl w:val="true"/>
        </w:rPr>
        <w:t>ות שונות בידיה</w:t>
      </w:r>
      <w:r>
        <w:rPr>
          <w:rtl w:val="true"/>
        </w:rPr>
        <w:t xml:space="preserve">, </w:t>
      </w:r>
      <w:r>
        <w:rPr>
          <w:rtl w:val="true"/>
        </w:rPr>
        <w:t>ברגליה ובצווארה</w:t>
      </w:r>
      <w:r>
        <w:rPr>
          <w:rtl w:val="true"/>
        </w:rPr>
        <w:t xml:space="preserve">. </w:t>
      </w:r>
      <w:r>
        <w:rPr>
          <w:rtl w:val="true"/>
        </w:rPr>
        <w:t xml:space="preserve">במהלך חודש מרץ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דקר המערער את המתלוננת בישבנה ואמר לה ש</w:t>
      </w:r>
      <w:r>
        <w:rPr>
          <w:rtl w:val="true"/>
        </w:rPr>
        <w:t>"</w:t>
      </w:r>
      <w:r>
        <w:rPr>
          <w:rFonts w:ascii="Miriam" w:hAnsi="Miriam" w:cs="Miriam"/>
          <w:szCs w:val="24"/>
          <w:rtl w:val="true"/>
        </w:rPr>
        <w:t>ככה תזכור אותו שהוא הקובע בבית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כתוצאה מהדקירה</w:t>
      </w:r>
      <w:r>
        <w:rPr>
          <w:rtl w:val="true"/>
        </w:rPr>
        <w:t xml:space="preserve">, </w:t>
      </w:r>
      <w:r>
        <w:rPr>
          <w:rtl w:val="true"/>
        </w:rPr>
        <w:t>נגרם למתלוננת חתך באורך של מספר סנטימטרים</w:t>
      </w:r>
      <w:r>
        <w:rPr>
          <w:rtl w:val="true"/>
        </w:rPr>
        <w:t xml:space="preserve">, </w:t>
      </w:r>
      <w:r>
        <w:rPr>
          <w:rtl w:val="true"/>
        </w:rPr>
        <w:t>שגרם לה לדימום וכאב רב</w:t>
      </w:r>
      <w:r>
        <w:rPr>
          <w:rtl w:val="true"/>
        </w:rPr>
        <w:t xml:space="preserve">. </w:t>
      </w:r>
      <w:r>
        <w:rPr>
          <w:rtl w:val="true"/>
        </w:rPr>
        <w:t>על רקע אירוע זה</w:t>
      </w:r>
      <w:r>
        <w:rPr>
          <w:rtl w:val="true"/>
        </w:rPr>
        <w:t xml:space="preserve">, </w:t>
      </w:r>
      <w:r>
        <w:rPr>
          <w:rtl w:val="true"/>
        </w:rPr>
        <w:t>נפרדה המתלוננת מהמערער</w:t>
      </w:r>
      <w:r>
        <w:rPr>
          <w:rtl w:val="true"/>
        </w:rPr>
        <w:t xml:space="preserve">. </w:t>
      </w:r>
      <w:r>
        <w:rPr>
          <w:rtl w:val="true"/>
        </w:rPr>
        <w:t>חרף פרידת המתלוננת מהמערער</w:t>
      </w:r>
      <w:r>
        <w:rPr>
          <w:rtl w:val="true"/>
        </w:rPr>
        <w:t xml:space="preserve">, </w:t>
      </w:r>
      <w:r>
        <w:rPr>
          <w:rtl w:val="true"/>
        </w:rPr>
        <w:t xml:space="preserve">במהלך </w:t>
      </w:r>
      <w:r>
        <w:rPr>
          <w:rtl w:val="true"/>
        </w:rPr>
        <w:t>סוף שבוע ב</w:t>
      </w:r>
      <w:r>
        <w:rPr>
          <w:rtl w:val="true"/>
        </w:rPr>
        <w:t xml:space="preserve">חודש אוגוסט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נפגשו המערער והמתלוננת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משנודע למערער כי למתלוננת קשר זוגי עם 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איים המערער על המתלוננת שיפגע בה מאחר שהיא בגדה בו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>
          <w:rtl w:val="true"/>
        </w:rPr>
        <w:t xml:space="preserve">קילל </w:t>
      </w:r>
      <w:r>
        <w:rPr>
          <w:rtl w:val="true"/>
        </w:rPr>
        <w:t>את המתלוננת והיכה אותה מספר פעמים</w:t>
      </w:r>
      <w:r>
        <w:rPr>
          <w:rtl w:val="true"/>
        </w:rPr>
        <w:t xml:space="preserve">. </w:t>
      </w:r>
      <w:r>
        <w:rPr>
          <w:rtl w:val="true"/>
        </w:rPr>
        <w:t>באחת הפעמים הכה אותה עד אשר הרגישה חולשה</w:t>
      </w:r>
      <w:r>
        <w:rPr>
          <w:rtl w:val="true"/>
        </w:rPr>
        <w:t xml:space="preserve">, </w:t>
      </w:r>
      <w:r>
        <w:rPr>
          <w:rtl w:val="true"/>
        </w:rPr>
        <w:t>ונפלה אל הקרקע</w:t>
      </w:r>
      <w:r>
        <w:rPr>
          <w:rtl w:val="true"/>
        </w:rPr>
        <w:t xml:space="preserve">. </w:t>
      </w:r>
      <w:r>
        <w:rPr>
          <w:rtl w:val="true"/>
        </w:rPr>
        <w:t xml:space="preserve">המערער איים על המתלוננת באומרו לה כי </w:t>
      </w:r>
      <w:r>
        <w:rPr>
          <w:rtl w:val="true"/>
        </w:rPr>
        <w:t>"</w:t>
      </w:r>
      <w:r>
        <w:rPr>
          <w:rtl w:val="true"/>
        </w:rPr>
        <w:t>אישה שבוגדת מגיע לה עונש מוות</w:t>
      </w:r>
      <w:r>
        <w:rPr>
          <w:rtl w:val="true"/>
        </w:rPr>
        <w:t xml:space="preserve">" </w:t>
      </w:r>
      <w:r>
        <w:rPr>
          <w:rtl w:val="true"/>
        </w:rPr>
        <w:t xml:space="preserve">ושהיא תהיה </w:t>
      </w:r>
      <w:r>
        <w:rPr>
          <w:rtl w:val="true"/>
        </w:rPr>
        <w:t>"</w:t>
      </w:r>
      <w:r>
        <w:rPr>
          <w:rtl w:val="true"/>
        </w:rPr>
        <w:t>הזונה</w:t>
      </w:r>
      <w:r>
        <w:rPr>
          <w:rtl w:val="true"/>
        </w:rPr>
        <w:t xml:space="preserve"> הפרטית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איים כי ידקור אותה ויחתוך את איבר מינה</w:t>
      </w:r>
      <w:r>
        <w:rPr>
          <w:rtl w:val="true"/>
        </w:rPr>
        <w:t xml:space="preserve">. </w:t>
      </w:r>
      <w:r>
        <w:rPr>
          <w:rtl w:val="true"/>
        </w:rPr>
        <w:t>במפגש הראשון</w:t>
      </w:r>
      <w:r>
        <w:rPr>
          <w:rtl w:val="true"/>
        </w:rPr>
        <w:t xml:space="preserve"> באותו סוף שבוע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קיימו המערער והמתלוננת יחסי מין בהסכמה</w:t>
      </w:r>
      <w:r>
        <w:rPr>
          <w:rtl w:val="true"/>
        </w:rPr>
        <w:t xml:space="preserve">, </w:t>
      </w:r>
      <w:r>
        <w:rPr>
          <w:rtl w:val="true"/>
        </w:rPr>
        <w:t>אך לאחר מכן ביצע המערער במתלוננת מעשים מגונים בכוח בניגוד להסכמתה</w:t>
      </w:r>
      <w:r>
        <w:rPr>
          <w:rtl w:val="true"/>
        </w:rPr>
        <w:t xml:space="preserve">, </w:t>
      </w:r>
      <w:r>
        <w:rPr>
          <w:rtl w:val="true"/>
        </w:rPr>
        <w:t>תחת איומים ואלימות שהפעיל כלפיה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קמא קבע כי מדובר במסכת עובדתית אחת בגינה יש לקבוע מתחם אחד כולל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שיתחשב ב</w:t>
      </w:r>
      <w:r>
        <w:rPr>
          <w:rtl w:val="true"/>
        </w:rPr>
        <w:t>ריבוי</w:t>
      </w:r>
      <w:r>
        <w:rPr>
          <w:rtl w:val="true"/>
        </w:rPr>
        <w:t>ן</w:t>
      </w:r>
      <w:r>
        <w:rPr>
          <w:rtl w:val="true"/>
        </w:rPr>
        <w:t xml:space="preserve"> ושילובן של עבירות האלימות והמין יחדיו</w:t>
      </w:r>
      <w:r>
        <w:rPr>
          <w:rtl w:val="true"/>
        </w:rPr>
        <w:t xml:space="preserve">. </w:t>
      </w:r>
      <w:r>
        <w:rPr>
          <w:rtl w:val="true"/>
        </w:rPr>
        <w:t xml:space="preserve">נקבע כי </w:t>
      </w:r>
      <w:r>
        <w:rPr>
          <w:rtl w:val="true"/>
        </w:rPr>
        <w:t>המערער פגע</w:t>
      </w:r>
      <w:r>
        <w:rPr>
          <w:rtl w:val="true"/>
        </w:rPr>
        <w:t xml:space="preserve"> בשלומה</w:t>
      </w:r>
      <w:r>
        <w:rPr>
          <w:rtl w:val="true"/>
        </w:rPr>
        <w:t xml:space="preserve">, </w:t>
      </w:r>
      <w:r>
        <w:rPr>
          <w:rtl w:val="true"/>
        </w:rPr>
        <w:t>בשלמות גופה ונפשה של המתלוננת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</w:t>
      </w:r>
      <w:r>
        <w:rPr>
          <w:rtl w:val="true"/>
        </w:rPr>
        <w:t>זכותה לאוטונומיה ולפרטיות</w:t>
      </w:r>
      <w:r>
        <w:rPr>
          <w:rtl w:val="true"/>
        </w:rPr>
        <w:t xml:space="preserve">, </w:t>
      </w:r>
      <w:r>
        <w:rPr>
          <w:rtl w:val="true"/>
        </w:rPr>
        <w:t xml:space="preserve">כאשר הפגיעה היא </w:t>
      </w:r>
      <w:r>
        <w:rPr>
          <w:rtl w:val="true"/>
        </w:rPr>
        <w:t>"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בפרט נוכח רצף המעשים</w:t>
      </w:r>
      <w:r>
        <w:rPr>
          <w:rtl w:val="true"/>
        </w:rPr>
        <w:t xml:space="preserve">, </w:t>
      </w:r>
      <w:r>
        <w:rPr>
          <w:rtl w:val="true"/>
        </w:rPr>
        <w:t>השילוב ביניהם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שנעשו כלפי קטינה והאלימות אשר ליוותה אותם</w:t>
      </w:r>
      <w:r>
        <w:rPr>
          <w:rtl w:val="true"/>
        </w:rPr>
        <w:t xml:space="preserve">." </w:t>
      </w:r>
      <w:r>
        <w:rPr>
          <w:rtl w:val="true"/>
        </w:rPr>
        <w:t>עוד נקבע כי מעשיו של המערער הותירו במתלוננת צלקת נפשית קשה</w:t>
      </w:r>
      <w:r>
        <w:rPr>
          <w:rtl w:val="true"/>
        </w:rPr>
        <w:t xml:space="preserve">, </w:t>
      </w:r>
      <w:r>
        <w:rPr>
          <w:rtl w:val="true"/>
        </w:rPr>
        <w:t>כאשר מתסקיר נפגעת העבירה עולה תמונת נזק קשה שנגרם למתלוננת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בהתייחסו לנסיבות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קבע בית המשפט כי המערער ניצל את החסר ההורי של הקטינה</w:t>
      </w:r>
      <w:r>
        <w:rPr>
          <w:rtl w:val="true"/>
        </w:rPr>
        <w:t xml:space="preserve">, </w:t>
      </w:r>
      <w:r>
        <w:rPr>
          <w:rtl w:val="true"/>
        </w:rPr>
        <w:t>את אהבתה אליו</w:t>
      </w:r>
      <w:r>
        <w:rPr>
          <w:rtl w:val="true"/>
        </w:rPr>
        <w:t xml:space="preserve">, </w:t>
      </w:r>
      <w:r>
        <w:rPr>
          <w:rtl w:val="true"/>
        </w:rPr>
        <w:t>את פערי הגילאים ביניהם</w:t>
      </w:r>
      <w:r>
        <w:rPr>
          <w:rtl w:val="true"/>
        </w:rPr>
        <w:t xml:space="preserve">, </w:t>
      </w:r>
      <w:r>
        <w:rPr>
          <w:rtl w:val="true"/>
        </w:rPr>
        <w:t xml:space="preserve">וביצע בה את המעשים בהיותה בת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כאשר המעשים הלכו והסלימו עם הזמן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tl w:val="true"/>
        </w:rPr>
        <w:t xml:space="preserve"> למדיניות הענישה</w:t>
      </w:r>
      <w:r>
        <w:rPr>
          <w:rtl w:val="true"/>
        </w:rPr>
        <w:t xml:space="preserve"> הנוהגת</w:t>
      </w:r>
      <w:r>
        <w:rPr>
          <w:rtl w:val="true"/>
        </w:rPr>
        <w:t xml:space="preserve">, </w:t>
      </w:r>
      <w:r>
        <w:rPr>
          <w:rtl w:val="true"/>
        </w:rPr>
        <w:t>קבע בית המשפט כי קשה למצוא פסיקה הכוללת את מ</w:t>
      </w:r>
      <w:r>
        <w:rPr>
          <w:rtl w:val="true"/>
        </w:rPr>
        <w:t>ג</w:t>
      </w:r>
      <w:r>
        <w:rPr>
          <w:rtl w:val="true"/>
        </w:rPr>
        <w:t>וון העבירות בהן הורשע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כאשר המקרה הדומה ביותר בנסיבותיו לענייננו הוא 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2600-05-10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21.9.2011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tl w:val="true"/>
        </w:rPr>
        <w:t xml:space="preserve">), </w:t>
      </w:r>
      <w:r>
        <w:rPr>
          <w:rtl w:val="true"/>
        </w:rPr>
        <w:t>תוך שאבחן עניינו של המערער לחומרא</w:t>
      </w:r>
      <w:r>
        <w:rPr>
          <w:rtl w:val="true"/>
        </w:rPr>
        <w:t xml:space="preserve">. </w:t>
      </w:r>
      <w:r>
        <w:rPr>
          <w:rtl w:val="true"/>
        </w:rPr>
        <w:t>מתחם העונש</w:t>
      </w:r>
      <w:r>
        <w:rPr>
          <w:rtl w:val="true"/>
        </w:rPr>
        <w:t xml:space="preserve"> ההולם</w:t>
      </w:r>
      <w:r>
        <w:rPr>
          <w:rtl w:val="true"/>
        </w:rPr>
        <w:t xml:space="preserve"> </w:t>
      </w:r>
      <w:r>
        <w:rPr>
          <w:rtl w:val="true"/>
        </w:rPr>
        <w:t xml:space="preserve">נקבע </w:t>
      </w:r>
      <w:r>
        <w:rPr>
          <w:rtl w:val="true"/>
        </w:rPr>
        <w:t xml:space="preserve">ככזה הנע 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המשפט מצא להתחשב בהודאת המערער שייתרה את המעמד הקשה של מתן עדות </w:t>
      </w:r>
      <w:r>
        <w:rPr>
          <w:rtl w:val="true"/>
        </w:rPr>
        <w:t xml:space="preserve">מטעם </w:t>
      </w:r>
      <w:r>
        <w:rPr>
          <w:rtl w:val="true"/>
        </w:rPr>
        <w:t>המתלוננת בבית המשפט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בגיל</w:t>
      </w:r>
      <w:r>
        <w:rPr>
          <w:rtl w:val="true"/>
        </w:rPr>
        <w:t>ו</w:t>
      </w:r>
      <w:r>
        <w:rPr>
          <w:rtl w:val="true"/>
        </w:rPr>
        <w:t xml:space="preserve"> הצעיר יחסית</w:t>
      </w:r>
      <w:r>
        <w:rPr>
          <w:rtl w:val="true"/>
        </w:rPr>
        <w:t xml:space="preserve">; </w:t>
      </w:r>
      <w:r>
        <w:rPr>
          <w:rtl w:val="true"/>
        </w:rPr>
        <w:t>בעובדה שזהו מאסר</w:t>
      </w:r>
      <w:r>
        <w:rPr>
          <w:rtl w:val="true"/>
        </w:rPr>
        <w:t>ו</w:t>
      </w:r>
      <w:r>
        <w:rPr>
          <w:rtl w:val="true"/>
        </w:rPr>
        <w:t xml:space="preserve"> הראשון</w:t>
      </w:r>
      <w:r>
        <w:rPr>
          <w:rtl w:val="true"/>
        </w:rPr>
        <w:t xml:space="preserve">, </w:t>
      </w:r>
      <w:r>
        <w:rPr>
          <w:rtl w:val="true"/>
        </w:rPr>
        <w:t>שהשפיע על מצבו הנפשי באופן קשה והביא להתקרחותו המוקדמת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ב</w:t>
      </w:r>
      <w:r>
        <w:rPr>
          <w:rtl w:val="true"/>
        </w:rPr>
        <w:t>היעדר כל תמיכה משפחתית במהלך ריצוי עונשו</w:t>
      </w:r>
      <w:r>
        <w:rPr>
          <w:rtl w:val="true"/>
        </w:rPr>
        <w:t xml:space="preserve">. </w:t>
      </w:r>
      <w:r>
        <w:rPr>
          <w:rtl w:val="true"/>
        </w:rPr>
        <w:t>מן העבר השני</w:t>
      </w:r>
      <w:r>
        <w:rPr>
          <w:rtl w:val="true"/>
        </w:rPr>
        <w:t xml:space="preserve">, </w:t>
      </w:r>
      <w:r>
        <w:rPr>
          <w:rtl w:val="true"/>
        </w:rPr>
        <w:t>בית המשפט זקף לחובת המערער את עברו הפלילי</w:t>
      </w:r>
      <w:r>
        <w:rPr>
          <w:rtl w:val="true"/>
        </w:rPr>
        <w:t xml:space="preserve">, </w:t>
      </w:r>
      <w:r>
        <w:rPr>
          <w:rtl w:val="true"/>
        </w:rPr>
        <w:t>הכולל בין היתר עבירות 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אלימות והחזקת סכין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החליט למקם את עונשו של המערער קרוב לתחתית המתחם שקבע וגזר עליו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, </w:t>
      </w:r>
      <w:r>
        <w:rPr>
          <w:rtl w:val="true"/>
        </w:rPr>
        <w:t>מאסרים מותנים</w:t>
      </w:r>
      <w:r>
        <w:rPr>
          <w:rtl w:val="true"/>
        </w:rPr>
        <w:t xml:space="preserve">, </w:t>
      </w:r>
      <w:r>
        <w:rPr>
          <w:rtl w:val="true"/>
        </w:rPr>
        <w:t>וחייבו בתשלום פיצויים למתלוננת כמתואר בפתח פסק דיננו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טענות הצדדים</w:t>
      </w:r>
    </w:p>
    <w:p>
      <w:pPr>
        <w:pStyle w:val="Ruller4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בהודעת </w:t>
      </w:r>
      <w:r>
        <w:rPr>
          <w:rtl w:val="true"/>
        </w:rPr>
        <w:t>ערעור מפורטת</w:t>
      </w:r>
      <w:r>
        <w:rPr>
          <w:rtl w:val="true"/>
        </w:rPr>
        <w:t xml:space="preserve">, </w:t>
      </w:r>
      <w:r>
        <w:rPr>
          <w:rtl w:val="true"/>
        </w:rPr>
        <w:t>שעל עיקריה חזר בא כוח המערער לפנינו</w:t>
      </w:r>
      <w:r>
        <w:rPr>
          <w:rtl w:val="true"/>
        </w:rPr>
        <w:t xml:space="preserve">, </w:t>
      </w:r>
      <w:r>
        <w:rPr>
          <w:rtl w:val="true"/>
        </w:rPr>
        <w:t>מלין המערער על חומרת עונשו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טעה בקביעת מתחם העונש</w:t>
      </w:r>
      <w:r>
        <w:rPr>
          <w:rtl w:val="true"/>
        </w:rPr>
        <w:t xml:space="preserve">, </w:t>
      </w:r>
      <w:r>
        <w:rPr>
          <w:rtl w:val="true"/>
        </w:rPr>
        <w:t>משראוי היה לקבוע מתחם נמוך יותר מזה שנקבע</w:t>
      </w:r>
      <w:r>
        <w:rPr>
          <w:rtl w:val="true"/>
        </w:rPr>
        <w:t xml:space="preserve">, </w:t>
      </w:r>
      <w:r>
        <w:rPr>
          <w:rtl w:val="true"/>
        </w:rPr>
        <w:t xml:space="preserve">בהינתן נסיבות ביצוע העבירות ובעיקר </w:t>
      </w:r>
      <w:r>
        <w:rPr>
          <w:rtl w:val="true"/>
        </w:rPr>
        <w:t>ה</w:t>
      </w:r>
      <w:r>
        <w:rPr>
          <w:rtl w:val="true"/>
        </w:rPr>
        <w:t xml:space="preserve">עובדה שיציאותיה של המתלוננת לבית המערער בסופי השבוע </w:t>
      </w:r>
      <w:r>
        <w:rPr>
          <w:rtl w:val="true"/>
        </w:rPr>
        <w:t>היו</w:t>
      </w:r>
      <w:r>
        <w:rPr>
          <w:rtl w:val="true"/>
        </w:rPr>
        <w:t xml:space="preserve"> בידיעת והסכמת גורמי הפנימייה</w:t>
      </w:r>
      <w:r>
        <w:rPr>
          <w:rtl w:val="true"/>
        </w:rPr>
        <w:t xml:space="preserve">. </w:t>
      </w:r>
      <w:r>
        <w:rPr>
          <w:rtl w:val="true"/>
        </w:rPr>
        <w:t xml:space="preserve">עוד טען כי </w:t>
      </w:r>
      <w:r>
        <w:rPr>
          <w:rtl w:val="true"/>
        </w:rPr>
        <w:t xml:space="preserve">בית המשפט </w:t>
      </w:r>
      <w:r>
        <w:rPr>
          <w:rtl w:val="true"/>
        </w:rPr>
        <w:t>התעלם</w:t>
      </w:r>
      <w:r>
        <w:rPr>
          <w:rtl w:val="true"/>
        </w:rPr>
        <w:t xml:space="preserve">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שנופלת מזו עליה הסתמך בית המשפט קמא בקביעת המתחם</w:t>
      </w:r>
      <w:r>
        <w:rPr>
          <w:rtl w:val="true"/>
        </w:rPr>
        <w:t xml:space="preserve">; </w:t>
      </w:r>
      <w:r>
        <w:rPr>
          <w:rtl w:val="true"/>
        </w:rPr>
        <w:t>כי בית המשפט קמא שגה משדחה את בקשת המערער לקבלת תסקיר מבחן והעדיף את שיקולי ההרתעה על פני שיקולי השיקום והטיפול</w:t>
      </w:r>
      <w:r>
        <w:rPr>
          <w:rtl w:val="true"/>
        </w:rPr>
        <w:t xml:space="preserve">; </w:t>
      </w:r>
      <w:r>
        <w:rPr>
          <w:rtl w:val="true"/>
        </w:rPr>
        <w:t>כי בית המשפט לא נתן משקל מספיק להודאת המערער ולקיחת האחריות מצידו</w:t>
      </w:r>
      <w:r>
        <w:rPr>
          <w:rtl w:val="true"/>
        </w:rPr>
        <w:t xml:space="preserve">, </w:t>
      </w:r>
      <w:r>
        <w:rPr>
          <w:rtl w:val="true"/>
        </w:rPr>
        <w:t>ול</w:t>
      </w:r>
      <w:r>
        <w:rPr>
          <w:rtl w:val="true"/>
        </w:rPr>
        <w:t>גילו הצעיר והיות מאסרו זה מאסר ראשון שהשפיע על מצבו הנפשי בצורה קשה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באת כוח המדינה ביקשה לדחות את הערעור בטענה כי העונש שהוטל על המערער הינו עונש קל</w:t>
      </w:r>
      <w:r>
        <w:rPr>
          <w:rtl w:val="true"/>
        </w:rPr>
        <w:t xml:space="preserve">, </w:t>
      </w:r>
      <w:r>
        <w:rPr>
          <w:rtl w:val="true"/>
        </w:rPr>
        <w:t>שאינו מצדיק כל התערבות</w:t>
      </w:r>
      <w:r>
        <w:rPr>
          <w:rtl w:val="true"/>
        </w:rPr>
        <w:t xml:space="preserve">, </w:t>
      </w:r>
      <w:r>
        <w:rPr>
          <w:rtl w:val="true"/>
        </w:rPr>
        <w:t>שכן מלכתחילה</w:t>
      </w:r>
      <w:r>
        <w:rPr>
          <w:rtl w:val="true"/>
        </w:rPr>
        <w:t xml:space="preserve"> עמדתה העונשית בבית המשפט קמא הייתה כי מתחם העונש ההולם בנסיבותיו של מקרה זה צריך לנוע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קריאת הודעת הערעור</w:t>
      </w:r>
      <w:r>
        <w:rPr>
          <w:rtl w:val="true"/>
        </w:rPr>
        <w:t xml:space="preserve">, </w:t>
      </w:r>
      <w:r>
        <w:rPr>
          <w:rtl w:val="true"/>
        </w:rPr>
        <w:t>תסקיר נפגעת העבירה ושמיעת טענות הצדדים לפנינו</w:t>
      </w:r>
      <w:r>
        <w:rPr>
          <w:rtl w:val="true"/>
        </w:rPr>
        <w:t xml:space="preserve">, </w:t>
      </w:r>
      <w:r>
        <w:rPr>
          <w:rtl w:val="true"/>
        </w:rPr>
        <w:t>מצאנו כי טוב לו לערעור זה אילו לא הוגש מלכתחילה</w:t>
      </w:r>
      <w:r>
        <w:rPr>
          <w:rtl w:val="true"/>
        </w:rPr>
        <w:t xml:space="preserve">. </w:t>
      </w:r>
      <w:r>
        <w:rPr>
          <w:rtl w:val="true"/>
        </w:rPr>
        <w:t>המערער הורשע בסדרת עבירות מין ואלימות שביצע במסגרת מערכת יחסים פוגענית במי שהוכרזה כקטינה נזקקת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הוצאה מבית הוריה והושמה בפנימייה של חסות הנוער</w:t>
      </w:r>
      <w:r>
        <w:rPr>
          <w:rtl w:val="true"/>
        </w:rPr>
        <w:t xml:space="preserve">; </w:t>
      </w:r>
      <w:r>
        <w:rPr>
          <w:rtl w:val="true"/>
        </w:rPr>
        <w:t xml:space="preserve">קטינה שבעת ביצוע המעשים בה טרם מלאו לה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שבאה מרקע אישי ומשפחתי קשה ומורכב</w:t>
      </w:r>
      <w:r>
        <w:rPr>
          <w:rtl w:val="true"/>
        </w:rPr>
        <w:t xml:space="preserve">, </w:t>
      </w:r>
      <w:r>
        <w:rPr>
          <w:rtl w:val="true"/>
        </w:rPr>
        <w:t>שהחיים לא האירו לה פנים</w:t>
      </w:r>
      <w:r>
        <w:rPr>
          <w:rtl w:val="true"/>
        </w:rPr>
        <w:t xml:space="preserve">; </w:t>
      </w:r>
      <w:r>
        <w:rPr>
          <w:rtl w:val="true"/>
        </w:rPr>
        <w:t>הקטינה</w:t>
      </w:r>
      <w:r>
        <w:rPr>
          <w:rtl w:val="true"/>
        </w:rPr>
        <w:t xml:space="preserve"> חיפשה אהבה וחום שחסרו לה</w:t>
      </w:r>
      <w:r>
        <w:rPr>
          <w:rtl w:val="true"/>
        </w:rPr>
        <w:t xml:space="preserve">, </w:t>
      </w:r>
      <w:r>
        <w:rPr>
          <w:rtl w:val="true"/>
        </w:rPr>
        <w:t>אותם מצאה בתחילת הקשר עם המערער</w:t>
      </w:r>
      <w:r>
        <w:rPr>
          <w:rtl w:val="true"/>
        </w:rPr>
        <w:t xml:space="preserve">, </w:t>
      </w:r>
      <w:r>
        <w:rPr>
          <w:rtl w:val="true"/>
        </w:rPr>
        <w:t>אלא שבהמשך הקשר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מערכת היחסים בינה לבין המערער התאפיינה </w:t>
      </w:r>
      <w:r>
        <w:rPr>
          <w:rtl w:val="true"/>
        </w:rPr>
        <w:t>"</w:t>
      </w:r>
      <w:r>
        <w:rPr>
          <w:rtl w:val="true"/>
        </w:rPr>
        <w:t>באלימות פיזית</w:t>
      </w:r>
      <w:r>
        <w:rPr>
          <w:rtl w:val="true"/>
        </w:rPr>
        <w:t xml:space="preserve">, </w:t>
      </w:r>
      <w:r>
        <w:rPr>
          <w:rtl w:val="true"/>
        </w:rPr>
        <w:t>מינית ונפשית</w:t>
      </w:r>
      <w:r>
        <w:rPr>
          <w:rtl w:val="true"/>
        </w:rPr>
        <w:t xml:space="preserve">, </w:t>
      </w:r>
      <w:r>
        <w:rPr>
          <w:rtl w:val="true"/>
        </w:rPr>
        <w:t xml:space="preserve">תחת שליטה וטרור רגשי אשר השפיעו באופן רגרסיבי ופוגעני על כל </w:t>
      </w:r>
      <w:r>
        <w:rPr>
          <w:rtl w:val="true"/>
        </w:rPr>
        <w:t>[</w:t>
      </w:r>
      <w:r>
        <w:rPr>
          <w:rtl w:val="true"/>
        </w:rPr>
        <w:t>ה</w:t>
      </w:r>
      <w:r>
        <w:rPr>
          <w:rtl w:val="true"/>
        </w:rPr>
        <w:t>]</w:t>
      </w:r>
      <w:r>
        <w:rPr>
          <w:rtl w:val="true"/>
        </w:rPr>
        <w:t xml:space="preserve">אספקטים של חייה </w:t>
      </w:r>
      <w:r>
        <w:rPr>
          <w:rtl w:val="true"/>
        </w:rPr>
        <w:t xml:space="preserve">[...]". </w:t>
      </w:r>
      <w:r>
        <w:rPr>
          <w:rtl w:val="true"/>
        </w:rPr>
        <w:t>תיאורים אלה הלקוחים מתסקיר נפגעת העבירה</w:t>
      </w:r>
      <w:r>
        <w:rPr>
          <w:rtl w:val="true"/>
        </w:rPr>
        <w:t xml:space="preserve">, </w:t>
      </w:r>
      <w:r>
        <w:rPr>
          <w:rtl w:val="true"/>
        </w:rPr>
        <w:t xml:space="preserve">עולים בקנה אחד עם תיאור מעשי המערער שכללו </w:t>
      </w:r>
      <w:r>
        <w:rPr>
          <w:rtl w:val="true"/>
        </w:rPr>
        <w:t>הפעלת אלימות פיזית ונפשית על רקע</w:t>
      </w:r>
      <w:r>
        <w:rPr>
          <w:rtl w:val="true"/>
        </w:rPr>
        <w:t xml:space="preserve"> של קנאה חולנית</w:t>
      </w:r>
      <w:r>
        <w:rPr>
          <w:rtl w:val="true"/>
        </w:rPr>
        <w:t xml:space="preserve">, </w:t>
      </w:r>
      <w:r>
        <w:rPr>
          <w:rtl w:val="true"/>
        </w:rPr>
        <w:t>רכושנות</w:t>
      </w:r>
      <w:r>
        <w:rPr>
          <w:rtl w:val="true"/>
        </w:rPr>
        <w:t xml:space="preserve">, </w:t>
      </w:r>
      <w:r>
        <w:rPr>
          <w:rtl w:val="true"/>
        </w:rPr>
        <w:t>כוחנות</w:t>
      </w:r>
      <w:r>
        <w:rPr>
          <w:rtl w:val="true"/>
        </w:rPr>
        <w:t xml:space="preserve">, </w:t>
      </w:r>
      <w:r>
        <w:rPr>
          <w:rtl w:val="true"/>
        </w:rPr>
        <w:t>שליטה והשפלה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מקריאתו של תסקיר נפגעת העבירה</w:t>
      </w:r>
      <w:r>
        <w:rPr>
          <w:rtl w:val="true"/>
        </w:rPr>
        <w:t xml:space="preserve">, </w:t>
      </w:r>
      <w:r>
        <w:rPr>
          <w:rtl w:val="true"/>
        </w:rPr>
        <w:t>עולה כי למתלוננת נגרם נזק היקפי בכל מישורי חייה</w:t>
      </w:r>
      <w:r>
        <w:rPr>
          <w:rtl w:val="true"/>
        </w:rPr>
        <w:t xml:space="preserve">, </w:t>
      </w:r>
      <w:r>
        <w:rPr>
          <w:rtl w:val="true"/>
        </w:rPr>
        <w:t>הדברים פורטו בהרחבה בתסקיר ובגזר דינו של בית המשפט קמא</w:t>
      </w:r>
      <w:r>
        <w:rPr>
          <w:rtl w:val="true"/>
        </w:rPr>
        <w:t xml:space="preserve">. </w:t>
      </w:r>
      <w:r>
        <w:rPr>
          <w:rtl w:val="true"/>
        </w:rPr>
        <w:t>ואיננ</w:t>
      </w:r>
      <w:r>
        <w:rPr>
          <w:rtl w:val="true"/>
        </w:rPr>
        <w:t>ו</w:t>
      </w:r>
      <w:r>
        <w:rPr>
          <w:rtl w:val="true"/>
        </w:rPr>
        <w:t xml:space="preserve"> מוצא</w:t>
      </w:r>
      <w:r>
        <w:rPr>
          <w:rtl w:val="true"/>
        </w:rPr>
        <w:t>ים</w:t>
      </w:r>
      <w:r>
        <w:rPr>
          <w:rtl w:val="true"/>
        </w:rPr>
        <w:t xml:space="preserve"> לחזור על הדברים כאן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מצאנו כיצד טענת 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 יציאתה של המתלוננת מהפנימייה בסופי שבוע לביתו הייתה בידיעת ובהסכמת האחראים בפנימייה</w:t>
      </w:r>
      <w:r>
        <w:rPr>
          <w:rtl w:val="true"/>
        </w:rPr>
        <w:t xml:space="preserve">, </w:t>
      </w:r>
      <w:r>
        <w:rPr>
          <w:rtl w:val="true"/>
        </w:rPr>
        <w:t>עשויה לסייע למערער</w:t>
      </w:r>
      <w:r>
        <w:rPr>
          <w:rtl w:val="true"/>
        </w:rPr>
        <w:t xml:space="preserve">. </w:t>
      </w:r>
      <w:r>
        <w:rPr>
          <w:rtl w:val="true"/>
        </w:rPr>
        <w:t>לפי העולה מתסקיר נפגעת העבירה</w:t>
      </w:r>
      <w:r>
        <w:rPr>
          <w:rtl w:val="true"/>
        </w:rPr>
        <w:t xml:space="preserve">, </w:t>
      </w:r>
      <w:r>
        <w:rPr>
          <w:rtl w:val="true"/>
        </w:rPr>
        <w:t>המתלוננת לא שיתפה בסוד מערכת היחסים הפוגענית עם המערער מי מהאחראים בפנימייה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עוד עולה מהתסקיר שכאשר המתלוננת </w:t>
      </w:r>
      <w:r>
        <w:rPr>
          <w:rtl w:val="true"/>
        </w:rPr>
        <w:t>הייתה חוזרת לפנימייה ועל גופה היו סימני אלימות</w:t>
      </w:r>
      <w:r>
        <w:rPr>
          <w:rtl w:val="true"/>
        </w:rPr>
        <w:t xml:space="preserve">, </w:t>
      </w:r>
      <w:r>
        <w:rPr>
          <w:rtl w:val="true"/>
        </w:rPr>
        <w:t xml:space="preserve">היא </w:t>
      </w:r>
      <w:r>
        <w:rPr>
          <w:rtl w:val="true"/>
        </w:rPr>
        <w:t>הייתה ממציאה תירוצים שונים לחברותיה למקור החבלות</w:t>
      </w:r>
      <w:r>
        <w:rPr>
          <w:rtl w:val="true"/>
        </w:rPr>
        <w:t xml:space="preserve">, </w:t>
      </w:r>
      <w:r>
        <w:rPr>
          <w:rtl w:val="true"/>
        </w:rPr>
        <w:t xml:space="preserve">כדי שלא לחשוף את מקורם האמיתי ואת סודה </w:t>
      </w:r>
      <w:r>
        <w:rPr>
          <w:rtl w:val="true"/>
        </w:rPr>
        <w:t xml:space="preserve">של </w:t>
      </w:r>
      <w:r>
        <w:rPr>
          <w:rtl w:val="true"/>
        </w:rPr>
        <w:t>מערכת היחסים הפוגענית בה הייתה כלואה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כך גם לא מצאנו ממש בטענת המערער</w:t>
      </w:r>
      <w:r>
        <w:rPr>
          <w:rtl w:val="true"/>
        </w:rPr>
        <w:t xml:space="preserve">, </w:t>
      </w:r>
      <w:r>
        <w:rPr>
          <w:rtl w:val="true"/>
        </w:rPr>
        <w:t>לפיה סירובו של בית המשפט להורות על קבלת תסקיר מבחן בעניינו בסמוך</w:t>
      </w:r>
      <w:r>
        <w:rPr>
          <w:rtl w:val="true"/>
        </w:rPr>
        <w:t xml:space="preserve"> לישיבת</w:t>
      </w:r>
      <w:r>
        <w:rPr>
          <w:rtl w:val="true"/>
        </w:rPr>
        <w:t xml:space="preserve"> הטיעונים לעונש</w:t>
      </w:r>
      <w:r>
        <w:rPr>
          <w:rtl w:val="true"/>
        </w:rPr>
        <w:t xml:space="preserve">, </w:t>
      </w:r>
      <w:r>
        <w:rPr>
          <w:rtl w:val="true"/>
        </w:rPr>
        <w:t>מנע ממנו כלי שיכול היה לסייע לו בגזירת העונש</w:t>
      </w:r>
      <w:r>
        <w:rPr>
          <w:rtl w:val="true"/>
        </w:rPr>
        <w:t xml:space="preserve">. </w:t>
      </w:r>
      <w:r>
        <w:rPr>
          <w:rtl w:val="true"/>
        </w:rPr>
        <w:t xml:space="preserve">יצוין כי תחילה ביקשה באת כוח המערער </w:t>
      </w:r>
      <w:r>
        <w:rPr>
          <w:rtl w:val="true"/>
        </w:rPr>
        <w:t>להימנע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קבלת תסקיר מבחן</w:t>
      </w:r>
      <w:r>
        <w:rPr>
          <w:rtl w:val="true"/>
        </w:rPr>
        <w:t xml:space="preserve"> בעניינו של המערער</w:t>
      </w:r>
      <w:r>
        <w:rPr>
          <w:rtl w:val="true"/>
        </w:rPr>
        <w:t xml:space="preserve">, </w:t>
      </w:r>
      <w:r>
        <w:rPr>
          <w:rtl w:val="true"/>
        </w:rPr>
        <w:t>אך משזו שינ</w:t>
      </w:r>
      <w:r>
        <w:rPr>
          <w:rtl w:val="true"/>
        </w:rPr>
        <w:t>ת</w:t>
      </w:r>
      <w:r>
        <w:rPr>
          <w:rtl w:val="true"/>
        </w:rPr>
        <w:t>ה מעמדתה</w:t>
      </w:r>
      <w:r>
        <w:rPr>
          <w:rtl w:val="true"/>
        </w:rPr>
        <w:t xml:space="preserve">, </w:t>
      </w:r>
      <w:r>
        <w:rPr>
          <w:rtl w:val="true"/>
        </w:rPr>
        <w:t>הדבר נעשה כשבוע לפני ישיבת הטיעונים לעונש</w:t>
      </w:r>
      <w:r>
        <w:rPr>
          <w:rtl w:val="true"/>
        </w:rPr>
        <w:t xml:space="preserve">. </w:t>
      </w: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>הסביר בית המשפט קמא את סירובו להיעתר לבקש</w:t>
      </w:r>
      <w:r>
        <w:rPr>
          <w:rtl w:val="true"/>
        </w:rPr>
        <w:t>ה</w:t>
      </w:r>
      <w:r>
        <w:rPr>
          <w:rtl w:val="true"/>
        </w:rPr>
        <w:t>: "</w:t>
      </w:r>
      <w:r>
        <w:rPr>
          <w:rtl w:val="true"/>
        </w:rPr>
        <w:t>על הנאשם לתת את הדין על מעשיו החמורים</w:t>
      </w:r>
      <w:r>
        <w:rPr>
          <w:rtl w:val="true"/>
        </w:rPr>
        <w:t xml:space="preserve">, </w:t>
      </w:r>
      <w:r>
        <w:rPr>
          <w:rtl w:val="true"/>
        </w:rPr>
        <w:t>בדרך של ריצוי מאסר ממשי מאחורי סורג ובריח וכל דחייה נוספת אך תשדר מסר מוטעה לו</w:t>
      </w:r>
      <w:r>
        <w:rPr>
          <w:rtl w:val="true"/>
        </w:rPr>
        <w:t xml:space="preserve">, </w:t>
      </w:r>
      <w:r>
        <w:rPr>
          <w:rtl w:val="true"/>
        </w:rPr>
        <w:t>למתלוננת ולכלל הציבור</w:t>
      </w:r>
      <w:r>
        <w:rPr>
          <w:rtl w:val="true"/>
        </w:rPr>
        <w:t xml:space="preserve">, </w:t>
      </w:r>
      <w:r>
        <w:rPr>
          <w:rtl w:val="true"/>
        </w:rPr>
        <w:t>לפיה מדובר במעשים נסלחים אשר אין הכרח למצות בגינם את הדין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מבלי להמעיט מחשיבותו של תסקיר המבחן ככלי ה</w:t>
      </w:r>
      <w:r>
        <w:rPr>
          <w:rtl w:val="true"/>
        </w:rPr>
        <w:t>יכול ל</w:t>
      </w:r>
      <w:r>
        <w:rPr>
          <w:rtl w:val="true"/>
        </w:rPr>
        <w:t>סייע בידי בית המשפט בגזירת הדין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בעניינו של המערער אין מדובר בתסקיר חובה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הבקשה הוגשה בסמוך לישיבת הטיעונים לעונש</w:t>
      </w:r>
      <w:r>
        <w:rPr>
          <w:rtl w:val="true"/>
        </w:rPr>
        <w:t xml:space="preserve">, </w:t>
      </w:r>
      <w:r>
        <w:rPr>
          <w:rtl w:val="true"/>
        </w:rPr>
        <w:t xml:space="preserve">דבר </w:t>
      </w:r>
      <w:r>
        <w:rPr>
          <w:rtl w:val="true"/>
        </w:rPr>
        <w:t>שהיה גורם ל</w:t>
      </w:r>
      <w:r>
        <w:rPr>
          <w:rtl w:val="true"/>
        </w:rPr>
        <w:t>התארכות ההליך המשפטי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על כל המשתמע מכך </w:t>
      </w:r>
      <w:r>
        <w:rPr>
          <w:rtl w:val="true"/>
        </w:rPr>
        <w:t>מהעצמת המתח</w:t>
      </w:r>
      <w:r>
        <w:rPr>
          <w:rtl w:val="true"/>
        </w:rPr>
        <w:t xml:space="preserve"> הנפשי בו הייתה </w:t>
      </w:r>
      <w:r>
        <w:rPr>
          <w:rtl w:val="true"/>
        </w:rPr>
        <w:t>נתונה</w:t>
      </w:r>
      <w:r>
        <w:rPr>
          <w:rtl w:val="true"/>
        </w:rPr>
        <w:t xml:space="preserve"> המתלוננת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שהסכימה להסדר הטיעון למען סיומו המהיר של ההליך</w:t>
      </w:r>
      <w:r>
        <w:rPr>
          <w:rtl w:val="true"/>
        </w:rPr>
        <w:t xml:space="preserve">. </w:t>
      </w:r>
      <w:r>
        <w:rPr>
          <w:rtl w:val="true"/>
        </w:rPr>
        <w:t>והחשוב מכל</w:t>
      </w:r>
      <w:r>
        <w:rPr>
          <w:rtl w:val="true"/>
        </w:rPr>
        <w:t xml:space="preserve">, </w:t>
      </w:r>
      <w:r>
        <w:rPr>
          <w:rtl w:val="true"/>
        </w:rPr>
        <w:t>אמירתו הערכית הנכונה של בית המשפט ש</w:t>
      </w:r>
      <w:r>
        <w:rPr>
          <w:rtl w:val="true"/>
        </w:rPr>
        <w:t>בהינתן חומרת העבירות</w:t>
      </w:r>
      <w:r>
        <w:rPr>
          <w:rtl w:val="true"/>
        </w:rPr>
        <w:t xml:space="preserve">, </w:t>
      </w:r>
      <w:r>
        <w:rPr>
          <w:rtl w:val="true"/>
        </w:rPr>
        <w:t>מעשים כגון מעשי 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דינם 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>ולא נקיטה בהליך טיפולי שיקומי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כך גם לא מצאנו ממש בטענת המערער כי המתחם שנקבע הינו מתחם שגוי בהיותו סוטה ממדיניות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כאן המקום לשוב ולהזכיר</w:t>
      </w:r>
      <w:r>
        <w:rPr>
          <w:rtl w:val="true"/>
        </w:rPr>
        <w:t xml:space="preserve">, </w:t>
      </w:r>
      <w:r>
        <w:rPr>
          <w:rtl w:val="true"/>
        </w:rPr>
        <w:t xml:space="preserve">כי מדיניות הענישה הנוהגת הינה אך פרמטר אחד בלבד ממכלול שיקולים שבית המשפט שוקל בבואו לקבוע את מתחם העונש </w:t>
      </w:r>
      <w:r>
        <w:rPr>
          <w:rtl w:val="true"/>
        </w:rPr>
        <w:t>(</w:t>
      </w:r>
      <w:r>
        <w:rPr>
          <w:rtl w:val="true"/>
        </w:rPr>
        <w:t>ראו דברי הש</w:t>
      </w:r>
      <w:r>
        <w:rPr>
          <w:rtl w:val="true"/>
        </w:rPr>
        <w:t>ופטת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ארבל 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5.6.2013</w:t>
      </w:r>
      <w:r>
        <w:rPr>
          <w:rtl w:val="true"/>
        </w:rPr>
        <w:t xml:space="preserve">)). </w:t>
      </w:r>
      <w:r>
        <w:rPr>
          <w:rtl w:val="true"/>
        </w:rPr>
        <w:t xml:space="preserve">היתלותו של בא כוח המערער בעונש שהוטל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tl w:val="true"/>
        </w:rPr>
        <w:t xml:space="preserve"> אינה יכולה לסייע לו</w:t>
      </w:r>
      <w:r>
        <w:rPr>
          <w:rtl w:val="true"/>
        </w:rPr>
        <w:t xml:space="preserve">, </w:t>
      </w:r>
      <w:r>
        <w:rPr>
          <w:rtl w:val="true"/>
        </w:rPr>
        <w:t>לאור האבחנה שנעשתה במסגרת גזר דינו של בית המשפט קמא</w:t>
      </w:r>
      <w:r>
        <w:rPr>
          <w:rtl w:val="true"/>
        </w:rPr>
        <w:t xml:space="preserve"> בין עניינו של המערער לעניינו של </w:t>
      </w:r>
      <w:r>
        <w:rPr>
          <w:rFonts w:ascii="Miriam" w:hAnsi="Miriam" w:cs="Miriam"/>
          <w:szCs w:val="24"/>
          <w:rtl w:val="true"/>
        </w:rPr>
        <w:t>עמאש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פצע הנאשם את המתלוננת כשהוא נושא נשק קר </w:t>
      </w:r>
      <w:r>
        <w:rPr>
          <w:rtl w:val="true"/>
        </w:rPr>
        <w:t xml:space="preserve">[...] </w:t>
      </w:r>
      <w:r>
        <w:rPr>
          <w:rtl w:val="true"/>
        </w:rPr>
        <w:t>בנוסף בענייננו</w:t>
      </w:r>
      <w:r>
        <w:rPr>
          <w:rtl w:val="true"/>
        </w:rPr>
        <w:t xml:space="preserve">, </w:t>
      </w:r>
      <w:r>
        <w:rPr>
          <w:rtl w:val="true"/>
        </w:rPr>
        <w:t>הורשע הנאשם גם בעבירות איומים ובמעשים מגונים בכוח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לנאשם שם אין עבר פלילי ושירות המבחן המליץ להעמידו למבחן במשך שנה</w:t>
      </w:r>
      <w:r>
        <w:rPr>
          <w:rtl w:val="true"/>
        </w:rPr>
        <w:t xml:space="preserve">, </w:t>
      </w:r>
      <w:r>
        <w:rPr>
          <w:rtl w:val="true"/>
        </w:rPr>
        <w:t>זאת להבדיל מענייננו</w:t>
      </w:r>
      <w:r>
        <w:rPr>
          <w:rtl w:val="true"/>
        </w:rPr>
        <w:t xml:space="preserve">". </w:t>
      </w:r>
      <w:r>
        <w:rPr>
          <w:rtl w:val="true"/>
        </w:rPr>
        <w:t>נזכיר</w:t>
      </w:r>
      <w:r>
        <w:rPr>
          <w:rtl w:val="true"/>
        </w:rPr>
        <w:t xml:space="preserve"> כי מד</w:t>
      </w:r>
      <w:r>
        <w:rPr>
          <w:rtl w:val="true"/>
        </w:rPr>
        <w:t>י</w:t>
      </w:r>
      <w:r>
        <w:rPr>
          <w:rtl w:val="true"/>
        </w:rPr>
        <w:t>ניות ענישה</w:t>
      </w:r>
      <w:r>
        <w:rPr>
          <w:rtl w:val="true"/>
        </w:rPr>
        <w:t xml:space="preserve">, </w:t>
      </w:r>
      <w:r>
        <w:rPr>
          <w:rtl w:val="true"/>
        </w:rPr>
        <w:t>אינה נקבעת על פי פסק דין אחד</w:t>
      </w:r>
      <w:r>
        <w:rPr>
          <w:rtl w:val="true"/>
        </w:rPr>
        <w:t xml:space="preserve">, </w:t>
      </w:r>
      <w:r>
        <w:rPr>
          <w:rtl w:val="true"/>
        </w:rPr>
        <w:t>ולבטח לא פסק דין שניתן</w:t>
      </w:r>
      <w:r>
        <w:rPr>
          <w:rtl w:val="true"/>
        </w:rPr>
        <w:t xml:space="preserve"> שלא</w:t>
      </w:r>
      <w:r>
        <w:rPr>
          <w:rtl w:val="true"/>
        </w:rPr>
        <w:t xml:space="preserve"> על ידי בית משפט זה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לטעמנו</w:t>
      </w:r>
      <w:r>
        <w:rPr>
          <w:rtl w:val="true"/>
        </w:rPr>
        <w:t xml:space="preserve">, </w:t>
      </w:r>
      <w:r>
        <w:rPr>
          <w:rtl w:val="true"/>
        </w:rPr>
        <w:t>חסד נעשה עם המערער בקביעת המתחם</w:t>
      </w:r>
      <w:r>
        <w:rPr>
          <w:rtl w:val="true"/>
        </w:rPr>
        <w:t xml:space="preserve">, </w:t>
      </w:r>
      <w:r>
        <w:rPr>
          <w:rtl w:val="true"/>
        </w:rPr>
        <w:t>בהינתן נסיבות החומרא המרובות שאפפו את ביצוע העבירות</w:t>
      </w:r>
      <w:r>
        <w:rPr>
          <w:rtl w:val="true"/>
        </w:rPr>
        <w:t xml:space="preserve">. </w:t>
      </w:r>
      <w:r>
        <w:rPr>
          <w:rtl w:val="true"/>
        </w:rPr>
        <w:t>וחסד נעשה עימו משעונשו של המערער נקבע בסמוך לתחתית מתחם הענישה</w:t>
      </w:r>
      <w:r>
        <w:rPr>
          <w:rtl w:val="true"/>
        </w:rPr>
        <w:t xml:space="preserve">, </w:t>
      </w:r>
      <w:r>
        <w:rPr>
          <w:rtl w:val="true"/>
        </w:rPr>
        <w:t xml:space="preserve">בהינתן הנזק ההיקפי </w:t>
      </w:r>
      <w:r>
        <w:rPr>
          <w:rtl w:val="true"/>
        </w:rPr>
        <w:t xml:space="preserve">הקשה </w:t>
      </w:r>
      <w:r>
        <w:rPr>
          <w:rtl w:val="true"/>
        </w:rPr>
        <w:t>שהותירו מעשי המערער במתלוננת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החלטנו לדחות את 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18.10.2020</w:t>
      </w:r>
      <w:r>
        <w:rPr>
          <w:rtl w:val="true"/>
        </w:rPr>
        <w:t xml:space="preserve">). </w:t>
      </w:r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20038190</w:t>
      </w:r>
      <w:r>
        <w:rPr>
          <w:sz w:val="16"/>
          <w:rtl w:val="true"/>
        </w:rPr>
        <w:t>_</w:t>
      </w:r>
      <w:r>
        <w:rPr>
          <w:sz w:val="16"/>
        </w:rPr>
        <w:t>Q03.docx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54678313-3819/20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3819/20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ניסן וקנין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34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law/70301/335.b.1" TargetMode="External"/><Relationship Id="rId7" Type="http://schemas.openxmlformats.org/officeDocument/2006/relationships/hyperlink" Target="http://www.nevo.co.il/law/70301/346.a.1" TargetMode="External"/><Relationship Id="rId8" Type="http://schemas.openxmlformats.org/officeDocument/2006/relationships/hyperlink" Target="http://www.nevo.co.il/law/70301/348.c1" TargetMode="External"/><Relationship Id="rId9" Type="http://schemas.openxmlformats.org/officeDocument/2006/relationships/hyperlink" Target="http://www.nevo.co.il/law/70301/368b.a" TargetMode="External"/><Relationship Id="rId10" Type="http://schemas.openxmlformats.org/officeDocument/2006/relationships/hyperlink" Target="http://www.nevo.co.il/law/70347" TargetMode="External"/><Relationship Id="rId11" Type="http://schemas.openxmlformats.org/officeDocument/2006/relationships/hyperlink" Target="http://www.nevo.co.il/law/70301/348.c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6.a.1" TargetMode="External"/><Relationship Id="rId14" Type="http://schemas.openxmlformats.org/officeDocument/2006/relationships/hyperlink" Target="http://www.nevo.co.il/law/70301/334" TargetMode="External"/><Relationship Id="rId15" Type="http://schemas.openxmlformats.org/officeDocument/2006/relationships/hyperlink" Target="http://www.nevo.co.il/law/70301/335.a.1" TargetMode="External"/><Relationship Id="rId16" Type="http://schemas.openxmlformats.org/officeDocument/2006/relationships/hyperlink" Target="http://www.nevo.co.il/law/70301/335.b.1" TargetMode="External"/><Relationship Id="rId17" Type="http://schemas.openxmlformats.org/officeDocument/2006/relationships/hyperlink" Target="http://www.nevo.co.il/law/70301/368b.a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47" TargetMode="External"/><Relationship Id="rId20" Type="http://schemas.openxmlformats.org/officeDocument/2006/relationships/hyperlink" Target="http://www.nevo.co.il/case/4471255" TargetMode="External"/><Relationship Id="rId21" Type="http://schemas.openxmlformats.org/officeDocument/2006/relationships/hyperlink" Target="http://www.nevo.co.il/case/6473037" TargetMode="External"/><Relationship Id="rId22" Type="http://schemas.openxmlformats.org/officeDocument/2006/relationships/hyperlink" Target="http://supreme.court.gov.il/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2020-10-20T10:52:00Z</dcterms:created>
  <dc:creator>h4</dc:creator>
  <dc:description/>
  <cp:keywords/>
  <dc:language>en-IL</dc:language>
  <cp:lastModifiedBy>hofit</cp:lastModifiedBy>
  <cp:lastPrinted>2020-10-18T14:05:00Z</cp:lastPrinted>
  <dcterms:modified xsi:type="dcterms:W3CDTF">2020-10-20T10:52:00Z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ניסן וקנין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4471255;6473037</vt:lpwstr>
  </property>
  <property fmtid="{D5CDD505-2E9C-101B-9397-08002B2CF9AE}" pid="9" name="CITY">
    <vt:lpwstr/>
  </property>
  <property fmtid="{D5CDD505-2E9C-101B-9397-08002B2CF9AE}" pid="10" name="DATE">
    <vt:lpwstr>20201018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קרא;י' וילנר;א' חיות</vt:lpwstr>
  </property>
  <property fmtid="{D5CDD505-2E9C-101B-9397-08002B2CF9AE}" pid="14" name="LAWLISTTMP1">
    <vt:lpwstr>70301/348.c1;346.a.1;334;335.a.1;335.b.1;368b.a;192</vt:lpwstr>
  </property>
  <property fmtid="{D5CDD505-2E9C-101B-9397-08002B2CF9AE}" pid="15" name="LAWLISTTMP2">
    <vt:lpwstr>70347</vt:lpwstr>
  </property>
  <property fmtid="{D5CDD505-2E9C-101B-9397-08002B2CF9AE}" pid="16" name="LAWYER">
    <vt:lpwstr>קרן רוט;פוקרא פתחי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מדיניות ענישה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מין ואלימות כלפי בנות זוג</vt:lpwstr>
  </property>
  <property fmtid="{D5CDD505-2E9C-101B-9397-08002B2CF9AE}" pid="52" name="NOSE33">
    <vt:lpwstr>תסקיר שירות מבחן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8981;18688;13182</vt:lpwstr>
  </property>
  <property fmtid="{D5CDD505-2E9C-101B-9397-08002B2CF9AE}" pid="60" name="PADIDATE">
    <vt:lpwstr>20201020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3819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410120201018</vt:lpwstr>
  </property>
  <property fmtid="{D5CDD505-2E9C-101B-9397-08002B2CF9AE}" pid="70" name="TYPE_N_DATE">
    <vt:lpwstr>41020201018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