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3867/23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שנקור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18.4.2023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43697-09-22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  <w:r>
              <w:rPr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11.6.2023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אלפסה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הרבה של עבירות האלימות המבוצעות באמצעות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לפוטנציאל הנזק המשמעותי שעלול להיגרם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 החמרה של מדיניות הענישה הנוהגת לאור תפקידו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במיגור התופעה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באופן כללי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במיוחד בעניינו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תופעת הסכינאות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שיקולי 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בו נגזרו על המשיב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משיגה על קולת רכיב המאסר בפועל שהושת על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זו מדרכה של ערכאת הערעור להתערב בגזר דין שנקבע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חריגים שבהם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הוא סוטה באופן ניכר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הוא אחד מאותם מקרים חריגים המצדיקים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עונש המאסר שהוטל על המשיב חורג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במקרים רבים עמד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על החומרה היתרה שיש בעבירות אלימות חמורות המבוצעות באמצעות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המרחק התוצאתי בגדרן בין גרימת חבלה חמורה לבין גרימת תוצאה קטלנית הוא לעיתים קרובות עניין של מזל או ביש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מזל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הכירה הפסיקה בצורך להיאבק בסוג זה של עבירות באמצעות ענישה תקיפה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 החשיבות שבענישה מחמירה ומרתיעה נובעת לא רק מחומרת העבירה אלא אף מנסיבות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משקל לעובדה כי בין הקטטה לבין הדקירות חלפו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דקות – פרק זמן משמעותי דיו על מנת לספק למשיב שהות להירגע ולהרחיק עצמו ממקום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זאת בחר המשיב בהסלמת האירוע באופן קיצוני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התנפלות על המתלונן ודקירתו בסכין שהחזיק ברשותו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יש להתחשב בכך שהמשיב דקר את המתלונן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דקירה באזור הבטן שחייבה את המתלונן לעבור ניתוח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הייתה יכולה להביא לנזק חמור מזה שנגרם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כי לאחר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המתלונן ואדם נוסף ניסו לרדוף אחרי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האחרון ניסה לדקור פעם נוספת את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הצטברות נסיבות אלו מלמדת על החומרה הרבה של 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בשים לב לכך כי המתלונן הוא שיזם את ראשית העימות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 אינו חולק על חומרת המעשים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טוען כי מתחם העונש ההולם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עולה בקנה אחד עם מדיניות הענישה הנוהגת בכגון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סבור כי הגם שניתן למצוא פסיקה עם רמת ענישה דומה לזו שגזר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הראוי להעלות את הרף בעבירות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הרבה של עבירות האלימות המבוצעות באמצעות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לפוטנציאל הנזק המשמעותי שעלול להיגרם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 החמרה של מדיניות הענישה הנוהגת לאור תפקידו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במיגור התופעה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באופן כללי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במיוחד בעניינו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החשיבות שבענישה מחמירה ומרתיעה כאשר עסקינן בעבירות אלימות נלמדת אף מנסיבות 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גילו הצעיר הורשע המשיב בעברו ארבע פעמים בעבירות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בגינן ריצה שלוש תקופות מאסר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זאת נדמה כי הסנקציות שהוטלו על המשיב עד כה לא היוו עבורו גורם מרתיע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 בכדי המליץ שירות המבחן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 מוחשית הרתעתית של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ממש בטענת המדינה כי בגזירת עונשו של המשיב היה מקום להתחשב בשיקולי הרתעה אישית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בצדק ייחס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משקל להודאתו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לרקע האישי המורכב ממנו הגיע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בהינתן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לצורך בהדרגתיות בהחמרת הענישה במשפט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לקבל את הערעור באופן מדוד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ולהעמיד את עונשו של המשיב על </w:t>
      </w:r>
      <w:r>
        <w:rPr>
          <w:rFonts w:cs="Times New Roman" w:ascii="Times New Roman" w:hAnsi="Times New Roman"/>
          <w:spacing w:val="0"/>
          <w:szCs w:val="26"/>
        </w:rPr>
        <w:t>45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בהינתן הכלל כי אין זו מדרכה של ערכאת הערעור למצות את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 ערעור על 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18.4.2023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43697-09-22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 משפט קמא הרשיע את המשיב בעבירת חבלה חמורה בנסיבות מחמירות</w:t>
      </w:r>
      <w:r>
        <w:rPr>
          <w:rtl w:val="true"/>
        </w:rPr>
        <w:t xml:space="preserve">. </w:t>
      </w:r>
      <w:r>
        <w:rPr>
          <w:rtl w:val="true"/>
        </w:rPr>
        <w:t>בגין 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הושת על המשיב עונש מאסר של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שלושה מאסרים מותנים ותשלום פיצוי כספי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הערעור שלפנינו משיגה המערערת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על קולת רכיב המאסר בפועל שהושת על המשיב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13.9.2022</w:t>
      </w:r>
      <w:r>
        <w:rPr>
          <w:rtl w:val="true"/>
        </w:rPr>
        <w:t xml:space="preserve"> </w:t>
      </w:r>
      <w:r>
        <w:rPr>
          <w:rtl w:val="true"/>
        </w:rPr>
        <w:t xml:space="preserve">בשעות הלילה נכח המשיב בקיוסק בעיר תל אביב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הקיוסק</w:t>
      </w:r>
      <w:r>
        <w:rPr>
          <w:rtl w:val="true"/>
        </w:rPr>
        <w:t xml:space="preserve">) </w:t>
      </w:r>
      <w:r>
        <w:rPr>
          <w:rtl w:val="true"/>
        </w:rPr>
        <w:t>יחד עם אנשים נוספים</w:t>
      </w:r>
      <w:r>
        <w:rPr>
          <w:rtl w:val="true"/>
        </w:rPr>
        <w:t xml:space="preserve">, </w:t>
      </w:r>
      <w:r>
        <w:rPr>
          <w:rtl w:val="true"/>
        </w:rPr>
        <w:t>ובהם ד</w:t>
      </w:r>
      <w:r>
        <w:rPr>
          <w:rtl w:val="true"/>
        </w:rPr>
        <w:t>.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לאחר ששהו בקיוסק במשך כשעה</w:t>
      </w:r>
      <w:r>
        <w:rPr>
          <w:rtl w:val="true"/>
        </w:rPr>
        <w:t xml:space="preserve">, </w:t>
      </w:r>
      <w:r>
        <w:rPr>
          <w:rtl w:val="true"/>
        </w:rPr>
        <w:t>החל ויכוח בין המשיב לבין המתלונן</w:t>
      </w:r>
      <w:r>
        <w:rPr>
          <w:rtl w:val="true"/>
        </w:rPr>
        <w:t xml:space="preserve">, </w:t>
      </w:r>
      <w:r>
        <w:rPr>
          <w:rtl w:val="true"/>
        </w:rPr>
        <w:t>במהלכו החל האחרון לדחוף את המשיב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המשיב דחף בחזרה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והשניים המשיכו לדחוף אחד את השני עד שאדם אחר הפריד ביניהם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הקטטה</w:t>
      </w:r>
      <w:r>
        <w:rPr>
          <w:rtl w:val="true"/>
        </w:rPr>
        <w:t xml:space="preserve">). </w:t>
      </w:r>
      <w:r>
        <w:rPr>
          <w:rtl w:val="true"/>
        </w:rPr>
        <w:t>בעוד שהמתלונן חזר לשבת במקומו</w:t>
      </w:r>
      <w:r>
        <w:rPr>
          <w:rtl w:val="true"/>
        </w:rPr>
        <w:t xml:space="preserve">, </w:t>
      </w:r>
      <w:r>
        <w:rPr>
          <w:rtl w:val="true"/>
        </w:rPr>
        <w:t>המשיב יצא מהקיוסק וחזר אליו רק לאחר מספר דקות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בשלב זה המשיב החזיק על גופו סכין עם להב קבוע של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) </w:t>
      </w:r>
      <w:r>
        <w:rPr>
          <w:rtl w:val="true"/>
        </w:rPr>
        <w:t>וכן סכין יפנית</w:t>
      </w:r>
      <w:r>
        <w:rPr>
          <w:rtl w:val="true"/>
        </w:rPr>
        <w:t xml:space="preserve">. </w:t>
      </w:r>
      <w:r>
        <w:rPr>
          <w:rtl w:val="true"/>
        </w:rPr>
        <w:t>לאחר שחלפו כעשרים דקות נוספות יצא המתלונן מהקיוסק ועמד בסמוך אליו</w:t>
      </w:r>
      <w:r>
        <w:rPr>
          <w:rtl w:val="true"/>
        </w:rPr>
        <w:t xml:space="preserve">, </w:t>
      </w:r>
      <w:r>
        <w:rPr>
          <w:rtl w:val="true"/>
        </w:rPr>
        <w:t>ואילו המשיב נשאר במקומו בתוך הקיוסק</w:t>
      </w:r>
      <w:r>
        <w:rPr>
          <w:rtl w:val="true"/>
        </w:rPr>
        <w:t xml:space="preserve">. </w:t>
      </w:r>
      <w:r>
        <w:rPr>
          <w:rtl w:val="true"/>
        </w:rPr>
        <w:t>תוך מספר דקות בודדות</w:t>
      </w:r>
      <w:r>
        <w:rPr>
          <w:rtl w:val="true"/>
        </w:rPr>
        <w:t xml:space="preserve">, </w:t>
      </w:r>
      <w:r>
        <w:rPr>
          <w:rtl w:val="true"/>
        </w:rPr>
        <w:t>וכאשר גבו של המתלונן מופנה כלפי המשיב</w:t>
      </w:r>
      <w:r>
        <w:rPr>
          <w:rtl w:val="true"/>
        </w:rPr>
        <w:t xml:space="preserve">, </w:t>
      </w:r>
      <w:r>
        <w:rPr>
          <w:rtl w:val="true"/>
        </w:rPr>
        <w:t>הגיח המשיב מאחורי המתלונן ודקר אותו פעמיים בפלג גופו העליון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כאשר המתלונן הסתובב לעבר המשיב</w:t>
      </w:r>
      <w:r>
        <w:rPr>
          <w:rtl w:val="true"/>
        </w:rPr>
        <w:t xml:space="preserve">, </w:t>
      </w:r>
      <w:r>
        <w:rPr>
          <w:rtl w:val="true"/>
        </w:rPr>
        <w:t>דקר אותו המשיב דקירה נוספת</w:t>
      </w:r>
      <w:r>
        <w:rPr>
          <w:rtl w:val="true"/>
        </w:rPr>
        <w:t xml:space="preserve">, </w:t>
      </w:r>
      <w:r>
        <w:rPr>
          <w:rtl w:val="true"/>
        </w:rPr>
        <w:t>שלישית במספר</w:t>
      </w:r>
      <w:r>
        <w:rPr>
          <w:rtl w:val="true"/>
        </w:rPr>
        <w:t xml:space="preserve">, </w:t>
      </w:r>
      <w:r>
        <w:rPr>
          <w:rtl w:val="true"/>
        </w:rPr>
        <w:t xml:space="preserve">באזור הבטן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הדקירות</w:t>
      </w:r>
      <w:r>
        <w:rPr>
          <w:rtl w:val="true"/>
        </w:rPr>
        <w:t xml:space="preserve">).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החל המשיב לברוח מהקיוסק</w:t>
      </w:r>
      <w:r>
        <w:rPr>
          <w:rtl w:val="true"/>
        </w:rPr>
        <w:t xml:space="preserve">, </w:t>
      </w:r>
      <w:r>
        <w:rPr>
          <w:rtl w:val="true"/>
        </w:rPr>
        <w:t>עד אשר המתלונן ואדם נוסף ששהה בקיוסק תפסו אותו</w:t>
      </w:r>
      <w:r>
        <w:rPr>
          <w:rtl w:val="true"/>
        </w:rPr>
        <w:t xml:space="preserve">, </w:t>
      </w:r>
      <w:r>
        <w:rPr>
          <w:rtl w:val="true"/>
        </w:rPr>
        <w:t xml:space="preserve">הפילו אותו לרצפה ולקחו ממנו את הסכין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המרדף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במהלך המרדף ניסה המשיב לדקור את המתלונן פעם נוספת</w:t>
      </w:r>
      <w:r>
        <w:rPr>
          <w:rtl w:val="true"/>
        </w:rPr>
        <w:t xml:space="preserve">, </w:t>
      </w:r>
      <w:r>
        <w:rPr>
          <w:rtl w:val="true"/>
        </w:rPr>
        <w:t>ללא הצלחה</w:t>
      </w:r>
      <w:r>
        <w:rPr>
          <w:rtl w:val="true"/>
        </w:rPr>
        <w:t xml:space="preserve">. </w:t>
      </w:r>
      <w:r>
        <w:rPr>
          <w:rtl w:val="true"/>
        </w:rPr>
        <w:t>כתוצאה מהדקירות נגרמו למתלונן פצעים שטחיים בבית החזה</w:t>
      </w:r>
      <w:r>
        <w:rPr>
          <w:rtl w:val="true"/>
        </w:rPr>
        <w:t xml:space="preserve">, </w:t>
      </w:r>
      <w:r>
        <w:rPr>
          <w:rtl w:val="true"/>
        </w:rPr>
        <w:t>וכן פצע דקירה עמוק באזור הבטן</w:t>
      </w:r>
      <w:r>
        <w:rPr>
          <w:rtl w:val="true"/>
        </w:rPr>
        <w:t xml:space="preserve">, </w:t>
      </w:r>
      <w:r>
        <w:rPr>
          <w:rtl w:val="true"/>
        </w:rPr>
        <w:t>אשר אילץ אותו לעבור ניתוח בבטן תחת הרדמה מלאה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מעשים אלו</w:t>
      </w:r>
      <w:r>
        <w:rPr>
          <w:rtl w:val="true"/>
        </w:rPr>
        <w:t xml:space="preserve">, </w:t>
      </w:r>
      <w:r>
        <w:rPr>
          <w:rtl w:val="true"/>
        </w:rPr>
        <w:t>יוחסה למשיב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אשר הוגש ביום </w:t>
      </w:r>
      <w:r>
        <w:rPr/>
        <w:t>7.2.2023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 xml:space="preserve">עבירה של חבלה חמורה בנסיבות מחמירות לפי </w:t>
      </w:r>
      <w:hyperlink r:id="rId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7.2.2023</w:t>
      </w:r>
      <w:r>
        <w:rPr>
          <w:rtl w:val="true"/>
        </w:rPr>
        <w:t xml:space="preserve"> </w:t>
      </w:r>
      <w:r>
        <w:rPr>
          <w:rtl w:val="true"/>
        </w:rPr>
        <w:t>הרשיע בית משפט קמא את המשיב</w:t>
      </w:r>
      <w:r>
        <w:rPr>
          <w:rtl w:val="true"/>
        </w:rPr>
        <w:t xml:space="preserve">, </w:t>
      </w:r>
      <w:r>
        <w:rPr>
          <w:rtl w:val="true"/>
        </w:rPr>
        <w:t>על סמך הודאתו</w:t>
      </w:r>
      <w:r>
        <w:rPr>
          <w:rtl w:val="true"/>
        </w:rPr>
        <w:t xml:space="preserve">, </w:t>
      </w:r>
      <w:r>
        <w:rPr>
          <w:rtl w:val="true"/>
        </w:rPr>
        <w:t>בעבירה המיוחסת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וכן הורה על הגשת תסקיר שירות מבחן בעניינו</w:t>
      </w:r>
      <w:r>
        <w:rPr>
          <w:rtl w:val="true"/>
        </w:rPr>
        <w:t xml:space="preserve">. </w:t>
      </w:r>
      <w:r>
        <w:rPr>
          <w:rtl w:val="true"/>
        </w:rPr>
        <w:t>כפי שיפורט להלן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 xml:space="preserve">אשר הוגש ביום </w:t>
      </w:r>
      <w:r>
        <w:rPr/>
        <w:t>3.4.2023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 xml:space="preserve">), </w:t>
      </w:r>
      <w:r>
        <w:rPr>
          <w:rtl w:val="true"/>
        </w:rPr>
        <w:t>ניתן ללמוד על נסיבות החיים המורכבות של המשיב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המשיב הוא בן להורים אשר עלו מאתיופיה לישראל לפני כארבעה עשורים</w:t>
      </w:r>
      <w:r>
        <w:rPr>
          <w:rtl w:val="true"/>
        </w:rPr>
        <w:t xml:space="preserve">, </w:t>
      </w:r>
      <w:r>
        <w:rPr>
          <w:rtl w:val="true"/>
        </w:rPr>
        <w:t>ואביו מוכר כנכה על רקע תאונת עבודה</w:t>
      </w:r>
      <w:r>
        <w:rPr>
          <w:rtl w:val="true"/>
        </w:rPr>
        <w:t xml:space="preserve">. </w:t>
      </w:r>
      <w:r>
        <w:rPr>
          <w:rtl w:val="true"/>
        </w:rPr>
        <w:t>עוד מתואר בתסקיר כי המשיב סובל מזה שנים מהתמכרויות לחומרים ממכרים מסוגים שונים</w:t>
      </w:r>
      <w:r>
        <w:rPr>
          <w:rtl w:val="true"/>
        </w:rPr>
        <w:t xml:space="preserve">, </w:t>
      </w:r>
      <w:r>
        <w:rPr>
          <w:rtl w:val="true"/>
        </w:rPr>
        <w:t>וכי עד למעצרו לא לקח חלק בהליך טיפולי המיועד לסייע לו להתמודד עם התמכרויות אלה</w:t>
      </w:r>
      <w:r>
        <w:rPr>
          <w:rtl w:val="true"/>
        </w:rPr>
        <w:t xml:space="preserve">. </w:t>
      </w:r>
      <w:r>
        <w:rPr>
          <w:rtl w:val="true"/>
        </w:rPr>
        <w:t>כן עולה מהתסקיר כי המשיב חווה קשיי הסתגלות וקבלת סמכות</w:t>
      </w:r>
      <w:r>
        <w:rPr>
          <w:rtl w:val="true"/>
        </w:rPr>
        <w:t xml:space="preserve">, </w:t>
      </w:r>
      <w:r>
        <w:rPr>
          <w:rtl w:val="true"/>
        </w:rPr>
        <w:t>ואף מתקשה לעיתים לשלוט ברגשותיו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המשיב נוטה להתנהגות אלימה</w:t>
      </w:r>
      <w:r>
        <w:rPr>
          <w:rtl w:val="true"/>
        </w:rPr>
        <w:t xml:space="preserve">, </w:t>
      </w:r>
      <w:r>
        <w:rPr>
          <w:rtl w:val="true"/>
        </w:rPr>
        <w:t>וכפי שעולה גם מהרשעותיו הקודמות</w:t>
      </w:r>
      <w:r>
        <w:rPr>
          <w:rtl w:val="true"/>
        </w:rPr>
        <w:t xml:space="preserve">, </w:t>
      </w:r>
      <w:r>
        <w:rPr>
          <w:rtl w:val="true"/>
        </w:rPr>
        <w:t>אלימות זו מופנית לעיתים כלפי זרים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מציין התסקיר כי סנקציות משפטיות קודמות אשר הוטלו על המשיב</w:t>
      </w:r>
      <w:r>
        <w:rPr>
          <w:rtl w:val="true"/>
        </w:rPr>
        <w:t xml:space="preserve">, </w:t>
      </w:r>
      <w:r>
        <w:rPr>
          <w:rtl w:val="true"/>
        </w:rPr>
        <w:t>לרבות עונשי מאסר בפועל</w:t>
      </w:r>
      <w:r>
        <w:rPr>
          <w:rtl w:val="true"/>
        </w:rPr>
        <w:t xml:space="preserve">, </w:t>
      </w:r>
      <w:r>
        <w:rPr>
          <w:rtl w:val="true"/>
        </w:rPr>
        <w:t>לא היוו עבורו גורם מרתיע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המליץ שירות המבחן על ענישה מוחשית ומרתיעה בדמות מאסר בפועל</w:t>
      </w:r>
      <w:r>
        <w:rPr>
          <w:rtl w:val="true"/>
        </w:rPr>
        <w:t xml:space="preserve">, </w:t>
      </w:r>
      <w:r>
        <w:rPr>
          <w:rtl w:val="true"/>
        </w:rPr>
        <w:t>תוך שילובו של המשיב במהלך מאסרו בטיפול בהתמכרויות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18.4.2023</w:t>
      </w:r>
      <w:r>
        <w:rPr>
          <w:rtl w:val="true"/>
        </w:rPr>
        <w:t xml:space="preserve"> </w:t>
      </w:r>
      <w:r>
        <w:rPr>
          <w:rtl w:val="true"/>
        </w:rPr>
        <w:t>גזר בית משפט קמא את דינו של המשיב</w:t>
      </w:r>
      <w:r>
        <w:rPr>
          <w:rtl w:val="true"/>
        </w:rPr>
        <w:t xml:space="preserve">. </w:t>
      </w:r>
      <w:r>
        <w:rPr>
          <w:rtl w:val="true"/>
        </w:rPr>
        <w:t xml:space="preserve">בפתח גזר דינו עמד בית המשפט המחוזי על הערכים המוגנים שנפגעו כתוצאה מהעבירה שבה הורשע המשיב </w:t>
      </w:r>
      <w:r>
        <w:rPr>
          <w:rtl w:val="true"/>
        </w:rPr>
        <w:t>–</w:t>
      </w:r>
      <w:r>
        <w:rPr>
          <w:rtl w:val="true"/>
        </w:rPr>
        <w:t xml:space="preserve"> שמירה על שלמות הגוף והצורך לאפשר לציבור סביבת חיים בטוחה </w:t>
      </w:r>
      <w:r>
        <w:rPr>
          <w:rtl w:val="true"/>
        </w:rPr>
        <w:t>–</w:t>
      </w:r>
      <w:r>
        <w:rPr>
          <w:rtl w:val="true"/>
        </w:rPr>
        <w:t xml:space="preserve">  וציין</w:t>
      </w:r>
      <w:r>
        <w:rPr>
          <w:rtl w:val="true"/>
        </w:rPr>
        <w:t xml:space="preserve">, </w:t>
      </w:r>
      <w:r>
        <w:rPr>
          <w:rtl w:val="true"/>
        </w:rPr>
        <w:t>כי נסיבות האירוע מלמדות על כך שעצמת הפגיעה בערכים אלו הייתה בינונית</w:t>
      </w:r>
      <w:r>
        <w:rPr>
          <w:rtl w:val="true"/>
        </w:rPr>
        <w:t xml:space="preserve">. </w:t>
      </w:r>
      <w:r>
        <w:rPr>
          <w:rtl w:val="true"/>
        </w:rPr>
        <w:t>לעניין זה התייחס בית המשפט המחוזי לעובדה כי המתלונן הוא זה שדחף תחילה את המשיב</w:t>
      </w:r>
      <w:r>
        <w:rPr>
          <w:rtl w:val="true"/>
        </w:rPr>
        <w:t xml:space="preserve">; </w:t>
      </w:r>
      <w:r>
        <w:rPr>
          <w:rtl w:val="true"/>
        </w:rPr>
        <w:t>למשך הזמן שעבר בין הקטטה לבין הדקירות</w:t>
      </w:r>
      <w:r>
        <w:rPr>
          <w:rtl w:val="true"/>
        </w:rPr>
        <w:t xml:space="preserve">, </w:t>
      </w:r>
      <w:r>
        <w:rPr>
          <w:rtl w:val="true"/>
        </w:rPr>
        <w:t>שכן ניתן היה לצפות כי חלוף הזמן יאפשר למשיב להירגע</w:t>
      </w:r>
      <w:r>
        <w:rPr>
          <w:rtl w:val="true"/>
        </w:rPr>
        <w:t xml:space="preserve">; </w:t>
      </w:r>
      <w:r>
        <w:rPr>
          <w:rtl w:val="true"/>
        </w:rPr>
        <w:t>לעובדה כי המשיב דקר את המתלונן דקירות רבות</w:t>
      </w:r>
      <w:r>
        <w:rPr>
          <w:rtl w:val="true"/>
        </w:rPr>
        <w:t xml:space="preserve">; </w:t>
      </w:r>
      <w:r>
        <w:rPr>
          <w:rtl w:val="true"/>
        </w:rPr>
        <w:t>למיקום הדקירות</w:t>
      </w:r>
      <w:r>
        <w:rPr>
          <w:rtl w:val="true"/>
        </w:rPr>
        <w:t xml:space="preserve">, </w:t>
      </w:r>
      <w:r>
        <w:rPr>
          <w:rtl w:val="true"/>
        </w:rPr>
        <w:t>ובפרט לדקירה באזור הבטן אשר חייבה את המתלונן לעבור ניתוח</w:t>
      </w:r>
      <w:r>
        <w:rPr>
          <w:rtl w:val="true"/>
        </w:rPr>
        <w:t xml:space="preserve">; </w:t>
      </w:r>
      <w:r>
        <w:rPr>
          <w:rtl w:val="true"/>
        </w:rPr>
        <w:t>ולהתנהלות הנאשם לאחר האירוע</w:t>
      </w:r>
      <w:r>
        <w:rPr>
          <w:rtl w:val="true"/>
        </w:rPr>
        <w:t xml:space="preserve">. </w:t>
      </w:r>
      <w:r>
        <w:rPr>
          <w:rtl w:val="true"/>
        </w:rPr>
        <w:t>בקביעת עצמת הפגיעה אף ייחס בית משפט קמא משקל לכך שלמרות שלא נגרם למתלונן נזק קבוע הכולל הגבלה תפקודית</w:t>
      </w:r>
      <w:r>
        <w:rPr>
          <w:rtl w:val="true"/>
        </w:rPr>
        <w:t xml:space="preserve">, </w:t>
      </w:r>
      <w:r>
        <w:rPr>
          <w:rtl w:val="true"/>
        </w:rPr>
        <w:t>הוא עדיין סובל מכאבים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ועל רקע 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הענישה ההולם את מעשיו של המשיב על 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 מאסר על תנאי וקנס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למיקום העונש בתוך המתחם</w:t>
      </w:r>
      <w:r>
        <w:rPr>
          <w:rtl w:val="true"/>
        </w:rPr>
        <w:t xml:space="preserve">, </w:t>
      </w:r>
      <w:r>
        <w:rPr>
          <w:rtl w:val="true"/>
        </w:rPr>
        <w:t>התייחס בית המשפט לשתי קבוצות של שיקולים נוגדים</w:t>
      </w:r>
      <w:r>
        <w:rPr>
          <w:rtl w:val="true"/>
        </w:rPr>
        <w:t xml:space="preserve">. </w:t>
      </w:r>
      <w:r>
        <w:rPr>
          <w:rtl w:val="true"/>
        </w:rPr>
        <w:t>מן העבר האחד</w:t>
      </w:r>
      <w:r>
        <w:rPr>
          <w:rtl w:val="true"/>
        </w:rPr>
        <w:t xml:space="preserve">, </w:t>
      </w:r>
      <w:r>
        <w:rPr>
          <w:rtl w:val="true"/>
        </w:rPr>
        <w:t>ציין בית משפט קמא כי נסיבות חייו המורכבות של המשיב מצדיקות התחשבות מסוימת</w:t>
      </w:r>
      <w:r>
        <w:rPr>
          <w:rtl w:val="true"/>
        </w:rPr>
        <w:t xml:space="preserve">, </w:t>
      </w:r>
      <w:r>
        <w:rPr>
          <w:rtl w:val="true"/>
        </w:rPr>
        <w:t>וכך גם יש לזקוף לזכותו את הודאתו</w:t>
      </w:r>
      <w:r>
        <w:rPr>
          <w:rtl w:val="true"/>
        </w:rPr>
        <w:t xml:space="preserve">, </w:t>
      </w:r>
      <w:r>
        <w:rPr>
          <w:rtl w:val="true"/>
        </w:rPr>
        <w:t>אשר ניתנה אף שלא הושגה הסכמה לעניין העונש</w:t>
      </w:r>
      <w:r>
        <w:rPr>
          <w:rtl w:val="true"/>
        </w:rPr>
        <w:t xml:space="preserve">, </w:t>
      </w:r>
      <w:r>
        <w:rPr>
          <w:rtl w:val="true"/>
        </w:rPr>
        <w:t>ואת נכונותו להשתלב בהליכי טיפול במהלך מאסרו</w:t>
      </w:r>
      <w:r>
        <w:rPr>
          <w:rtl w:val="true"/>
        </w:rPr>
        <w:t xml:space="preserve">. </w:t>
      </w:r>
      <w:r>
        <w:rPr>
          <w:rtl w:val="true"/>
        </w:rPr>
        <w:t>ואילו מן העבר השני</w:t>
      </w:r>
      <w:r>
        <w:rPr>
          <w:rtl w:val="true"/>
        </w:rPr>
        <w:t xml:space="preserve">, </w:t>
      </w:r>
      <w:r>
        <w:rPr>
          <w:rtl w:val="true"/>
        </w:rPr>
        <w:t>סבר בית המשפט כי עברו הפלילי של המשיב</w:t>
      </w:r>
      <w:r>
        <w:rPr>
          <w:rtl w:val="true"/>
        </w:rPr>
        <w:t xml:space="preserve">, </w:t>
      </w:r>
      <w:r>
        <w:rPr>
          <w:rtl w:val="true"/>
        </w:rPr>
        <w:t>הכולל ארבע הרשעות בעבירות רכוש ואלימות</w:t>
      </w:r>
      <w:r>
        <w:rPr>
          <w:rtl w:val="true"/>
        </w:rPr>
        <w:t xml:space="preserve">, </w:t>
      </w:r>
      <w:r>
        <w:rPr>
          <w:rtl w:val="true"/>
        </w:rPr>
        <w:t>וכן ריצוי שלוש תקופות מאסר בגינן</w:t>
      </w:r>
      <w:r>
        <w:rPr>
          <w:rtl w:val="true"/>
        </w:rPr>
        <w:t xml:space="preserve">, </w:t>
      </w:r>
      <w:r>
        <w:rPr>
          <w:rtl w:val="true"/>
        </w:rPr>
        <w:t>אינו מאפשר למקם את עונשו בנקודה הקרובה לרף התחתון של המתחם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נגזרו על המשיב העונשים הבאים</w:t>
      </w:r>
      <w:r>
        <w:rPr>
          <w:rtl w:val="true"/>
        </w:rPr>
        <w:t xml:space="preserve">: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לצד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 בגין עבירות אלימות נגד הגוף מסוג פשע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בגין עבירות אלימות נגד הגוף מסוג עוון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בגין עבירה של החזקת סכין</w:t>
      </w:r>
      <w:r>
        <w:rPr>
          <w:rtl w:val="true"/>
        </w:rPr>
        <w:t xml:space="preserve">, </w:t>
      </w:r>
      <w:r>
        <w:rPr>
          <w:rtl w:val="true"/>
        </w:rPr>
        <w:t xml:space="preserve">וכן פיצוי בסך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 שהגישה טוענת המדינה כי מתחם העונש ההולם אשר נקבע על ידי בית משפט קמא הוא נמוך מדי</w:t>
      </w:r>
      <w:r>
        <w:rPr>
          <w:rtl w:val="true"/>
        </w:rPr>
        <w:t xml:space="preserve">, </w:t>
      </w:r>
      <w:r>
        <w:rPr>
          <w:rtl w:val="true"/>
        </w:rPr>
        <w:t>שכן הוא אינו עולה בקנה אחד עם הגישה המחמירה הנהוגה בפסיקת בית המשפט ביחס לעבירות אלימות בכלל</w:t>
      </w:r>
      <w:r>
        <w:rPr>
          <w:rtl w:val="true"/>
        </w:rPr>
        <w:t xml:space="preserve">, </w:t>
      </w:r>
      <w:r>
        <w:rPr>
          <w:rtl w:val="true"/>
        </w:rPr>
        <w:t>וביחס לתופעת השימוש בסכינים במהלך עימותים בפרט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לגישתה של המדינה המתחם שנקבע על ידי בית המשפט המחוזי אף אינו הולם את הנסיבות המיוחדות של המקרה הנדון</w:t>
      </w:r>
      <w:r>
        <w:rPr>
          <w:rtl w:val="true"/>
        </w:rPr>
        <w:t xml:space="preserve">. </w:t>
      </w:r>
      <w:r>
        <w:rPr>
          <w:rtl w:val="true"/>
        </w:rPr>
        <w:t>נטען כי היה ראוי לייחס משקל משמעותי יותר לעובדה שבין הקטטה לבין אירוע הדקירה חלפו כעשרים דקות</w:t>
      </w:r>
      <w:r>
        <w:rPr>
          <w:rtl w:val="true"/>
        </w:rPr>
        <w:t xml:space="preserve">, </w:t>
      </w:r>
      <w:r>
        <w:rPr>
          <w:rtl w:val="true"/>
        </w:rPr>
        <w:t>פרק זמן המלמד</w:t>
      </w:r>
      <w:r>
        <w:rPr>
          <w:rtl w:val="true"/>
        </w:rPr>
        <w:t xml:space="preserve">, </w:t>
      </w:r>
      <w:r>
        <w:rPr>
          <w:rtl w:val="true"/>
        </w:rPr>
        <w:t>לעמדת המדינה</w:t>
      </w:r>
      <w:r>
        <w:rPr>
          <w:rtl w:val="true"/>
        </w:rPr>
        <w:t xml:space="preserve">, </w:t>
      </w:r>
      <w:r>
        <w:rPr>
          <w:rtl w:val="true"/>
        </w:rPr>
        <w:t>על כך שמעשיו של המשיב חמורים יותר</w:t>
      </w:r>
      <w:r>
        <w:rPr>
          <w:rtl w:val="true"/>
        </w:rPr>
        <w:t xml:space="preserve">, </w:t>
      </w:r>
      <w:r>
        <w:rPr>
          <w:rtl w:val="true"/>
        </w:rPr>
        <w:t>שכן אלו לא בוצעו ב</w:t>
      </w:r>
      <w:r>
        <w:rPr>
          <w:rtl w:val="true"/>
        </w:rPr>
        <w:t>"</w:t>
      </w:r>
      <w:r>
        <w:rPr>
          <w:rtl w:val="true"/>
        </w:rPr>
        <w:t>להט הרגע</w:t>
      </w:r>
      <w:r>
        <w:rPr>
          <w:rtl w:val="true"/>
        </w:rPr>
        <w:t xml:space="preserve">" </w:t>
      </w:r>
      <w:r>
        <w:rPr>
          <w:rtl w:val="true"/>
        </w:rPr>
        <w:t>אלא לאחר חשיבה מקדימה ותכנון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המדינה סבורה כי הפציעה החמורה שנגרמה למתלונן בפועל</w:t>
      </w:r>
      <w:r>
        <w:rPr>
          <w:rtl w:val="true"/>
        </w:rPr>
        <w:t xml:space="preserve">, </w:t>
      </w:r>
      <w:r>
        <w:rPr>
          <w:rtl w:val="true"/>
        </w:rPr>
        <w:t>וכן הנזק הפוטנציאלי שהיה עלול להיגרם בשים לב למיקום הדקירות</w:t>
      </w:r>
      <w:r>
        <w:rPr>
          <w:rtl w:val="true"/>
        </w:rPr>
        <w:t xml:space="preserve">, </w:t>
      </w:r>
      <w:r>
        <w:rPr>
          <w:rtl w:val="true"/>
        </w:rPr>
        <w:t>מצדיקים קביעה של מתחם ענישה גבוה 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2019-2015</w:t>
      </w:r>
      <w:r>
        <w:rPr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וההתמכרות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 טוען כי אין מקום להתערב בגזר הדין של בית משפט קמא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מתחם העונש ההולם אשר נקבע על ידי בית המשפט עולה בקנה אחד עם מדיניות הענישה הנוהגת ביחס למקרים דומים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לא נפלה שגיאה במיקומו של המשיב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שהמשיב נטל אחריות בהזדמנות הראשונה שניתנה לו</w:t>
      </w:r>
      <w:r>
        <w:rPr>
          <w:rtl w:val="true"/>
        </w:rPr>
        <w:t xml:space="preserve">, </w:t>
      </w:r>
      <w:r>
        <w:rPr>
          <w:rtl w:val="true"/>
        </w:rPr>
        <w:t>מבלי שזכה לטובת הנאה בעניין העונש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בדיון שהתקיים לפנינו ציין בא</w:t>
      </w:r>
      <w:r>
        <w:rPr>
          <w:rtl w:val="true"/>
        </w:rPr>
        <w:t>-</w:t>
      </w:r>
      <w:r>
        <w:rPr>
          <w:rtl w:val="true"/>
        </w:rPr>
        <w:t>כוח המשיב כי נסיבות חייו המורכבות של המשיב</w:t>
      </w:r>
      <w:r>
        <w:rPr>
          <w:rtl w:val="true"/>
        </w:rPr>
        <w:t xml:space="preserve">, </w:t>
      </w:r>
      <w:r>
        <w:rPr>
          <w:rtl w:val="true"/>
        </w:rPr>
        <w:t>וכן העובדה שהוא צפוי במסגרת תקופת מאסרו לקחת חלק בהליך טיפולי</w:t>
      </w:r>
      <w:r>
        <w:rPr>
          <w:rtl w:val="true"/>
        </w:rPr>
        <w:t xml:space="preserve">, </w:t>
      </w:r>
      <w:r>
        <w:rPr>
          <w:rtl w:val="true"/>
        </w:rPr>
        <w:t>מצדיקות אף הן את דחיית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לאחר שעיינתי בנימוקי הערעור ושמעתי את טענות הצדדים בדיון שהתקיים לפנינו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הגעתי לכלל מסקנה כי דין הערעור להתקבל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וכך אציע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לחבריי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שנע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זו מדרכה של ערכאת הערעור להתערב בגזר דין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למעט במקרים חריגים שבהם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הוא סוטה באופן ניכר מהענישה המקובלת במקרים דומים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גנאים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אני סבור כי המקרה שלפנינו הוא אחד מאותם מקרים חריגים המצדיקים את התערבותה של ערכאת הערעור</w:t>
      </w:r>
      <w:r>
        <w:rPr>
          <w:rtl w:val="true"/>
        </w:rPr>
        <w:t xml:space="preserve">, </w:t>
      </w:r>
      <w:r>
        <w:rPr>
          <w:rtl w:val="true"/>
        </w:rPr>
        <w:t>וזאת שכן עונש המאסר שהוטל על המשיב חורג ממדיניות הענישה הראויה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במקרים רבים עמד בית המשפט על החומרה היתרה שיש בעבירות אלימות חמורות המבוצעות באמצעות סכין</w:t>
      </w:r>
      <w:r>
        <w:rPr>
          <w:rtl w:val="true"/>
        </w:rPr>
        <w:t xml:space="preserve">, </w:t>
      </w:r>
      <w:r>
        <w:rPr>
          <w:rtl w:val="true"/>
        </w:rPr>
        <w:t>באשר המרחק התוצאתי בגדרן בין גרימת חבלה חמורה לבין גרימת תוצאה קטלנית הוא לעיתים קרובות עניין של מזל או ביש</w:t>
      </w:r>
      <w:r>
        <w:rPr>
          <w:rtl w:val="true"/>
        </w:rPr>
        <w:t>-</w:t>
      </w:r>
      <w:r>
        <w:rPr>
          <w:rtl w:val="true"/>
        </w:rPr>
        <w:t>מזל בלבד</w:t>
      </w:r>
      <w:r>
        <w:rPr>
          <w:rtl w:val="true"/>
        </w:rPr>
        <w:t xml:space="preserve">. </w:t>
      </w:r>
      <w:r>
        <w:rPr>
          <w:rtl w:val="true"/>
        </w:rPr>
        <w:t>על רקע זאת</w:t>
      </w:r>
      <w:r>
        <w:rPr>
          <w:rtl w:val="true"/>
        </w:rPr>
        <w:t xml:space="preserve">, </w:t>
      </w:r>
      <w:r>
        <w:rPr>
          <w:rtl w:val="true"/>
        </w:rPr>
        <w:t xml:space="preserve">הכירה הפסיקה בצורך להיאבק בסוג זה של עבירות באמצעות ענישה תקיפה ומרתיעה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7.6.2022</w:t>
      </w:r>
      <w:r>
        <w:rPr>
          <w:rtl w:val="true"/>
        </w:rPr>
        <w:t xml:space="preserve">)). </w:t>
      </w:r>
      <w:r>
        <w:rPr>
          <w:rtl w:val="true"/>
        </w:rPr>
        <w:t xml:space="preserve">יפים לעניין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23.6.2019</w:t>
      </w:r>
      <w:r>
        <w:rPr>
          <w:rtl w:val="true"/>
        </w:rPr>
        <w:t>):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סכינאות</w:t>
      </w:r>
      <w:r>
        <w:rPr>
          <w:rtl w:val="true"/>
        </w:rPr>
        <w:t xml:space="preserve">'.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בקרבנו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מכפיל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';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7682/18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4.4.2019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עלקם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החשיבות שבענישה מחמירה ומרתיעה נובעת לא רק מחומרת העבירה אלא אף מנסיבות ביצועה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יש ליתן משקל לעובדה כי בין הקטטה לבין הדקירות חלפו כעשרים דקות </w:t>
      </w:r>
      <w:r>
        <w:rPr>
          <w:rtl w:val="true"/>
        </w:rPr>
        <w:t>–</w:t>
      </w:r>
      <w:r>
        <w:rPr>
          <w:rtl w:val="true"/>
        </w:rPr>
        <w:t xml:space="preserve"> פרק זמן משמעותי דיו על מנת לספק למשיב שהות להירגע</w:t>
      </w:r>
      <w:r>
        <w:rPr>
          <w:rtl w:val="true"/>
        </w:rPr>
        <w:t xml:space="preserve">, </w:t>
      </w:r>
      <w:r>
        <w:rPr>
          <w:rtl w:val="true"/>
        </w:rPr>
        <w:t>לעזוב את הקיוסק ולהרחיק את עצמו ממקום האירוע</w:t>
      </w:r>
      <w:r>
        <w:rPr>
          <w:rtl w:val="true"/>
        </w:rPr>
        <w:t xml:space="preserve">. </w:t>
      </w:r>
      <w:r>
        <w:rPr>
          <w:rtl w:val="true"/>
        </w:rPr>
        <w:t>חלף זאת בחר המשיב בהסלמת האירוע באופן קיצוני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התנפלות על המתלונן ודקירתו בסכין שהחזיק ברשותו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17.5.2015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26.8.2021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עוד יש להתחשב בכך שהמשיב דקר את המתלונן שלוש פעמים</w:t>
      </w:r>
      <w:r>
        <w:rPr>
          <w:rtl w:val="true"/>
        </w:rPr>
        <w:t xml:space="preserve">, </w:t>
      </w:r>
      <w:r>
        <w:rPr>
          <w:rtl w:val="true"/>
        </w:rPr>
        <w:t>לרבות דקירה באזור הבטן אשר חייבה את המתלונן לעבור ניתוח</w:t>
      </w:r>
      <w:r>
        <w:rPr>
          <w:rtl w:val="true"/>
        </w:rPr>
        <w:t xml:space="preserve">, </w:t>
      </w:r>
      <w:r>
        <w:rPr>
          <w:rtl w:val="true"/>
        </w:rPr>
        <w:t>ואף הייתה יכולה להביא לנזק חמור מזה שנגרם בפועל</w:t>
      </w:r>
      <w:r>
        <w:rPr>
          <w:rtl w:val="true"/>
        </w:rPr>
        <w:t xml:space="preserve">; </w:t>
      </w:r>
      <w:r>
        <w:rPr>
          <w:rtl w:val="true"/>
        </w:rPr>
        <w:t>ובכך כי לאחר האירוע</w:t>
      </w:r>
      <w:r>
        <w:rPr>
          <w:rtl w:val="true"/>
        </w:rPr>
        <w:t xml:space="preserve">, </w:t>
      </w:r>
      <w:r>
        <w:rPr>
          <w:rtl w:val="true"/>
        </w:rPr>
        <w:t>כאשר המתלונן ואדם נוסף ניסו לרדוף אחרי המשיב</w:t>
      </w:r>
      <w:r>
        <w:rPr>
          <w:rtl w:val="true"/>
        </w:rPr>
        <w:t xml:space="preserve">, </w:t>
      </w:r>
      <w:r>
        <w:rPr>
          <w:rtl w:val="true"/>
        </w:rPr>
        <w:t>האחרון ניסה לדקור פעם נוספת את המתלונן</w:t>
      </w:r>
      <w:r>
        <w:rPr>
          <w:rtl w:val="true"/>
        </w:rPr>
        <w:t xml:space="preserve">. </w:t>
      </w:r>
      <w:r>
        <w:rPr>
          <w:rtl w:val="true"/>
        </w:rPr>
        <w:t>הצטברותן של נסיבות אלו מלמדת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על החומרה הרבה של המעשים אשר ביצע המשיב</w:t>
      </w:r>
      <w:r>
        <w:rPr>
          <w:rtl w:val="true"/>
        </w:rPr>
        <w:t xml:space="preserve">, </w:t>
      </w:r>
      <w:r>
        <w:rPr>
          <w:rtl w:val="true"/>
        </w:rPr>
        <w:t>וזאת אף בשים לב לכך כי המתלונן הוא זה שיזם את ראשית העימות הפיזי בין השניים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 אינו חולק על חומרת המעשים שביצע</w:t>
      </w:r>
      <w:r>
        <w:rPr>
          <w:rtl w:val="true"/>
        </w:rPr>
        <w:t xml:space="preserve">, </w:t>
      </w:r>
      <w:r>
        <w:rPr>
          <w:rtl w:val="true"/>
        </w:rPr>
        <w:t>אך טוען כי מתחם העונש ההולם שנקבע על ידי בית משפט קמא עולה בקנה אחד עם מדיניות הענישה הנוהגת במקרים כגון דא</w:t>
      </w:r>
      <w:r>
        <w:rPr>
          <w:rtl w:val="true"/>
        </w:rPr>
        <w:t xml:space="preserve">. </w:t>
      </w:r>
      <w:r>
        <w:rPr>
          <w:rtl w:val="true"/>
        </w:rPr>
        <w:t>סבורני כי הגם שניתן למצוא פסיקה עם רמת ענישה דומה לזו שגזר בית משפט קמא</w:t>
      </w:r>
      <w:r>
        <w:rPr>
          <w:rtl w:val="true"/>
        </w:rPr>
        <w:t xml:space="preserve">, </w:t>
      </w:r>
      <w:r>
        <w:rPr>
          <w:rtl w:val="true"/>
        </w:rPr>
        <w:t>מן הראוי להעלות את הרף בעבירות מסוג זה</w:t>
      </w:r>
      <w:r>
        <w:rPr>
          <w:rtl w:val="true"/>
        </w:rPr>
        <w:t xml:space="preserve">. </w:t>
      </w:r>
      <w:r>
        <w:rPr>
          <w:rtl w:val="true"/>
        </w:rPr>
        <w:t>חומרתן הרבה של עבירות האלימות המבוצעות באמצעות סכין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לפוטנציאל הנזק המשמעותי שעלול להיגרם מהן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פיסהיי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5.8.2019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מחייבת החמרה של מדיניות הענישה הנוהגת לאור תפקידו של בית המשפט במיגור התופעה </w:t>
      </w:r>
      <w:r>
        <w:rPr>
          <w:rtl w:val="true"/>
        </w:rPr>
        <w:t>(</w:t>
      </w:r>
      <w:r>
        <w:rPr>
          <w:rtl w:val="true"/>
        </w:rPr>
        <w:t>וראו החמרת העונש 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425/23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Cs/>
          <w:spacing w:val="0"/>
          <w:sz w:val="22"/>
          <w:szCs w:val="24"/>
        </w:rPr>
        <w:t>Tekeste Ttekulu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6-4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4.7.2023</w:t>
      </w:r>
      <w:r>
        <w:rPr>
          <w:rtl w:val="true"/>
        </w:rPr>
        <w:t xml:space="preserve">), </w:t>
      </w:r>
      <w:r>
        <w:rPr>
          <w:rtl w:val="true"/>
        </w:rPr>
        <w:t>אשר נסיבותיו קרובות לענייננו</w:t>
      </w:r>
      <w:r>
        <w:rPr>
          <w:rtl w:val="true"/>
        </w:rPr>
        <w:t xml:space="preserve">, </w:t>
      </w:r>
      <w:r>
        <w:rPr>
          <w:rtl w:val="true"/>
        </w:rPr>
        <w:t>הגם שיש בהן יתר חומרה</w:t>
      </w:r>
      <w:r>
        <w:rPr>
          <w:rtl w:val="true"/>
        </w:rPr>
        <w:t xml:space="preserve">). </w:t>
      </w:r>
      <w:r>
        <w:rPr>
          <w:rtl w:val="true"/>
        </w:rPr>
        <w:t>כך באופן כללי</w:t>
      </w:r>
      <w:r>
        <w:rPr>
          <w:rtl w:val="true"/>
        </w:rPr>
        <w:t xml:space="preserve">, </w:t>
      </w:r>
      <w:r>
        <w:rPr>
          <w:rtl w:val="true"/>
        </w:rPr>
        <w:t>וכך במיוחד בעניינו של המשיב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החשיבות שבענישה מחמירה ומרתיעה כאשר עסקינן בעבירות אלימות נלמדת אף מנסיבות המקרה שלפנינו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חרף גילו הצעיר הורשע המשיב בעברו ארבע פעמים בעבירות אלימות</w:t>
      </w:r>
      <w:r>
        <w:rPr>
          <w:rtl w:val="true"/>
        </w:rPr>
        <w:t xml:space="preserve">, </w:t>
      </w:r>
      <w:r>
        <w:rPr>
          <w:rtl w:val="true"/>
        </w:rPr>
        <w:t xml:space="preserve">אשר בגינן ריצה שלוש תקופות מאסר שונות למשך תקופה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במצטבר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>וכפי שעולה גם מעיון בתסקיר</w:t>
      </w:r>
      <w:r>
        <w:rPr>
          <w:rtl w:val="true"/>
        </w:rPr>
        <w:t xml:space="preserve">, </w:t>
      </w:r>
      <w:r>
        <w:rPr>
          <w:rtl w:val="true"/>
        </w:rPr>
        <w:t>נדמה כי הסנקציות אשר הוטלו על המשיב עד כה לא היוו עבורו גורם מרתיע</w:t>
      </w:r>
      <w:r>
        <w:rPr>
          <w:rtl w:val="true"/>
        </w:rPr>
        <w:t xml:space="preserve">, </w:t>
      </w:r>
      <w:r>
        <w:rPr>
          <w:rtl w:val="true"/>
        </w:rPr>
        <w:t xml:space="preserve">ולא בכדי המליץ שירות המבחן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נדמה כי יש ממש בטענתה של המדינה כי בגזירת עונשו של המשיב היה מקום להתחשב בשיקולי הרתעה אישית בהתאם לאמור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טורשאן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אני סבור כי בצדק ייחס בית משפט קמא משקל להודאתו של המשיב</w:t>
      </w:r>
      <w:r>
        <w:rPr>
          <w:rtl w:val="true"/>
        </w:rPr>
        <w:t xml:space="preserve">, </w:t>
      </w:r>
      <w:r>
        <w:rPr>
          <w:rtl w:val="true"/>
        </w:rPr>
        <w:t>וכן לרקע האישי המורכב ממנו הגיע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לצורך בהדרגתיות בהחמרת הענישה במשפט הפלילי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48-47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גנאים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חסארמה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סבורני כי יש מקום לקבל את הערעור באופן מדוד</w:t>
      </w:r>
      <w:r>
        <w:rPr>
          <w:rtl w:val="true"/>
        </w:rPr>
        <w:t xml:space="preserve">, </w:t>
      </w:r>
      <w:r>
        <w:rPr>
          <w:rtl w:val="true"/>
        </w:rPr>
        <w:t xml:space="preserve">ולהעמיד את עונשו של המשיב על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 החל מיום מעצרו</w:t>
      </w:r>
      <w:r>
        <w:rPr>
          <w:rtl w:val="true"/>
        </w:rPr>
        <w:t xml:space="preserve">, </w:t>
      </w:r>
      <w:r>
        <w:rPr/>
        <w:t>13.9.2022</w:t>
      </w:r>
      <w:r>
        <w:rPr>
          <w:rtl w:val="true"/>
        </w:rPr>
        <w:t xml:space="preserve">. </w:t>
      </w:r>
      <w:r>
        <w:rPr>
          <w:rtl w:val="true"/>
        </w:rPr>
        <w:t>כך גם בהינתן הכלל כי אין זו מדרכה של ערכאת הערעור למצות את הדין עם הנאשם</w:t>
      </w:r>
      <w:r>
        <w:rPr>
          <w:rtl w:val="true"/>
        </w:rPr>
        <w:t xml:space="preserve">.  </w:t>
      </w:r>
      <w:r>
        <w:rPr>
          <w:rtl w:val="true"/>
        </w:rPr>
        <w:br/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tblpPr w:vertAnchor="text" w:horzAnchor="margin" w:tblpXSpec="left" w:rightFromText="180" w:tblpY="24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24"/>
        <w:gridCol w:w="2624"/>
      </w:tblGrid>
      <w:tr>
        <w:trPr>
          <w:trHeight w:val="351" w:hRule="atLeast"/>
        </w:trPr>
        <w:tc>
          <w:tcPr>
            <w:tcW w:w="262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  <w:tc>
          <w:tcPr>
            <w:tcW w:w="262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ש ו פ ט</w:t>
            </w:r>
          </w:p>
        </w:tc>
      </w:tr>
      <w:tr>
        <w:trPr>
          <w:trHeight w:val="351" w:hRule="atLeast"/>
        </w:trPr>
        <w:tc>
          <w:tcPr>
            <w:tcW w:w="262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  <w:tc>
          <w:tcPr>
            <w:tcW w:w="262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0"/>
        <w:gridCol w:w="2762"/>
        <w:gridCol w:w="2790"/>
      </w:tblGrid>
      <w:tr>
        <w:trPr/>
        <w:tc>
          <w:tcPr>
            <w:tcW w:w="276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spacing w:val="36"/>
              </w:rPr>
            </w:pPr>
            <w:r>
              <w:rPr>
                <w:rFonts w:cs="Times New Roman" w:ascii="Times New Roman" w:hAnsi="Times New Roman"/>
                <w:spacing w:val="36"/>
                <w:rtl w:val="true"/>
              </w:rPr>
            </w:r>
          </w:p>
        </w:tc>
        <w:tc>
          <w:tcPr>
            <w:tcW w:w="276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spacing w:val="36"/>
              </w:rPr>
            </w:pPr>
            <w:r>
              <w:rPr>
                <w:rFonts w:cs="Times New Roman" w:ascii="Times New Roman" w:hAnsi="Times New Roman"/>
                <w:spacing w:val="36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36"/>
                <w:rtl w:val="true"/>
              </w:rPr>
              <w:t>המשנה 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spacing w:val="36"/>
              </w:rPr>
            </w:pPr>
            <w:r>
              <w:rPr>
                <w:rFonts w:cs="Times New Roman" w:ascii="Times New Roman" w:hAnsi="Times New Roman"/>
                <w:spacing w:val="36"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spacing w:val="36"/>
              </w:rPr>
            </w:pPr>
            <w:r>
              <w:rPr>
                <w:rFonts w:cs="Times New Roman" w:ascii="Times New Roman" w:hAnsi="Times New Roman"/>
                <w:spacing w:val="36"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tblpPr w:vertAnchor="text" w:horzAnchor="margin" w:tblpXSpec="center" w:leftFromText="180" w:rightFromText="180" w:tblpY="65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73"/>
        <w:gridCol w:w="2873"/>
        <w:gridCol w:w="2873"/>
      </w:tblGrid>
      <w:tr>
        <w:trPr>
          <w:trHeight w:val="491" w:hRule="atLeast"/>
        </w:trPr>
        <w:tc>
          <w:tcPr>
            <w:tcW w:w="287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</w:rPr>
            </w:pPr>
            <w:bookmarkStart w:id="17" w:name="Nitan"/>
            <w:r>
              <w:rPr>
                <w:rFonts w:cs="Century" w:ascii="Century" w:hAnsi="Century"/>
                <w:color w:val="FFFFFF"/>
                <w:sz w:val="2"/>
                <w:szCs w:val="2"/>
              </w:rPr>
              <w:t>54678313</w:t>
            </w:r>
            <w:r>
              <w:rPr>
                <w:rFonts w:cs="Century" w:ascii="Century" w:hAnsi="Century"/>
                <w:rtl w:val="true"/>
              </w:rPr>
              <w:t xml:space="preserve"> </w:t>
            </w:r>
            <w:bookmarkEnd w:id="17"/>
            <w:r>
              <w:rPr>
                <w:rFonts w:ascii="Times New Roman" w:hAnsi="Times New Roman" w:cs="Times New Roman"/>
                <w:spacing w:val="36"/>
                <w:rtl w:val="true"/>
              </w:rPr>
              <w:t>המשנה לנשיאה</w:t>
            </w:r>
          </w:p>
        </w:tc>
        <w:tc>
          <w:tcPr>
            <w:tcW w:w="287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7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/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11.7.2023</w:t>
      </w:r>
      <w:r>
        <w:rPr>
          <w:rFonts w:cs="Century" w:ascii="Century" w:hAnsi="Century"/>
          <w:rtl w:val="true"/>
        </w:rPr>
        <w:t xml:space="preserve">). </w:t>
      </w:r>
      <w:r>
        <w:rPr>
          <w:rFonts w:cs="Times New Roman" w:ascii="Times New Roman" w:hAnsi="Times New Roman"/>
          <w:spacing w:val="36"/>
          <w:rtl w:val="true"/>
        </w:rPr>
        <w:t xml:space="preserve"> 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23038670</w:t>
      </w:r>
      <w:r>
        <w:rPr>
          <w:sz w:val="16"/>
          <w:rtl w:val="true"/>
        </w:rPr>
        <w:t>_</w:t>
      </w:r>
      <w:r>
        <w:rPr>
          <w:sz w:val="16"/>
        </w:rPr>
        <w:t>Y02.docx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54678313-3867/23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3867/23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אביאל שנקור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9571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" TargetMode="External"/><Relationship Id="rId7" Type="http://schemas.openxmlformats.org/officeDocument/2006/relationships/hyperlink" Target="http://www.nevo.co.il/case/28957193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f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384637" TargetMode="External"/><Relationship Id="rId14" Type="http://schemas.openxmlformats.org/officeDocument/2006/relationships/hyperlink" Target="http://www.nevo.co.il/case/29334329" TargetMode="External"/><Relationship Id="rId15" Type="http://schemas.openxmlformats.org/officeDocument/2006/relationships/hyperlink" Target="http://www.nevo.co.il/case/22275578" TargetMode="External"/><Relationship Id="rId16" Type="http://schemas.openxmlformats.org/officeDocument/2006/relationships/hyperlink" Target="http://www.nevo.co.il/case/25305753" TargetMode="External"/><Relationship Id="rId17" Type="http://schemas.openxmlformats.org/officeDocument/2006/relationships/hyperlink" Target="http://www.nevo.co.il/case/26670943" TargetMode="External"/><Relationship Id="rId18" Type="http://schemas.openxmlformats.org/officeDocument/2006/relationships/hyperlink" Target="http://www.nevo.co.il/case/27539006" TargetMode="External"/><Relationship Id="rId19" Type="http://schemas.openxmlformats.org/officeDocument/2006/relationships/hyperlink" Target="http://www.nevo.co.il/case/24493126" TargetMode="External"/><Relationship Id="rId20" Type="http://schemas.openxmlformats.org/officeDocument/2006/relationships/hyperlink" Target="http://www.nevo.co.il/case/25092075" TargetMode="External"/><Relationship Id="rId21" Type="http://schemas.openxmlformats.org/officeDocument/2006/relationships/hyperlink" Target="http://www.nevo.co.il/case/20053795" TargetMode="External"/><Relationship Id="rId22" Type="http://schemas.openxmlformats.org/officeDocument/2006/relationships/hyperlink" Target="http://www.nevo.co.il/case/27343399" TargetMode="External"/><Relationship Id="rId23" Type="http://schemas.openxmlformats.org/officeDocument/2006/relationships/hyperlink" Target="http://www.nevo.co.il/case/20942142" TargetMode="External"/><Relationship Id="rId24" Type="http://schemas.openxmlformats.org/officeDocument/2006/relationships/hyperlink" Target="http://www.nevo.co.il/case/25694670" TargetMode="External"/><Relationship Id="rId25" Type="http://schemas.openxmlformats.org/officeDocument/2006/relationships/hyperlink" Target="http://www.nevo.co.il/case/29309601" TargetMode="External"/><Relationship Id="rId26" Type="http://schemas.openxmlformats.org/officeDocument/2006/relationships/hyperlink" Target="http://www.nevo.co.il/law/70301/40f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0985886" TargetMode="External"/><Relationship Id="rId29" Type="http://schemas.openxmlformats.org/officeDocument/2006/relationships/hyperlink" Target="http://www.nevo.co.il/case/28243256" TargetMode="External"/><Relationship Id="rId30" Type="http://schemas.openxmlformats.org/officeDocument/2006/relationships/hyperlink" Target="http://www.nevo.co.il/case/23750595" TargetMode="External"/><Relationship Id="rId31" Type="http://schemas.openxmlformats.org/officeDocument/2006/relationships/hyperlink" Target="http://www.nevo.co.il/case/28384637" TargetMode="External"/><Relationship Id="rId32" Type="http://schemas.openxmlformats.org/officeDocument/2006/relationships/hyperlink" Target="https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2023-07-13T10:27:00Z</dcterms:created>
  <dc:creator>h4</dc:creator>
  <dc:description/>
  <cp:keywords/>
  <dc:language>en-IL</dc:language>
  <cp:lastModifiedBy>h1</cp:lastModifiedBy>
  <cp:lastPrinted>2023-07-11T16:45:00Z</cp:lastPrinted>
  <dcterms:modified xsi:type="dcterms:W3CDTF">2023-07-13T10:27:00Z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אביאל שנקור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28957193:2;28384637:2;29334329;22275578;25305753;26670943;27539006;24493126;25092075;20053795;27343399;20942142;25694670;29309601;20985886;28243256;23750595</vt:lpwstr>
  </property>
  <property fmtid="{D5CDD505-2E9C-101B-9397-08002B2CF9AE}" pid="9" name="CITY">
    <vt:lpwstr/>
  </property>
  <property fmtid="{D5CDD505-2E9C-101B-9397-08002B2CF9AE}" pid="10" name="DATE">
    <vt:lpwstr>20230711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מינץ;ע' גרוסקופף;ע' פוגלמן</vt:lpwstr>
  </property>
  <property fmtid="{D5CDD505-2E9C-101B-9397-08002B2CF9AE}" pid="14" name="LAWLISTTMP1">
    <vt:lpwstr>70301/333;335.a;040f:2</vt:lpwstr>
  </property>
  <property fmtid="{D5CDD505-2E9C-101B-9397-08002B2CF9AE}" pid="15" name="LAWYER">
    <vt:lpwstr>ניר אלפסה;מורן פולמן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תופעת הסכינאות</vt:lpwstr>
  </property>
  <property fmtid="{D5CDD505-2E9C-101B-9397-08002B2CF9AE}" pid="52" name="NOSE34">
    <vt:lpwstr>שיקולי 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15230;8984;18248;15506</vt:lpwstr>
  </property>
  <property fmtid="{D5CDD505-2E9C-101B-9397-08002B2CF9AE}" pid="59" name="PADIDATE">
    <vt:lpwstr>20230712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3867</vt:lpwstr>
  </property>
  <property fmtid="{D5CDD505-2E9C-101B-9397-08002B2CF9AE}" pid="65" name="PROCYEAR">
    <vt:lpwstr>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410120230711</vt:lpwstr>
  </property>
  <property fmtid="{D5CDD505-2E9C-101B-9397-08002B2CF9AE}" pid="69" name="TYPE_N_DATE">
    <vt:lpwstr>41020230711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