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3879/21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טדסה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סלומון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אלירז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אזולאי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7832-02-18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30.12.2020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18.4.2021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22.06.2022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סננס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ענבר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</w:t>
            </w:r>
            <w:r>
              <w:rPr>
                <w:rtl w:val="true"/>
              </w:rPr>
              <w:t>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שני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נדחה ערעור על הרשעת המערער בעבירת ניסיון לרצח ועל עונש בן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שהושת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ממכלול התנהלות המערער עולה מודעותו למעשיו באירוע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באופן שאינו מאפשר החלת סייג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הגנת השכרות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יסודות עבירת הניסיון לרצח מתקיימים כנדרש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הולם את חומרת 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מתחשב במכלול נסיבות ביצוע העבירה ונסיבותיו 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מקל עמו במידת 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הגנות – שכרות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ניסיון לרצח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מודעות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ניסיון לרצח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הרשעת המערער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בעבירת ניסיון לרצח של אלירז אזולאי לפי סעיף </w:t>
      </w:r>
      <w:r>
        <w:rPr>
          <w:rFonts w:cs="Times New Roman" w:ascii="Times New Roman" w:hAnsi="Times New Roman"/>
          <w:spacing w:val="0"/>
          <w:szCs w:val="26"/>
        </w:rPr>
        <w:t>305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ועל העונש של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שהושת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קבע כי התקיימו יסודות עבירת הניסיון לרצח וכי לא עומדת למערער הגנת השכרות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שאמנם היה שרוי תחת השפעת אלכוהול בעת ביצוע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היה מודע למעשיו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ששכרותו לא הגיעה כדי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שכרות מלאה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שכרות חלקית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כבוב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השאלה היא האם נפלה שגגה במסקנת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בדבר אי תחולת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הגנת השכרות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בחר מרצונו החופשי לשתות משקה אלכוהולי בליל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לא עשה כן כדי לעבור 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 אין ענייננו בס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-(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ס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מעלה כי לו ייקבע כי הנאשם ביצע את המיוחס לו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במצב של שכרות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יהא להרשיעו בעבירת תוצאה הדורשת יחס חפצי של כוונה כלפי התרחשות התוצאה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למערער מיוחסת עבירת 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לצד ייחודיותה כעבירת ניסיון עצמאית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לקרוא עמה את סעיף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המגדיר מהו ניסיון</w:t>
      </w:r>
      <w:r>
        <w:rPr>
          <w:rFonts w:cs="Times New Roman" w:ascii="Times New Roman" w:hAnsi="Times New Roman"/>
          <w:spacing w:val="0"/>
          <w:szCs w:val="26"/>
          <w:rtl w:val="true"/>
        </w:rPr>
        <w:t>: '</w:t>
      </w:r>
      <w:r>
        <w:rPr>
          <w:rFonts w:ascii="Times New Roman" w:hAnsi="Times New Roman" w:cs="Times New Roman"/>
          <w:spacing w:val="0"/>
          <w:szCs w:val="26"/>
          <w:rtl w:val="true"/>
        </w:rPr>
        <w:t>אדם מנסה לעבור עבירה 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במטרה לבצעה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עשה מעשה שאין בו הכנה בלבד והעבירה לא הושלמה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היסוד העובדתי בעבירת הניסיון לרצח מתגבש כאשר המעשה שבוצע יוצא מגדר פעולת הכנה והוא שלב בדרך לביצוע העבירה המושלמת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הרצח בכוונת תחילה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היסוד הנפשי כולל דרישה שהמבצע עבר את העבירה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במטרה לבצעה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וכולל את היסוד הנפשי של העבירה המוגמרת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כוונה תחילה בעניין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מן האמור עולה כי לו ייקבע שהנאשם ביצע את העבירה בהיותו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במצב של שכרות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אזי לא יהא ניתן להרשיעו בעבירת 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מבהיר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כדי לחסות תחת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הגנת השכרות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עבור מי שהיה במצב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שכרות מלאה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לא די בכך שהיה תחת השפעת אלכוהול בשעת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נדרש קשר סיבתי בין השכרות לפגם משמעותי במודעותו למעשיו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לשלוש החלופות המנויות בסעיף העוסקות בהבנת המבצע את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הבנתו את הפסול בהם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ויכולת הרצייה שלו ביחס אליהם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גם נאשם שלא היה במצב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שכרות מלאה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יכול לחסות תחת הגנת השכרות במסגרת היותו במצב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שכרות חלקית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לשם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עליו להוכיח כי מתקיימים בעניינו שלושה תנאים מצטברים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היותו נתון תחת השפעת חומר משכר בעת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 מודעותו לפרט מפרטי העבירה בשעת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וקיומו של קשר סיבתי בין השניים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בדמו של המבצע בשעת המעשה היה ריכוז גבוה של אלכוהול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בעובדה זו לבדה כדי להכניסו בשערי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הגנת השכרות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יש להוסיף להוכיח את טיב השפעת האלכוהול על מעשיו ומודעותו לפי סעיף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בפסיקה נקבעה רשימה לא סגורה של מבחנים ראייתיים בהם ניתן להסתייע כדי להכריע בדבר מודעות הנאשם למעשיו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לאו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בהתאם לדרישות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הגנת השכרות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פעולות שביצע הנאשם לפני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במהלכו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ולאחריו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מידת הסתברות תוצאת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הצהרות הנאשם בסמוך 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עדויות הנוכחים בשעת המעשה ובסמוך אליו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הוכחת הדרישות להתקיימות סייג הגנת השכרות מוטלת על המבקש לבוא בגדרה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והרף להוכחתו גבוה 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המבחנים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 מעלה תמונה חד משמעית בדבר מודעות המערער למעשיו באירוע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שאינו מאפשר החלת סייג הגנת השכרות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יסודות עבירת הניסיון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העובדתיים והנפשיים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מתקיימים כנדרש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זה מקרה חריג המצדיק התערבות ערכאת הערעור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ניסיון הרצח לא בוצע כבדרך אגב ובאופן ספונטני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המערער בחר לתבוע את עלבונו ולנסות להמית את אלירז אך בשל מילותיו הפוגעניות כלפיו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בעובדה שהמערער ירה ירייה אחת לעבר אלירז כדי להצדיק הקלה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ירייה כזו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לעבר הראש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ומטווח קצר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פעולה קטלנית מאחר שהיא מכוונת לאיבר חיוני של הקורבן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קל וחומר כשהמערער הוא מאבטח המיומן בנשק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שמודע ליכולותיו המקצועיות ולהסתברות הגבוהה של התוצאה הטבעית של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שכרות אינה מהווה נסיבה מקלה לעניין עונשו של מבצע 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המבצע לא חוסה תחת הגנת השכרות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נסיבותיו האישיות של המערער נסוגות למול התוצאות הקשות של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מקום להקל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 ערעור על הכרעת דינו וגזר 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לורך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דותן</w:t>
      </w:r>
      <w:r>
        <w:rPr>
          <w:rtl w:val="true"/>
        </w:rPr>
        <w:t xml:space="preserve"> והשופטת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עטר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7832-02-18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30.12.2020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18.4.2021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; </w:t>
      </w:r>
      <w:r>
        <w:rPr>
          <w:rtl w:val="true"/>
        </w:rPr>
        <w:t xml:space="preserve">בגדרם המערער הורשע בעבירת ניסיון לרצח 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ונגזר עליו עונש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tl w:val="true"/>
        </w:rPr>
        <w:t xml:space="preserve">"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בשעות הלילה ביום </w:t>
      </w:r>
      <w:r>
        <w:rPr/>
        <w:t>11.1.2018</w:t>
      </w:r>
      <w:r>
        <w:rPr>
          <w:rtl w:val="true"/>
        </w:rPr>
        <w:t xml:space="preserve">, </w:t>
      </w:r>
      <w:r>
        <w:rPr>
          <w:rtl w:val="true"/>
        </w:rPr>
        <w:t>חבורת צעירים וביניהם אלירז אזולאי</w:t>
      </w:r>
      <w:r>
        <w:rPr>
          <w:rtl w:val="true"/>
        </w:rPr>
        <w:t xml:space="preserve">, </w:t>
      </w:r>
      <w:r>
        <w:rPr>
          <w:rtl w:val="true"/>
        </w:rPr>
        <w:t>צעקו</w:t>
      </w:r>
      <w:r>
        <w:rPr>
          <w:rtl w:val="true"/>
        </w:rPr>
        <w:t xml:space="preserve">, </w:t>
      </w:r>
      <w:r>
        <w:rPr>
          <w:rtl w:val="true"/>
        </w:rPr>
        <w:t xml:space="preserve">השתוללו והקימו רעש ברחוב מול בית המערער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החבורה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המקום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באותה העת</w:t>
      </w:r>
      <w:r>
        <w:rPr>
          <w:rtl w:val="true"/>
        </w:rPr>
        <w:t xml:space="preserve">, </w:t>
      </w:r>
      <w:r>
        <w:rPr>
          <w:rtl w:val="true"/>
        </w:rPr>
        <w:t>המערער שתה משקה אלכוהולי בביתו</w:t>
      </w:r>
      <w:r>
        <w:rPr>
          <w:rtl w:val="true"/>
        </w:rPr>
        <w:t xml:space="preserve">. </w:t>
      </w:r>
      <w:r>
        <w:rPr>
          <w:rtl w:val="true"/>
        </w:rPr>
        <w:t>בעקבות תלונות שכנים על הרעש האמור</w:t>
      </w:r>
      <w:r>
        <w:rPr>
          <w:rtl w:val="true"/>
        </w:rPr>
        <w:t xml:space="preserve">, </w:t>
      </w:r>
      <w:r>
        <w:rPr>
          <w:rtl w:val="true"/>
        </w:rPr>
        <w:t xml:space="preserve">הגיעו למקום בשעה </w:t>
      </w:r>
      <w:r>
        <w:rPr/>
        <w:t>00:35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פקח עירוני ושוטר סיור וביקשו מהחבורה לחדול ממעשיהם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המערער עישן סיגריה בסמוך</w:t>
      </w:r>
      <w:r>
        <w:rPr>
          <w:rtl w:val="true"/>
        </w:rPr>
        <w:t xml:space="preserve">, </w:t>
      </w:r>
      <w:r>
        <w:rPr>
          <w:rtl w:val="true"/>
        </w:rPr>
        <w:t>עד ששב לביתו בשלב מסוים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01:38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מאלירז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השקט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מזלזל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ופוגעני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).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כמאבטח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הירי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אלירז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סיעודי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קוגניטיביים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הרשיע את המערער</w:t>
      </w:r>
      <w:r>
        <w:rPr>
          <w:rtl w:val="true"/>
        </w:rPr>
        <w:t xml:space="preserve">, </w:t>
      </w: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>בעבירה שיוחסה לו בכתב האישום המתוקן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בפתח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 xml:space="preserve">תחם את גדר המחלוקת להכרעה לשתי סוגיות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ביחס להשתלשלות האירועים העובדתית באותו הלילה עובר לירי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 xml:space="preserve">תחולת </w:t>
      </w:r>
      <w:r>
        <w:rPr>
          <w:rtl w:val="true"/>
        </w:rPr>
        <w:t>"</w:t>
      </w:r>
      <w:r>
        <w:rPr>
          <w:rtl w:val="true"/>
        </w:rPr>
        <w:t>הגנת השכרות</w:t>
      </w:r>
      <w:r>
        <w:rPr>
          <w:rtl w:val="true"/>
        </w:rPr>
        <w:t xml:space="preserve">"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</w:hyperlink>
      <w:r>
        <w:rPr>
          <w:rtl w:val="true"/>
        </w:rPr>
        <w:t xml:space="preserve"> לחוק בעניינו של המערער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השתלשלות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לירי</w:t>
      </w:r>
      <w:r>
        <w:rPr>
          <w:rtl w:val="true"/>
        </w:rPr>
        <w:t xml:space="preserve"> הוכרעה על סמך עדויות בני החבורה ועדויות הפקח העירוני ושוטר הסיור</w:t>
      </w:r>
      <w:r>
        <w:rPr>
          <w:rtl w:val="true"/>
        </w:rPr>
        <w:t xml:space="preserve">, </w:t>
      </w:r>
      <w:r>
        <w:rPr>
          <w:rtl w:val="true"/>
        </w:rPr>
        <w:t xml:space="preserve">אל מול גרסת המערער אשר טען בחקירותיו במשטרה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מעבודה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וויסקי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ושתיתי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וזהו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כך במקור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שקפצו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שוטרים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59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30-28</w:t>
      </w:r>
      <w:r>
        <w:rPr>
          <w:rtl w:val="true"/>
        </w:rPr>
        <w:t>);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עשיתי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שבקושי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שוטרים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59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16-13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המערער נכח במקום בעת המפגש עם הפקח העירוני ושוטר הסיור</w:t>
      </w:r>
      <w:r>
        <w:rPr>
          <w:rtl w:val="true"/>
        </w:rPr>
        <w:t xml:space="preserve">, </w:t>
      </w:r>
      <w:r>
        <w:rPr>
          <w:rtl w:val="true"/>
        </w:rPr>
        <w:t>עד אשר עזב את המקום לבקשת השוטר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המערער פנה לחבורה בשל הרעש שהטריד אותו וביקש כי ישמרו על השקט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אלירז השיב לו בזלזול</w:t>
      </w:r>
      <w:r>
        <w:rPr>
          <w:rtl w:val="true"/>
        </w:rPr>
        <w:t xml:space="preserve">, </w:t>
      </w:r>
      <w:r>
        <w:rPr>
          <w:rtl w:val="true"/>
        </w:rPr>
        <w:t xml:space="preserve">השמיע כלפיו הערות </w:t>
      </w:r>
      <w:r>
        <w:rPr>
          <w:rtl w:val="true"/>
        </w:rPr>
        <w:t>פוגעניות</w:t>
      </w:r>
      <w:r>
        <w:rPr>
          <w:rtl w:val="true"/>
        </w:rPr>
        <w:t xml:space="preserve"> </w:t>
      </w:r>
      <w:r>
        <w:rPr>
          <w:rtl w:val="true"/>
        </w:rPr>
        <w:t>וגירש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מהמקום</w:t>
      </w:r>
      <w:r>
        <w:rPr>
          <w:rtl w:val="true"/>
        </w:rPr>
        <w:t xml:space="preserve">. </w:t>
      </w:r>
      <w:r>
        <w:rPr>
          <w:rtl w:val="true"/>
        </w:rPr>
        <w:t>המערער עזב את המקום ללא תגובה מצדו</w:t>
      </w:r>
      <w:r>
        <w:rPr>
          <w:rtl w:val="true"/>
        </w:rPr>
        <w:t xml:space="preserve">, </w:t>
      </w:r>
      <w:r>
        <w:rPr>
          <w:rtl w:val="true"/>
        </w:rPr>
        <w:t>וחזר לבניין ממנו הגיע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זמן קצר</w:t>
      </w:r>
      <w:r>
        <w:rPr>
          <w:rtl w:val="true"/>
        </w:rPr>
        <w:t xml:space="preserve">, </w:t>
      </w:r>
      <w:r>
        <w:rPr>
          <w:rtl w:val="true"/>
        </w:rPr>
        <w:t>המערער הגיח מהבניין ושב לזירת האירועים בעודו מסווה את האקדח שנשא והתקרב בהליכה רגילה לעבר החבורה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אלירז התקדם אף הוא כשני צעדים לכיוונו</w:t>
      </w:r>
      <w:r>
        <w:rPr>
          <w:rtl w:val="true"/>
        </w:rPr>
        <w:t xml:space="preserve">. </w:t>
      </w:r>
      <w:r>
        <w:rPr>
          <w:rtl w:val="true"/>
        </w:rPr>
        <w:t>המערער נעצר למול אלירז</w:t>
      </w:r>
      <w:r>
        <w:rPr>
          <w:rtl w:val="true"/>
        </w:rPr>
        <w:t xml:space="preserve">, </w:t>
      </w:r>
      <w:r>
        <w:rPr>
          <w:rtl w:val="true"/>
        </w:rPr>
        <w:t>בטווח קרוב מאוד</w:t>
      </w:r>
      <w:r>
        <w:rPr>
          <w:rtl w:val="true"/>
        </w:rPr>
        <w:t xml:space="preserve">, </w:t>
      </w:r>
      <w:r>
        <w:rPr>
          <w:rtl w:val="true"/>
        </w:rPr>
        <w:t>דרך את האקדח וירה ירי מכוון וממוקד לעבר ראשו של אלירז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תחולת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השכרות</w:t>
      </w:r>
      <w:r>
        <w:rPr>
          <w:rtl w:val="true"/>
        </w:rPr>
        <w:t xml:space="preserve">, </w:t>
      </w:r>
      <w:r>
        <w:rPr>
          <w:rtl w:val="true"/>
        </w:rPr>
        <w:t xml:space="preserve">נקבע שאין מחלוקת כי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שתה</w:t>
      </w:r>
      <w:r>
        <w:rPr>
          <w:rtl w:val="true"/>
        </w:rPr>
        <w:t xml:space="preserve"> </w:t>
      </w:r>
      <w:r>
        <w:rPr>
          <w:rtl w:val="true"/>
        </w:rPr>
        <w:t>משקה</w:t>
      </w:r>
      <w:r>
        <w:rPr>
          <w:rtl w:val="true"/>
        </w:rPr>
        <w:t xml:space="preserve"> </w:t>
      </w:r>
      <w:r>
        <w:rPr>
          <w:rtl w:val="true"/>
        </w:rPr>
        <w:t>אלכוהולי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וכי בהתאם לחוות דעת המומחה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 </w:t>
      </w:r>
      <w:r>
        <w:rPr>
          <w:rtl w:val="true"/>
        </w:rPr>
        <w:t xml:space="preserve">בעת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 </w:t>
      </w:r>
      <w:r>
        <w:rPr>
          <w:rtl w:val="true"/>
        </w:rPr>
        <w:t xml:space="preserve">המערער היה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השפעת</w:t>
      </w:r>
      <w:r>
        <w:rPr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 ב</w:t>
      </w:r>
      <w:r>
        <w:rPr>
          <w:rtl w:val="true"/>
        </w:rPr>
        <w:t>"</w:t>
      </w:r>
      <w:r>
        <w:rPr>
          <w:rtl w:val="true"/>
        </w:rPr>
        <w:t>רמת שכרות גבוהה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בית המשפט קבע כי האלכוהול לא השפיע על תודעתו או על שליטתו של המערער באופן ממשי בעת ביצוע הירי</w:t>
      </w:r>
      <w:r>
        <w:rPr>
          <w:rtl w:val="true"/>
        </w:rPr>
        <w:t xml:space="preserve">, </w:t>
      </w:r>
      <w:r>
        <w:rPr>
          <w:rtl w:val="true"/>
        </w:rPr>
        <w:t xml:space="preserve">כך שהמערער לא פעל במצב של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שכרות</w:t>
      </w:r>
      <w:r>
        <w:rPr>
          <w:rtl w:val="true"/>
        </w:rPr>
        <w:t xml:space="preserve">" </w:t>
      </w:r>
      <w:r>
        <w:rPr>
          <w:rtl w:val="true"/>
        </w:rPr>
        <w:t>כהגדרתה בדין</w:t>
      </w:r>
      <w:r>
        <w:rPr>
          <w:rtl w:val="true"/>
        </w:rPr>
        <w:t xml:space="preserve">. </w:t>
      </w:r>
      <w:r>
        <w:rPr>
          <w:rtl w:val="true"/>
        </w:rPr>
        <w:t>זאת הסיק</w:t>
      </w:r>
      <w:r>
        <w:rPr>
          <w:rtl w:val="true"/>
        </w:rPr>
        <w:t xml:space="preserve">, </w:t>
      </w:r>
      <w:r>
        <w:rPr>
          <w:rtl w:val="true"/>
        </w:rPr>
        <w:t>בהסתמך על מספר מבחנים ראייתיים לבחינת מודעות המערער למעשיו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tl w:val="true"/>
        </w:rPr>
        <w:t xml:space="preserve">, </w:t>
      </w:r>
      <w:r>
        <w:rPr>
          <w:rtl w:val="true"/>
        </w:rPr>
        <w:t>עדויות בני החבורה והשוטרים</w:t>
      </w:r>
      <w:r>
        <w:rPr>
          <w:rtl w:val="true"/>
        </w:rPr>
        <w:t xml:space="preserve">; </w:t>
      </w:r>
      <w:r>
        <w:rPr>
          <w:rtl w:val="true"/>
        </w:rPr>
        <w:t>נסיבות האירוע</w:t>
      </w:r>
      <w:r>
        <w:rPr>
          <w:rtl w:val="true"/>
        </w:rPr>
        <w:t xml:space="preserve">; </w:t>
      </w:r>
      <w:r>
        <w:rPr>
          <w:rtl w:val="true"/>
        </w:rPr>
        <w:t>האופן בו בוצע הירי</w:t>
      </w:r>
      <w:r>
        <w:rPr>
          <w:rtl w:val="true"/>
        </w:rPr>
        <w:t xml:space="preserve">; </w:t>
      </w:r>
      <w:r>
        <w:rPr>
          <w:rtl w:val="true"/>
        </w:rPr>
        <w:t>וגרסת המערער</w:t>
      </w:r>
      <w:r>
        <w:rPr>
          <w:rtl w:val="true"/>
        </w:rPr>
        <w:t xml:space="preserve">, </w:t>
      </w:r>
      <w:r>
        <w:rPr>
          <w:rtl w:val="true"/>
        </w:rPr>
        <w:t>כפי שיפורטו בקצרה 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sz w:val="22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מעדויות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החבורה</w:t>
      </w:r>
      <w:r>
        <w:rPr>
          <w:rtl w:val="true"/>
        </w:rPr>
        <w:t xml:space="preserve"> עלה</w:t>
      </w:r>
      <w:r>
        <w:rPr>
          <w:rtl w:val="true"/>
        </w:rPr>
        <w:t xml:space="preserve">, </w:t>
      </w:r>
      <w:r>
        <w:rPr>
          <w:rtl w:val="true"/>
        </w:rPr>
        <w:t>כי המערער פעל באופן מודע למתרחש סביבו</w:t>
      </w:r>
      <w:r>
        <w:rPr>
          <w:rtl w:val="true"/>
        </w:rPr>
        <w:t xml:space="preserve">, </w:t>
      </w:r>
      <w:r>
        <w:rPr>
          <w:rtl w:val="true"/>
        </w:rPr>
        <w:t>וכי היה בעל יכולת מעשית לכלכל ולתכנן את צעדיו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לימדו אף הן על מודעות המערער למעשיו</w:t>
      </w:r>
      <w:r>
        <w:rPr>
          <w:rtl w:val="true"/>
        </w:rPr>
        <w:t xml:space="preserve">, </w:t>
      </w:r>
      <w:r>
        <w:rPr>
          <w:rtl w:val="true"/>
        </w:rPr>
        <w:t>בעוזבו את המקום לאחר המפגש הראשון עד לשובו מצויד באקדח</w:t>
      </w:r>
      <w:r>
        <w:rPr>
          <w:rtl w:val="true"/>
        </w:rPr>
        <w:t xml:space="preserve">, </w:t>
      </w:r>
      <w:r>
        <w:rPr>
          <w:rtl w:val="true"/>
        </w:rPr>
        <w:t>בעודו מסווה את האקדח בהתקרבו לחבורה</w:t>
      </w:r>
      <w:r>
        <w:rPr>
          <w:rtl w:val="true"/>
        </w:rPr>
        <w:t xml:space="preserve">, </w:t>
      </w:r>
      <w:r>
        <w:rPr>
          <w:rtl w:val="true"/>
        </w:rPr>
        <w:t>כאשר עלבונותיו של אלירז שימשו כמניע למעשיו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השוטרים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" </w:t>
      </w:r>
      <w:r>
        <w:rPr>
          <w:rtl w:val="true"/>
        </w:rPr>
        <w:t>ונדף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;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ממיטתו</w:t>
      </w:r>
      <w:r>
        <w:rPr>
          <w:rtl w:val="true"/>
        </w:rPr>
        <w:t xml:space="preserve">, </w:t>
      </w:r>
      <w:r>
        <w:rPr>
          <w:rtl w:val="true"/>
        </w:rPr>
        <w:t>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לשמיכה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ינשוף</w:t>
      </w:r>
      <w:r>
        <w:rPr>
          <w:rtl w:val="true"/>
        </w:rPr>
        <w:t xml:space="preserve">"; </w:t>
      </w:r>
      <w:r>
        <w:rPr>
          <w:rtl w:val="true"/>
        </w:rPr>
        <w:t>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;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להיבדק</w:t>
      </w:r>
      <w:r>
        <w:rPr>
          <w:rtl w:val="true"/>
        </w:rPr>
        <w:t xml:space="preserve">; </w:t>
      </w:r>
      <w:r>
        <w:rPr>
          <w:rtl w:val="true"/>
        </w:rPr>
        <w:t>והחליף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בגדיו</w:t>
      </w:r>
      <w:r>
        <w:rPr>
          <w:rtl w:val="true"/>
        </w:rPr>
        <w:t xml:space="preserve">.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הירי</w:t>
      </w:r>
      <w:r>
        <w:rPr>
          <w:rtl w:val="true"/>
        </w:rPr>
        <w:t xml:space="preserve"> שכוון לעבר ראשו של אלירז</w:t>
      </w:r>
      <w:r>
        <w:rPr>
          <w:rtl w:val="true"/>
        </w:rPr>
        <w:t xml:space="preserve">, </w:t>
      </w:r>
      <w:r>
        <w:rPr>
          <w:rtl w:val="true"/>
        </w:rPr>
        <w:t>מטווח קצר</w:t>
      </w:r>
      <w:r>
        <w:rPr>
          <w:rtl w:val="true"/>
        </w:rPr>
        <w:t xml:space="preserve">, </w:t>
      </w:r>
      <w:r>
        <w:rPr>
          <w:rtl w:val="true"/>
        </w:rPr>
        <w:t>מצביע אף הוא על החלטת המערער להמיתו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 xml:space="preserve">כי גם אם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האקדח</w:t>
      </w:r>
      <w:r>
        <w:rPr>
          <w:rtl w:val="true"/>
        </w:rPr>
        <w:t xml:space="preserve"> היא פעולה הכרחית אשר אינה מורכבת עבור המערער בשל מיומנותו בשימוש בנשק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הצורך</w:t>
      </w:r>
      <w:r>
        <w:rPr>
          <w:rtl w:val="true"/>
        </w:rPr>
        <w:t xml:space="preserve"> שחש לפרוק את אקדחו לאחר הירי מלמד על מודעותו למעשים ולהיותו בשליטה בעת הזו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המשפט המחוזי הוסיף ודחה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 </w:t>
      </w:r>
      <w:r>
        <w:rPr>
          <w:rtl w:val="true"/>
        </w:rPr>
        <w:t>מאומה</w:t>
      </w:r>
      <w:r>
        <w:rPr>
          <w:rtl w:val="true"/>
        </w:rPr>
        <w:t xml:space="preserve"> </w:t>
      </w:r>
      <w:r>
        <w:rPr>
          <w:rtl w:val="true"/>
        </w:rPr>
        <w:t>ממאורעות</w:t>
      </w:r>
      <w:r>
        <w:rPr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בהסתמך על שלושה אדנים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הואיל ו</w:t>
      </w:r>
      <w:r>
        <w:rPr>
          <w:rtl w:val="true"/>
        </w:rPr>
        <w:t>בעוד</w:t>
      </w:r>
      <w:r>
        <w:rPr>
          <w:rtl w:val="true"/>
        </w:rPr>
        <w:t xml:space="preserve"> </w:t>
      </w:r>
      <w:r>
        <w:rPr>
          <w:rtl w:val="true"/>
        </w:rPr>
        <w:t>בחקירותיו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 xml:space="preserve">בעדותו בבית המשפט </w:t>
      </w:r>
      <w:r>
        <w:rPr>
          <w:rtl w:val="true"/>
        </w:rPr>
        <w:t>שינה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 </w:t>
      </w:r>
      <w:r>
        <w:rPr>
          <w:rtl w:val="true"/>
        </w:rPr>
        <w:t>ואישר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 </w:t>
      </w:r>
      <w:r>
        <w:rPr>
          <w:rtl w:val="true"/>
        </w:rPr>
        <w:t xml:space="preserve">תוך שטען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 מהלילה הרלוונטי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גילה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זיכרון</w:t>
      </w:r>
      <w:r>
        <w:rPr>
          <w:rtl w:val="true"/>
        </w:rPr>
        <w:t xml:space="preserve"> סלקטיבי</w:t>
      </w:r>
      <w:r>
        <w:rPr>
          <w:rtl w:val="true"/>
        </w:rPr>
        <w:t xml:space="preserve">" </w:t>
      </w:r>
      <w:r>
        <w:rPr>
          <w:rtl w:val="true"/>
        </w:rPr>
        <w:t>ביחס לאירועים שהתרחשו באותו הלילה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כמות האלכוהול אשר המערער לדבריו שתה בליל האירוע תואמת את הרגלי השתייה שלו בשגרה</w:t>
      </w:r>
      <w:r>
        <w:rPr>
          <w:rtl w:val="true"/>
        </w:rPr>
        <w:t xml:space="preserve">, </w:t>
      </w:r>
      <w:r>
        <w:rPr>
          <w:rtl w:val="true"/>
        </w:rPr>
        <w:t>וכמות זו לא גרמה לו בעבר לאבד שליטה על מעשיו או לאבד את זכרונו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הגיע לכלל מסקנה כי לא עומדת למערער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השכרות</w:t>
      </w:r>
      <w:r>
        <w:rPr>
          <w:rtl w:val="true"/>
        </w:rPr>
        <w:t xml:space="preserve">, </w:t>
      </w:r>
      <w:r>
        <w:rPr>
          <w:rtl w:val="true"/>
        </w:rPr>
        <w:t>מאחר שאמנם היה שרוי תחת השפעת אלכוהול בעת ביצוע הירי</w:t>
      </w:r>
      <w:r>
        <w:rPr>
          <w:rtl w:val="true"/>
        </w:rPr>
        <w:t xml:space="preserve">, </w:t>
      </w:r>
      <w:r>
        <w:rPr>
          <w:rtl w:val="true"/>
        </w:rPr>
        <w:t>אולם היה מודע למעשיו</w:t>
      </w:r>
      <w:r>
        <w:rPr>
          <w:rtl w:val="true"/>
        </w:rPr>
        <w:t xml:space="preserve">, </w:t>
      </w:r>
      <w:r>
        <w:rPr>
          <w:rtl w:val="true"/>
        </w:rPr>
        <w:t xml:space="preserve">כך ששכרותו לא הגיעה כדי </w:t>
      </w:r>
      <w:r>
        <w:rPr>
          <w:rtl w:val="true"/>
        </w:rPr>
        <w:t>"</w:t>
      </w:r>
      <w:r>
        <w:rPr>
          <w:rtl w:val="true"/>
        </w:rPr>
        <w:t>שכרות מלאה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שכרות חלקית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 xml:space="preserve">לבחינת התקיימות </w:t>
      </w:r>
      <w:r>
        <w:rPr>
          <w:rtl w:val="true"/>
        </w:rPr>
        <w:t>יסודות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הניסיון</w:t>
      </w:r>
      <w:r>
        <w:rPr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</w:t>
      </w:r>
      <w:r>
        <w:rPr>
          <w:rtl w:val="true"/>
        </w:rPr>
        <w:t xml:space="preserve"> </w:t>
      </w:r>
      <w:r>
        <w:rPr>
          <w:rtl w:val="true"/>
        </w:rPr>
        <w:t>התקיים</w:t>
      </w:r>
      <w:r>
        <w:rPr>
          <w:rtl w:val="true"/>
        </w:rPr>
        <w:t xml:space="preserve"> </w:t>
      </w:r>
      <w:r>
        <w:rPr>
          <w:rtl w:val="true"/>
        </w:rPr>
        <w:t xml:space="preserve">כאשר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אלירז</w:t>
      </w:r>
      <w:r>
        <w:rPr>
          <w:rtl w:val="true"/>
        </w:rPr>
        <w:t xml:space="preserve"> </w:t>
      </w:r>
      <w:r>
        <w:rPr>
          <w:rtl w:val="true"/>
        </w:rPr>
        <w:t>וגרם</w:t>
      </w:r>
      <w:r>
        <w:rPr>
          <w:rtl w:val="true"/>
        </w:rPr>
        <w:t xml:space="preserve"> </w:t>
      </w:r>
      <w:r>
        <w:rPr>
          <w:rtl w:val="true"/>
        </w:rPr>
        <w:t>לפציעתו</w:t>
      </w:r>
      <w:r>
        <w:rPr>
          <w:rtl w:val="true"/>
        </w:rPr>
        <w:t xml:space="preserve"> </w:t>
      </w:r>
      <w:r>
        <w:rPr>
          <w:rtl w:val="true"/>
        </w:rPr>
        <w:t>החמורה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הוכחו</w:t>
      </w:r>
      <w:r>
        <w:rPr>
          <w:rtl w:val="true"/>
        </w:rPr>
        <w:t xml:space="preserve"> </w:t>
      </w:r>
      <w:r>
        <w:rPr>
          <w:rtl w:val="true"/>
        </w:rPr>
        <w:t>שלושת</w:t>
      </w:r>
      <w:r>
        <w:rPr>
          <w:rtl w:val="true"/>
        </w:rPr>
        <w:t xml:space="preserve"> </w:t>
      </w:r>
      <w:r>
        <w:rPr>
          <w:rtl w:val="true"/>
        </w:rPr>
        <w:t>רכיבי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tl w:val="true"/>
        </w:rPr>
        <w:t xml:space="preserve">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מלמדות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התכוון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להמית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אלירז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tl w:val="true"/>
        </w:rPr>
        <w:t xml:space="preserve"> </w:t>
      </w:r>
      <w:r>
        <w:rPr>
          <w:rtl w:val="true"/>
        </w:rPr>
        <w:t>בירייה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שובו של המערער למקום לאחר שהצטייד באקדח</w:t>
      </w:r>
      <w:r>
        <w:rPr>
          <w:rtl w:val="true"/>
        </w:rPr>
        <w:t xml:space="preserve">, </w:t>
      </w:r>
      <w:r>
        <w:rPr>
          <w:rtl w:val="true"/>
        </w:rPr>
        <w:t xml:space="preserve">ולכל הפחות העובדה כי לא עשה באקדח שימוש </w:t>
      </w:r>
      <w:r>
        <w:rPr>
          <w:rtl w:val="true"/>
        </w:rPr>
        <w:t>"</w:t>
      </w:r>
      <w:r>
        <w:rPr>
          <w:rtl w:val="true"/>
        </w:rPr>
        <w:t>ספונטני</w:t>
      </w:r>
      <w:r>
        <w:rPr>
          <w:rtl w:val="true"/>
        </w:rPr>
        <w:t xml:space="preserve">" </w:t>
      </w:r>
      <w:r>
        <w:rPr>
          <w:rtl w:val="true"/>
        </w:rPr>
        <w:t>מיד לאחר הטחת העלבון מצד אלירז</w:t>
      </w:r>
      <w:r>
        <w:rPr>
          <w:rtl w:val="true"/>
        </w:rPr>
        <w:t xml:space="preserve">, </w:t>
      </w:r>
      <w:r>
        <w:rPr>
          <w:rtl w:val="true"/>
        </w:rPr>
        <w:t xml:space="preserve">מצביעים על יסוד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עובר לאירוע הירי</w:t>
      </w:r>
      <w:r>
        <w:rPr>
          <w:rtl w:val="true"/>
        </w:rPr>
        <w:t xml:space="preserve">, </w:t>
      </w:r>
      <w:r>
        <w:rPr>
          <w:rtl w:val="true"/>
        </w:rPr>
        <w:t xml:space="preserve">המערער כלל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קונטר</w:t>
      </w:r>
      <w:r>
        <w:rPr>
          <w:rtl w:val="true"/>
        </w:rPr>
        <w:t xml:space="preserve"> על ידי אלירז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בית המשפט המחוזי הרשיע את המערער בעבירת ניסיון לרצח שיוחסה לו בכתב האישום המתוקן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קבע כי המערער פגע במידה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tl w:val="true"/>
        </w:rPr>
        <w:t xml:space="preserve"> בערכים המוגנים ביסוד עבירת הניסיון לרצח</w:t>
      </w:r>
      <w:r>
        <w:rPr>
          <w:rtl w:val="true"/>
        </w:rPr>
        <w:t xml:space="preserve">, </w:t>
      </w:r>
      <w:r>
        <w:rPr>
          <w:rtl w:val="true"/>
        </w:rPr>
        <w:t>ובכללם ערך קדושת החיים</w:t>
      </w:r>
      <w:r>
        <w:rPr>
          <w:rtl w:val="true"/>
        </w:rPr>
        <w:t xml:space="preserve">, </w:t>
      </w:r>
      <w:r>
        <w:rPr>
          <w:rtl w:val="true"/>
        </w:rPr>
        <w:t>שלמות הגוף והביטחון האישי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בעשותו שימוש בנשק חם וגרימת נזק בלתי הפיך לאלירז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; </w:t>
      </w:r>
      <w:r>
        <w:rPr>
          <w:rtl w:val="true"/>
        </w:rPr>
        <w:t>ל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עזיבתו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המבוגרים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שפיר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;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לאלירז</w:t>
      </w:r>
      <w:r>
        <w:rPr>
          <w:rtl w:val="true"/>
        </w:rPr>
        <w:t xml:space="preserve">, </w:t>
      </w:r>
      <w:r>
        <w:rPr>
          <w:rtl w:val="true"/>
        </w:rPr>
        <w:t>והעול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לאלירז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שגה</w:t>
      </w:r>
      <w:r>
        <w:rPr>
          <w:rtl w:val="true"/>
        </w:rPr>
        <w:t xml:space="preserve"> ביישום המבחנים לבחינת מודעותו לפי </w:t>
      </w:r>
      <w:r>
        <w:rPr>
          <w:rtl w:val="true"/>
        </w:rPr>
        <w:t>"</w:t>
      </w:r>
      <w:r>
        <w:rPr>
          <w:rtl w:val="true"/>
        </w:rPr>
        <w:t>הגנת השכרות</w:t>
      </w:r>
      <w:r>
        <w:rPr>
          <w:rtl w:val="true"/>
        </w:rPr>
        <w:t xml:space="preserve">".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שגה גם במסקנתו הסופית בהכרעת הדין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יישומם הנכון של המבחנים תומך במסקנה כי פעל בהשפעת השכרות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בגדר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הודגש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המומחה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 </w:t>
      </w:r>
      <w:r>
        <w:rPr>
          <w:rtl w:val="true"/>
        </w:rPr>
        <w:t>מספקת ראיה אובייקטיבית לשכרות המערער אשר לא הופרכה על ידי המשיבה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כי 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החבורה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 היתר</w:t>
      </w:r>
      <w:r>
        <w:rPr>
          <w:rtl w:val="true"/>
        </w:rPr>
        <w:t xml:space="preserve">: </w:t>
      </w:r>
      <w:r>
        <w:rPr>
          <w:rtl w:val="true"/>
        </w:rPr>
        <w:t>פרוטוקול הדיון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השוטרים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42-40</w:t>
      </w:r>
      <w:r>
        <w:rPr>
          <w:rtl w:val="true"/>
        </w:rPr>
        <w:t xml:space="preserve">) </w:t>
      </w:r>
      <w:r>
        <w:rPr>
          <w:rtl w:val="true"/>
        </w:rPr>
        <w:t>עולה כי המערער התנהל באופן לא שגרתי וכשיכור</w:t>
      </w:r>
      <w:r>
        <w:rPr>
          <w:rtl w:val="true"/>
        </w:rPr>
        <w:t xml:space="preserve">; </w:t>
      </w:r>
      <w:r>
        <w:rPr>
          <w:rtl w:val="true"/>
        </w:rPr>
        <w:t>וכך גם עולה מהתנהגותו בתחנת המשטרה</w:t>
      </w:r>
      <w:r>
        <w:rPr>
          <w:rtl w:val="true"/>
        </w:rPr>
        <w:t xml:space="preserve">, </w:t>
      </w:r>
      <w:r>
        <w:rPr>
          <w:rtl w:val="true"/>
        </w:rPr>
        <w:t xml:space="preserve">בה התקשה לשבת ישר ודיבר באופן בלתי ברור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59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 כי בית המשפט שגה בייחסו למערער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לגביהם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 </w:t>
      </w:r>
      <w:r>
        <w:rPr>
          <w:rtl w:val="true"/>
        </w:rPr>
        <w:t>באיזה</w:t>
      </w:r>
      <w:r>
        <w:rPr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 </w:t>
      </w:r>
      <w:r>
        <w:rPr>
          <w:rtl w:val="true"/>
        </w:rPr>
        <w:t>הצטייד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 </w:t>
      </w:r>
      <w:r>
        <w:rPr>
          <w:rtl w:val="true"/>
        </w:rPr>
        <w:t>ולאיזה</w:t>
      </w:r>
      <w:r>
        <w:rPr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ומאחר ש</w:t>
      </w:r>
      <w:r>
        <w:rPr>
          <w:rtl w:val="true"/>
        </w:rPr>
        <w:t>פריקת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tl w:val="true"/>
        </w:rPr>
        <w:t xml:space="preserve"> </w:t>
      </w:r>
      <w:r>
        <w:rPr>
          <w:rtl w:val="true"/>
        </w:rPr>
        <w:t>מאבטח</w:t>
      </w:r>
      <w:r>
        <w:rPr>
          <w:rtl w:val="true"/>
        </w:rPr>
        <w:t xml:space="preserve"> </w:t>
      </w:r>
      <w:r>
        <w:rPr>
          <w:rtl w:val="true"/>
        </w:rPr>
        <w:t>מיומן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 </w:t>
      </w:r>
      <w:r>
        <w:rPr>
          <w:rtl w:val="true"/>
        </w:rPr>
        <w:t>טכנית</w:t>
      </w:r>
      <w:r>
        <w:rPr>
          <w:rtl w:val="true"/>
        </w:rPr>
        <w:t xml:space="preserve"> </w:t>
      </w:r>
      <w:r>
        <w:rPr>
          <w:rtl w:val="true"/>
        </w:rPr>
        <w:t>ואינסטינקטיבית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שלאחר</w:t>
      </w:r>
      <w:r>
        <w:rPr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 </w:t>
      </w:r>
      <w:r>
        <w:rPr>
          <w:rtl w:val="true"/>
        </w:rPr>
        <w:t>ונפל</w:t>
      </w:r>
      <w:r>
        <w:rPr>
          <w:rtl w:val="true"/>
        </w:rPr>
        <w:t xml:space="preserve"> </w:t>
      </w:r>
      <w:r>
        <w:rPr>
          <w:rtl w:val="true"/>
        </w:rPr>
        <w:t>לשינה</w:t>
      </w:r>
      <w:r>
        <w:rPr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tl w:val="true"/>
        </w:rPr>
        <w:t xml:space="preserve"> </w:t>
      </w:r>
      <w:r>
        <w:rPr>
          <w:rtl w:val="true"/>
        </w:rPr>
        <w:t>שהתקלח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tl w:val="true"/>
        </w:rPr>
        <w:t xml:space="preserve"> </w:t>
      </w:r>
      <w:r>
        <w:rPr>
          <w:rtl w:val="true"/>
        </w:rPr>
        <w:t>להעלים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הבין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בדומה נטען כי</w:t>
      </w:r>
      <w:r>
        <w:rPr>
          <w:rtl w:val="true"/>
        </w:rPr>
        <w:t xml:space="preserve"> ה</w:t>
      </w:r>
      <w:r>
        <w:rPr>
          <w:rtl w:val="true"/>
        </w:rPr>
        <w:t>מניע</w:t>
      </w:r>
      <w:r>
        <w:rPr>
          <w:rtl w:val="true"/>
        </w:rPr>
        <w:t xml:space="preserve"> </w:t>
      </w:r>
      <w:r>
        <w:rPr>
          <w:rtl w:val="true"/>
        </w:rPr>
        <w:t>למעשי</w:t>
      </w:r>
      <w:r>
        <w:rPr>
          <w:rtl w:val="true"/>
        </w:rPr>
        <w:t xml:space="preserve">ו </w:t>
      </w:r>
      <w:r>
        <w:rPr>
          <w:rtl w:val="true"/>
        </w:rPr>
        <w:t xml:space="preserve">– </w:t>
      </w:r>
      <w:r>
        <w:rPr>
          <w:rtl w:val="true"/>
        </w:rPr>
        <w:t>דבריו</w:t>
      </w:r>
      <w:r>
        <w:rPr>
          <w:rtl w:val="true"/>
        </w:rPr>
        <w:t xml:space="preserve"> של אלירז</w:t>
      </w:r>
      <w:r>
        <w:rPr>
          <w:rtl w:val="true"/>
        </w:rPr>
        <w:t xml:space="preserve">, </w:t>
      </w:r>
      <w:r>
        <w:rPr>
          <w:rtl w:val="true"/>
        </w:rPr>
        <w:t xml:space="preserve">מלמד </w:t>
      </w:r>
      <w:r>
        <w:rPr>
          <w:rtl w:val="true"/>
        </w:rPr>
        <w:t xml:space="preserve">דווקא </w:t>
      </w:r>
      <w:r>
        <w:rPr>
          <w:rtl w:val="true"/>
        </w:rPr>
        <w:t>על חוסר מודעות ל</w:t>
      </w:r>
      <w:r>
        <w:rPr>
          <w:rtl w:val="true"/>
        </w:rPr>
        <w:t xml:space="preserve">אפשרות </w:t>
      </w:r>
      <w:r>
        <w:rPr>
          <w:rtl w:val="true"/>
        </w:rPr>
        <w:t>מותו של אלירז</w:t>
      </w:r>
      <w:r>
        <w:rPr>
          <w:rtl w:val="true"/>
        </w:rPr>
        <w:t xml:space="preserve"> כתוצאה מהירי</w:t>
      </w:r>
      <w:r>
        <w:rPr>
          <w:rtl w:val="true"/>
        </w:rPr>
        <w:t xml:space="preserve">, </w:t>
      </w:r>
      <w:r>
        <w:rPr>
          <w:rtl w:val="true"/>
        </w:rPr>
        <w:t xml:space="preserve">שהרי </w:t>
      </w:r>
      <w:r>
        <w:rPr>
          <w:rtl w:val="true"/>
        </w:rPr>
        <w:t>אדם</w:t>
      </w:r>
      <w:r>
        <w:rPr>
          <w:rtl w:val="true"/>
        </w:rPr>
        <w:t xml:space="preserve"> סביר </w:t>
      </w:r>
      <w:r>
        <w:rPr>
          <w:rtl w:val="true"/>
        </w:rPr>
        <w:t>לא</w:t>
      </w:r>
      <w:r>
        <w:rPr>
          <w:rtl w:val="true"/>
        </w:rPr>
        <w:t xml:space="preserve"> היה פועל כן אלמלא השפעת האלכוהול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הסתברות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תוצאת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אשר לדחיית בית המשפט את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לפיה אינו זוכר דבר מהאירוע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זו נסמכה על שלושה אדנים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שגויים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גרסתו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בעדותו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עקבית</w:t>
      </w:r>
      <w:r>
        <w:rPr>
          <w:rtl w:val="true"/>
        </w:rPr>
        <w:t xml:space="preserve">; </w:t>
      </w:r>
      <w:r>
        <w:rPr>
          <w:rtl w:val="true"/>
        </w:rPr>
        <w:t>זיכרונו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האותנטיות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התפוגגות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זכרונו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ביחס לגזר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נטען כי מתחם העונש שנקבע מחמיר ואינו הולם את נסיבות המקרה בהן מעשה הירי בוצע באקראי</w:t>
      </w:r>
      <w:r>
        <w:rPr>
          <w:rtl w:val="true"/>
        </w:rPr>
        <w:t xml:space="preserve">, </w:t>
      </w:r>
      <w:r>
        <w:rPr>
          <w:rtl w:val="true"/>
        </w:rPr>
        <w:t>תוך שהמערער שרוי בהשפעת אלכוהול ברמה הקרובה</w:t>
      </w:r>
      <w:r>
        <w:rPr>
          <w:rtl w:val="true"/>
        </w:rPr>
        <w:t xml:space="preserve">, </w:t>
      </w:r>
      <w:r>
        <w:rPr>
          <w:rtl w:val="true"/>
        </w:rPr>
        <w:t>לכל הפחות</w:t>
      </w:r>
      <w:r>
        <w:rPr>
          <w:rtl w:val="true"/>
        </w:rPr>
        <w:t xml:space="preserve">, </w:t>
      </w:r>
      <w:r>
        <w:rPr>
          <w:rtl w:val="true"/>
        </w:rPr>
        <w:t>לסייג השכרות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טוען כי גזירת עונשו בגדרי המתחם לא התחשבה כנדרש בנסיבותיו האישיות והמשפחתיות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סומכת ידיה על הכרעת בית המשפט המחוזי לפיה המערער לא הצליח להעלות ספק סביר בדבר התקיימות הגנת השכרות בעניינו</w:t>
      </w:r>
      <w:r>
        <w:rPr>
          <w:rtl w:val="true"/>
        </w:rPr>
        <w:t xml:space="preserve">. </w:t>
      </w:r>
      <w:r>
        <w:rPr>
          <w:rtl w:val="true"/>
        </w:rPr>
        <w:t>הכרעה זו</w:t>
      </w:r>
      <w:r>
        <w:rPr>
          <w:rtl w:val="true"/>
        </w:rPr>
        <w:t xml:space="preserve">, </w:t>
      </w:r>
      <w:r>
        <w:rPr>
          <w:rtl w:val="true"/>
        </w:rPr>
        <w:t>מסתמכת לשיטתה על קביעות מובהקות שבעובדה ומהימנות</w:t>
      </w:r>
      <w:r>
        <w:rPr>
          <w:rtl w:val="true"/>
        </w:rPr>
        <w:t xml:space="preserve">, </w:t>
      </w:r>
      <w:r>
        <w:rPr>
          <w:rtl w:val="true"/>
        </w:rPr>
        <w:t>שהן תוצר התרשמותו של בית המשפט המחוזי מהעדויות והראיות שהובאו לפניו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 מקום להתערבות ערכאת הערעור בהן</w:t>
      </w:r>
      <w:r>
        <w:rPr>
          <w:rtl w:val="true"/>
        </w:rPr>
        <w:t xml:space="preserve">. </w:t>
      </w:r>
      <w:r>
        <w:rPr>
          <w:rtl w:val="true"/>
        </w:rPr>
        <w:t xml:space="preserve">כך גם ביחס לממצאים הקשורים בהתקיימותה של הגנת השכרות </w:t>
      </w:r>
      <w:r>
        <w:rPr>
          <w:rtl w:val="true"/>
        </w:rPr>
        <w:t>–</w:t>
      </w:r>
      <w:r>
        <w:rPr>
          <w:rtl w:val="true"/>
        </w:rPr>
        <w:t xml:space="preserve"> הודגש</w:t>
      </w:r>
      <w:r>
        <w:rPr>
          <w:rtl w:val="true"/>
        </w:rPr>
        <w:t xml:space="preserve">, </w:t>
      </w:r>
      <w:r>
        <w:rPr>
          <w:rtl w:val="true"/>
        </w:rPr>
        <w:t>כי בעוד שהמערער שתה אלכוהול עובר לאירוע</w:t>
      </w:r>
      <w:r>
        <w:rPr>
          <w:rtl w:val="true"/>
        </w:rPr>
        <w:t xml:space="preserve">, </w:t>
      </w:r>
      <w:r>
        <w:rPr>
          <w:rtl w:val="true"/>
        </w:rPr>
        <w:t xml:space="preserve">בחינת מכלול המבחנים הראייתיים מלמדת כי לא היה שרוי תחת </w:t>
      </w:r>
      <w:r>
        <w:rPr>
          <w:rtl w:val="true"/>
        </w:rPr>
        <w:t>"</w:t>
      </w:r>
      <w:r>
        <w:rPr>
          <w:rtl w:val="true"/>
        </w:rPr>
        <w:t>מצב של שכרות</w:t>
      </w:r>
      <w:r>
        <w:rPr>
          <w:rtl w:val="true"/>
        </w:rPr>
        <w:t xml:space="preserve">", </w:t>
      </w:r>
      <w:r>
        <w:rPr>
          <w:rtl w:val="true"/>
        </w:rPr>
        <w:t>באופן שהיה מודע למעשיו קודם לירי</w:t>
      </w:r>
      <w:r>
        <w:rPr>
          <w:rtl w:val="true"/>
        </w:rPr>
        <w:t xml:space="preserve">, </w:t>
      </w:r>
      <w:r>
        <w:rPr>
          <w:rtl w:val="true"/>
        </w:rPr>
        <w:t>במהלכו ולאחריו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 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אין מקום להתערב בגזר הדין שהושת על המערער נוכח חומרת המעשים והנזק שנגרם לאלירז ומשפחתו</w:t>
      </w:r>
      <w:r>
        <w:rPr>
          <w:rtl w:val="true"/>
        </w:rPr>
        <w:t xml:space="preserve">, </w:t>
      </w:r>
      <w:r>
        <w:rPr>
          <w:rtl w:val="true"/>
        </w:rPr>
        <w:t>ואף אין מקום להקל בעונשו של המערער בשל העובדה שהיה שתוי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בפנינו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שבה בהרחבה על טיעוניה בנימוקי הערעור ו</w:t>
      </w:r>
      <w:r>
        <w:rPr>
          <w:rtl w:val="true"/>
        </w:rPr>
        <w:t>הדגישה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בליל</w:t>
      </w:r>
      <w:r>
        <w:rPr>
          <w:rtl w:val="true"/>
        </w:rPr>
        <w:t xml:space="preserve"> האירוע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שתה</w:t>
      </w:r>
      <w:r>
        <w:rPr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נרדם</w:t>
      </w:r>
      <w:r>
        <w:rPr>
          <w:rtl w:val="true"/>
        </w:rPr>
        <w:t xml:space="preserve">, </w:t>
      </w:r>
      <w:r>
        <w:rPr>
          <w:rtl w:val="true"/>
        </w:rPr>
        <w:t>והתעורר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 בידי השוטרים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 xml:space="preserve">לגבי </w:t>
      </w:r>
      <w:r>
        <w:rPr>
          <w:rtl w:val="true"/>
        </w:rPr>
        <w:t>פרק</w:t>
      </w:r>
      <w:r>
        <w:rPr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 </w:t>
      </w:r>
      <w:r>
        <w:rPr>
          <w:rtl w:val="true"/>
        </w:rPr>
        <w:t>שבתווך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מהווה</w:t>
      </w:r>
      <w:r>
        <w:rPr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חור</w:t>
      </w:r>
      <w:r>
        <w:rPr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" </w:t>
      </w:r>
      <w:r>
        <w:rPr>
          <w:rtl w:val="true"/>
        </w:rPr>
        <w:t>כלשונה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;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tl w:val="true"/>
        </w:rPr>
        <w:t xml:space="preserve">"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לוגיים</w:t>
      </w:r>
      <w:r>
        <w:rPr>
          <w:rtl w:val="true"/>
        </w:rPr>
        <w:t xml:space="preserve">" </w:t>
      </w:r>
      <w:r>
        <w:rPr>
          <w:rtl w:val="true"/>
        </w:rPr>
        <w:t>שגויים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המשיבה</w:t>
      </w:r>
      <w:r>
        <w:rPr>
          <w:rtl w:val="true"/>
        </w:rPr>
        <w:t xml:space="preserve">, </w:t>
      </w:r>
      <w:r>
        <w:rPr>
          <w:rtl w:val="true"/>
        </w:rPr>
        <w:t>הדגישה כי גם אם המערער לא היה במלוא חושיו בעת ביצוע מעשה הירי</w:t>
      </w:r>
      <w:r>
        <w:rPr>
          <w:rtl w:val="true"/>
        </w:rPr>
        <w:t xml:space="preserve">, </w:t>
      </w:r>
      <w:r>
        <w:rPr>
          <w:rtl w:val="true"/>
        </w:rPr>
        <w:t>הוא היה מודע למעשים והיה בעל יכולת לתכנן אותם</w:t>
      </w:r>
      <w:r>
        <w:rPr>
          <w:rtl w:val="true"/>
        </w:rPr>
        <w:t xml:space="preserve">, </w:t>
      </w:r>
      <w:r>
        <w:rPr>
          <w:rtl w:val="true"/>
        </w:rPr>
        <w:t xml:space="preserve">באופן אשר אינו בא בשערי </w:t>
      </w:r>
      <w:r>
        <w:rPr>
          <w:rtl w:val="true"/>
        </w:rPr>
        <w:t>"</w:t>
      </w:r>
      <w:r>
        <w:rPr>
          <w:rtl w:val="true"/>
        </w:rPr>
        <w:t>הגנת השכרות</w:t>
      </w:r>
      <w:r>
        <w:rPr>
          <w:rtl w:val="true"/>
        </w:rPr>
        <w:t xml:space="preserve">". </w:t>
      </w:r>
      <w:r>
        <w:rPr>
          <w:rtl w:val="true"/>
        </w:rPr>
        <w:t>הוסיפה והדגישה</w:t>
      </w:r>
      <w:r>
        <w:rPr>
          <w:rtl w:val="true"/>
        </w:rPr>
        <w:t xml:space="preserve">, </w:t>
      </w:r>
      <w:r>
        <w:rPr>
          <w:rtl w:val="true"/>
        </w:rPr>
        <w:t>כי גם התנהלות המערער סמוך לאחר הירי ובתחנת המשטרה בחקירותיו</w:t>
      </w:r>
      <w:r>
        <w:rPr>
          <w:rtl w:val="true"/>
        </w:rPr>
        <w:t xml:space="preserve">, </w:t>
      </w:r>
      <w:r>
        <w:rPr>
          <w:rtl w:val="true"/>
        </w:rPr>
        <w:t xml:space="preserve">מלמדת כי כלכל את מעשיו </w:t>
      </w:r>
      <w:r>
        <w:rPr>
          <w:rtl w:val="true"/>
        </w:rPr>
        <w:t>–</w:t>
      </w:r>
      <w:r>
        <w:rPr>
          <w:rtl w:val="true"/>
        </w:rPr>
        <w:t xml:space="preserve"> במגבלות השפעת שכרותו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בטענות הצדדים ובחומר הראיות שהונח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ולאחר ששמעתי את טיעוני באות</w:t>
      </w:r>
      <w:r>
        <w:rPr>
          <w:rtl w:val="true"/>
        </w:rPr>
        <w:t>-</w:t>
      </w:r>
      <w:r>
        <w:rPr>
          <w:rtl w:val="true"/>
        </w:rPr>
        <w:t>כוח הצדדים בדיון שהתקיים בפנינו</w:t>
      </w:r>
      <w:r>
        <w:rPr>
          <w:rtl w:val="true"/>
        </w:rPr>
        <w:t xml:space="preserve">, </w:t>
      </w:r>
      <w:r>
        <w:rPr>
          <w:rtl w:val="true"/>
        </w:rPr>
        <w:t xml:space="preserve">השתכנעתי כי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טרם</w:t>
      </w:r>
      <w:r>
        <w:rPr>
          <w:rtl w:val="true"/>
        </w:rPr>
        <w:t xml:space="preserve"> </w:t>
      </w:r>
      <w:r>
        <w:rPr>
          <w:rtl w:val="true"/>
        </w:rPr>
        <w:t>אפנה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הגנת</w:t>
      </w:r>
      <w:r>
        <w:rPr>
          <w:rtl w:val="true"/>
        </w:rPr>
        <w:t xml:space="preserve"> </w:t>
      </w:r>
      <w:r>
        <w:rPr>
          <w:rtl w:val="true"/>
        </w:rPr>
        <w:t>השכרות</w:t>
      </w:r>
      <w:r>
        <w:rPr>
          <w:rtl w:val="true"/>
        </w:rPr>
        <w:t xml:space="preserve">", </w:t>
      </w:r>
      <w:r>
        <w:rPr>
          <w:rtl w:val="true"/>
        </w:rPr>
        <w:t>אדגיש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קביעותיו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להשתלשלות</w:t>
      </w:r>
      <w:r>
        <w:rPr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 –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במהלכו</w:t>
      </w:r>
      <w:r>
        <w:rPr>
          <w:rtl w:val="true"/>
        </w:rPr>
        <w:t xml:space="preserve"> </w:t>
      </w:r>
      <w:r>
        <w:rPr>
          <w:rtl w:val="true"/>
        </w:rPr>
        <w:t>ולאחריו</w:t>
      </w:r>
      <w:r>
        <w:rPr>
          <w:rtl w:val="true"/>
        </w:rPr>
        <w:t xml:space="preserve">, </w:t>
      </w:r>
      <w:r>
        <w:rPr>
          <w:rtl w:val="true"/>
        </w:rPr>
        <w:t>מסתמכות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רובן ככולן</w:t>
      </w:r>
      <w:r>
        <w:rPr>
          <w:rtl w:val="true"/>
        </w:rPr>
        <w:t xml:space="preserve">, </w:t>
      </w:r>
      <w:r>
        <w:rPr>
          <w:rtl w:val="true"/>
        </w:rPr>
        <w:t>על ממצאי עובדה ומהימנות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לאחר שבית המשפט נתן דעתו לעובדה כי בני החבורה שתו אלכוהול עובר לאירוע הירי ואף על פי כן מצא </w:t>
      </w:r>
      <w:r>
        <w:rPr>
          <w:rtl w:val="true"/>
        </w:rPr>
        <w:t>"</w:t>
      </w:r>
      <w:r>
        <w:rPr>
          <w:rtl w:val="true"/>
        </w:rPr>
        <w:t>גרעין של אמת</w:t>
      </w:r>
      <w:r>
        <w:rPr>
          <w:rtl w:val="true"/>
        </w:rPr>
        <w:t xml:space="preserve">" </w:t>
      </w:r>
      <w:r>
        <w:rPr>
          <w:rtl w:val="true"/>
        </w:rPr>
        <w:t>משותף בעדויותיהם</w:t>
      </w:r>
      <w:r>
        <w:rPr>
          <w:rtl w:val="true"/>
        </w:rPr>
        <w:t xml:space="preserve">; </w:t>
      </w:r>
      <w:r>
        <w:rPr>
          <w:rtl w:val="true"/>
        </w:rPr>
        <w:t>ולאחר</w:t>
      </w:r>
      <w:r>
        <w:rPr>
          <w:rtl w:val="true"/>
        </w:rPr>
        <w:t xml:space="preserve"> </w:t>
      </w:r>
      <w:r>
        <w:rPr>
          <w:rtl w:val="true"/>
        </w:rPr>
        <w:t>שהכיר</w:t>
      </w:r>
      <w:r>
        <w:rPr>
          <w:rtl w:val="true"/>
        </w:rPr>
        <w:t xml:space="preserve"> במהימנות </w:t>
      </w:r>
      <w:r>
        <w:rPr>
          <w:rtl w:val="true"/>
        </w:rPr>
        <w:t>עדויות</w:t>
      </w:r>
      <w:r>
        <w:rPr>
          <w:rtl w:val="true"/>
        </w:rPr>
        <w:t xml:space="preserve"> </w:t>
      </w:r>
      <w:r>
        <w:rPr>
          <w:rtl w:val="true"/>
        </w:rPr>
        <w:t>גורמי</w:t>
      </w:r>
      <w:r>
        <w:rPr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היותם</w:t>
      </w:r>
      <w:r>
        <w:rPr>
          <w:rtl w:val="true"/>
        </w:rPr>
        <w:t xml:space="preserve"> </w:t>
      </w:r>
      <w:r>
        <w:rPr>
          <w:rtl w:val="true"/>
        </w:rPr>
        <w:t>גורמים</w:t>
      </w:r>
      <w:r>
        <w:rPr>
          <w:rtl w:val="true"/>
        </w:rPr>
        <w:t xml:space="preserve"> </w:t>
      </w:r>
      <w:r>
        <w:rPr>
          <w:rtl w:val="true"/>
        </w:rPr>
        <w:t>אובייקטיבים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נקלעו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מתוקף</w:t>
      </w:r>
      <w:r>
        <w:rPr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בהיבט זה</w:t>
      </w:r>
      <w:r>
        <w:rPr>
          <w:rtl w:val="true"/>
        </w:rPr>
        <w:t xml:space="preserve">, </w:t>
      </w:r>
      <w:r>
        <w:rPr>
          <w:rtl w:val="true"/>
        </w:rPr>
        <w:t xml:space="preserve">נקודת המוצא היא </w:t>
      </w:r>
      <w:r>
        <w:rPr>
          <w:rtl w:val="true"/>
        </w:rPr>
        <w:t xml:space="preserve">כי ערכאת הערעור אינה נוהגת להתערב בממצאי עובדה ומהימנות שנקבעו על ידי הערכאה הדיונית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5995/21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</w:t>
      </w:r>
      <w:r>
        <w:rPr/>
        <w:t>6</w:t>
      </w:r>
      <w:r>
        <w:rPr/>
        <w:t>.2022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 xml:space="preserve">מטעמיה של הלכה זו הוא כי </w:t>
      </w:r>
      <w:r>
        <w:rPr>
          <w:rtl w:val="true"/>
        </w:rPr>
        <w:t xml:space="preserve">ישנו יתרון מובהק לערכאה הדיונית המתרשמת באופן בלתי אמצעי מהעדויות שמוצגות לפניה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7049/20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אלטורה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26.6.2022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אלטורה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8956/20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מרטינס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28.6.2022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בנימינוב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28.7.2022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ומשכך</w:t>
      </w:r>
      <w:r>
        <w:rPr>
          <w:rtl w:val="true"/>
        </w:rPr>
        <w:t xml:space="preserve"> </w:t>
      </w:r>
      <w:r>
        <w:rPr>
          <w:rtl w:val="true"/>
        </w:rPr>
        <w:t>איני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בקביעות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tl w:val="true"/>
        </w:rPr>
        <w:t xml:space="preserve">"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השכרות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Miriam" w:ascii="Century" w:hAnsi="Century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רלוונטית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סייג </w:t>
      </w:r>
      <w:r>
        <w:rPr>
          <w:rtl w:val="true"/>
        </w:rPr>
        <w:t>"</w:t>
      </w:r>
      <w:r>
        <w:rPr>
          <w:rtl w:val="true"/>
        </w:rPr>
        <w:t>הגנת השכרות</w:t>
      </w:r>
      <w:r>
        <w:rPr>
          <w:rtl w:val="true"/>
        </w:rPr>
        <w:t xml:space="preserve">" </w:t>
      </w:r>
      <w:r>
        <w:rPr>
          <w:rtl w:val="true"/>
        </w:rPr>
        <w:t xml:space="preserve">קבוע </w:t>
      </w:r>
      <w:hyperlink r:id="rId2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וזו לשונו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ascii="Century" w:hAnsi="Century" w:cs="Century"/>
          <w:b/>
          <w:b/>
          <w:bCs/>
          <w:rtl w:val="true"/>
        </w:rPr>
        <w:t>ש</w:t>
      </w:r>
      <w:r>
        <w:rPr>
          <w:rFonts w:ascii="Century" w:hAnsi="Century" w:cs="Century"/>
          <w:b/>
          <w:b/>
          <w:bCs/>
          <w:rtl w:val="true"/>
        </w:rPr>
        <w:t>כרות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cs="Century" w:ascii="Century" w:hAnsi="Century"/>
          <w:b/>
          <w:bCs/>
          <w:rtl w:val="true"/>
        </w:rPr>
        <w:t>(</w:t>
      </w:r>
      <w:r>
        <w:rPr>
          <w:rFonts w:ascii="Century" w:hAnsi="Century" w:cs="Century"/>
          <w:b/>
          <w:b/>
          <w:bCs/>
          <w:rtl w:val="true"/>
        </w:rPr>
        <w:t>תיקון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מס</w:t>
      </w:r>
      <w:r>
        <w:rPr>
          <w:rFonts w:cs="Century" w:ascii="Century" w:hAnsi="Century"/>
          <w:b/>
          <w:bCs/>
          <w:rtl w:val="true"/>
        </w:rPr>
        <w:t xml:space="preserve">' </w:t>
      </w:r>
      <w:r>
        <w:rPr>
          <w:rFonts w:cs="Century" w:ascii="Century" w:hAnsi="Century"/>
          <w:b/>
          <w:bCs/>
        </w:rPr>
        <w:t>39</w:t>
      </w:r>
      <w:r>
        <w:rPr>
          <w:rFonts w:cs="Century" w:ascii="Century" w:hAnsi="Century"/>
          <w:b/>
          <w:bCs/>
          <w:rtl w:val="true"/>
        </w:rPr>
        <w:t xml:space="preserve">) </w:t>
      </w:r>
      <w:r>
        <w:rPr>
          <w:rFonts w:ascii="Century" w:hAnsi="Century" w:cs="Century"/>
          <w:b/>
          <w:b/>
          <w:bCs/>
          <w:rtl w:val="true"/>
        </w:rPr>
        <w:t>תשנ</w:t>
      </w:r>
      <w:r>
        <w:rPr>
          <w:rFonts w:cs="Century" w:ascii="Century" w:hAnsi="Century"/>
          <w:b/>
          <w:bCs/>
          <w:rtl w:val="true"/>
        </w:rPr>
        <w:t>"</w:t>
      </w:r>
      <w:r>
        <w:rPr>
          <w:rFonts w:ascii="Century" w:hAnsi="Century" w:cs="Century"/>
          <w:b/>
          <w:b/>
          <w:bCs/>
          <w:rtl w:val="true"/>
        </w:rPr>
        <w:t>ד</w:t>
      </w:r>
      <w:r>
        <w:rPr>
          <w:rFonts w:cs="Century" w:ascii="Century" w:hAnsi="Century"/>
          <w:b/>
          <w:bCs/>
          <w:rtl w:val="true"/>
        </w:rPr>
        <w:t>-</w:t>
      </w:r>
      <w:r>
        <w:rPr>
          <w:rFonts w:cs="Century" w:ascii="Century" w:hAnsi="Century"/>
          <w:b/>
          <w:bCs/>
        </w:rPr>
        <w:t>1994</w:t>
      </w:r>
    </w:p>
    <w:p>
      <w:pPr>
        <w:pStyle w:val="Ruller5"/>
        <w:ind w:end="1282"/>
        <w:jc w:val="both"/>
        <w:rPr>
          <w:rFonts w:ascii="Century" w:hAnsi="Century" w:cs="Century"/>
          <w:b/>
          <w:bCs/>
        </w:rPr>
      </w:pPr>
      <w:r>
        <w:rPr>
          <w:rFonts w:cs="Century" w:ascii="Century" w:hAnsi="Century"/>
          <w:b/>
          <w:bCs/>
          <w:rtl w:val="true"/>
        </w:rPr>
      </w:r>
    </w:p>
    <w:p>
      <w:pPr>
        <w:pStyle w:val="Ruller5"/>
        <w:ind w:end="1282"/>
        <w:jc w:val="both"/>
        <w:rPr/>
      </w:pPr>
      <w:r>
        <w:rPr/>
        <w:t>34</w:t>
      </w:r>
      <w:r>
        <w:rPr>
          <w:rtl w:val="true"/>
        </w:rPr>
        <w:t>ט</w:t>
      </w:r>
      <w:r>
        <w:rPr>
          <w:rtl w:val="true"/>
        </w:rPr>
        <w:t>.  (</w:t>
      </w:r>
      <w:r>
        <w:rPr>
          <w:rtl w:val="true"/>
        </w:rPr>
        <w:t>א</w:t>
      </w:r>
      <w:r>
        <w:rPr>
          <w:rtl w:val="true"/>
        </w:rPr>
        <w:t xml:space="preserve">) 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מדעתו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        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ומדעת</w:t>
      </w:r>
      <w:r>
        <w:rPr>
          <w:rtl w:val="true"/>
        </w:rPr>
        <w:t xml:space="preserve">,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        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 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        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 "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 xml:space="preserve">" -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שבמעשהו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        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 xml:space="preserve">) 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),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 </w:t>
      </w:r>
      <w:r>
        <w:rPr>
          <w:rtl w:val="true"/>
        </w:rPr>
        <w:t>מרצונו</w:t>
      </w:r>
      <w:r>
        <w:rPr>
          <w:rtl w:val="true"/>
        </w:rPr>
        <w:t xml:space="preserve"> </w:t>
      </w:r>
      <w:r>
        <w:rPr>
          <w:rtl w:val="true"/>
        </w:rPr>
        <w:t>החופשי</w:t>
      </w:r>
      <w:r>
        <w:rPr>
          <w:rtl w:val="true"/>
        </w:rPr>
        <w:t xml:space="preserve"> </w:t>
      </w:r>
      <w:r>
        <w:rPr>
          <w:rtl w:val="true"/>
        </w:rPr>
        <w:t>לשתות</w:t>
      </w:r>
      <w:r>
        <w:rPr>
          <w:rtl w:val="true"/>
        </w:rPr>
        <w:t xml:space="preserve"> </w:t>
      </w:r>
      <w:r>
        <w:rPr>
          <w:rtl w:val="true"/>
        </w:rPr>
        <w:t>משקה</w:t>
      </w:r>
      <w:r>
        <w:rPr>
          <w:rtl w:val="true"/>
        </w:rPr>
        <w:t xml:space="preserve"> </w:t>
      </w:r>
      <w:r>
        <w:rPr>
          <w:rtl w:val="true"/>
        </w:rPr>
        <w:t>אלכוהולי</w:t>
      </w:r>
      <w:r>
        <w:rPr>
          <w:rtl w:val="true"/>
        </w:rPr>
        <w:t xml:space="preserve"> </w:t>
      </w:r>
      <w:r>
        <w:rPr>
          <w:rtl w:val="true"/>
        </w:rPr>
        <w:t>בליל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לעבור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משכך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ענייננו עוסק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סעיפים</w:t>
      </w:r>
      <w:r>
        <w:rPr>
          <w:rtl w:val="true"/>
        </w:rPr>
        <w:t xml:space="preserve"> קטנים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בחינתו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קטן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הרלוונטי</w:t>
      </w:r>
      <w:r>
        <w:rPr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ייקבע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המיוחס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במצב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 xml:space="preserve">"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יהא</w:t>
      </w:r>
      <w:r>
        <w:rPr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תוצאה</w:t>
      </w:r>
      <w:r>
        <w:rPr>
          <w:rtl w:val="true"/>
        </w:rPr>
        <w:t xml:space="preserve"> </w:t>
      </w:r>
      <w:r>
        <w:rPr>
          <w:rtl w:val="true"/>
        </w:rPr>
        <w:t>הדורשת</w:t>
      </w:r>
      <w:r>
        <w:rPr>
          <w:rtl w:val="true"/>
        </w:rPr>
        <w:t xml:space="preserve"> </w:t>
      </w:r>
      <w:r>
        <w:rPr>
          <w:rtl w:val="true"/>
        </w:rPr>
        <w:t>יחס</w:t>
      </w:r>
      <w:r>
        <w:rPr>
          <w:rtl w:val="true"/>
        </w:rPr>
        <w:t xml:space="preserve"> </w:t>
      </w:r>
      <w:r>
        <w:rPr>
          <w:rtl w:val="true"/>
        </w:rPr>
        <w:t>חפצי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התרחשות</w:t>
      </w:r>
      <w:r>
        <w:rPr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יעקב </w:t>
      </w:r>
      <w:hyperlink r:id="rId23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בפלילים</w:t>
        </w:r>
      </w:hyperlink>
      <w:r>
        <w:rPr>
          <w:rtl w:val="true"/>
        </w:rPr>
        <w:t xml:space="preserve"> </w:t>
      </w:r>
      <w:r>
        <w:rPr/>
        <w:t>505-501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תש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 </w:t>
      </w:r>
      <w:r>
        <w:rPr>
          <w:rtl w:val="true"/>
        </w:rPr>
        <w:t xml:space="preserve">למערער מיוחסת עבירת ניסיון לרצח 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אשר לצד ייחודיותה כעבירת ניסיון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עצמאית</w:t>
      </w:r>
      <w:r>
        <w:rPr>
          <w:rtl w:val="true"/>
        </w:rPr>
        <w:t xml:space="preserve">, </w:t>
      </w:r>
      <w:r>
        <w:rPr>
          <w:rtl w:val="true"/>
        </w:rPr>
        <w:t xml:space="preserve">יש לקרוא עמה את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 המגדיר מהו ניסיון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b/>
          <w:b/>
          <w:bCs/>
          <w:rtl w:val="true"/>
        </w:rPr>
        <w:t>נסיון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לרצח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/</w:t>
      </w:r>
      <w:r>
        <w:rPr>
          <w:b/>
          <w:bCs/>
        </w:rPr>
        <w:t>222</w:t>
      </w:r>
      <w:r>
        <w:rPr>
          <w:b/>
          <w:bCs/>
          <w:rtl w:val="true"/>
        </w:rPr>
        <w:t>] [</w:t>
      </w:r>
      <w:r>
        <w:rPr>
          <w:b/>
          <w:b/>
          <w:bCs/>
          <w:rtl w:val="true"/>
        </w:rPr>
        <w:t>תשכ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]</w:t>
      </w:r>
    </w:p>
    <w:p>
      <w:pPr>
        <w:pStyle w:val="Ruller5"/>
        <w:ind w:end="1282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5"/>
        <w:ind w:end="1282"/>
        <w:jc w:val="both"/>
        <w:rPr/>
      </w:pPr>
      <w:r>
        <w:rPr/>
        <w:t>305</w:t>
      </w:r>
      <w:r>
        <w:rPr>
          <w:rtl w:val="true"/>
        </w:rPr>
        <w:t xml:space="preserve">.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 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5"/>
        <w:ind w:end="1282"/>
        <w:jc w:val="both"/>
        <w:rPr/>
      </w:pPr>
      <w:r>
        <w:rPr>
          <w:b/>
          <w:b/>
          <w:bCs/>
          <w:rtl w:val="true"/>
        </w:rPr>
        <w:t>נסיון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תיקון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39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תשנ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-</w:t>
      </w:r>
      <w:r>
        <w:rPr>
          <w:b/>
          <w:bCs/>
        </w:rPr>
        <w:t>1994</w:t>
      </w:r>
    </w:p>
    <w:p>
      <w:pPr>
        <w:pStyle w:val="Ruller5"/>
        <w:ind w:end="1282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5"/>
        <w:spacing w:lineRule="auto" w:line="360"/>
        <w:ind w:end="1282"/>
        <w:jc w:val="both"/>
        <w:rPr/>
      </w:pPr>
      <w:r>
        <w:rPr/>
        <w:t>25</w:t>
      </w:r>
      <w:r>
        <w:rPr>
          <w:rtl w:val="true"/>
        </w:rPr>
        <w:t xml:space="preserve">. 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לבצעה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לבצעה</w:t>
      </w:r>
      <w:r>
        <w:rPr>
          <w:rtl w:val="true"/>
        </w:rPr>
        <w:t xml:space="preserve">", </w:t>
      </w:r>
      <w:r>
        <w:rPr>
          <w:rtl w:val="true"/>
        </w:rPr>
        <w:t>וכולל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9045/16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</w:t>
      </w:r>
      <w:r>
        <w:rPr/>
        <w:t>.</w:t>
      </w:r>
      <w:r>
        <w:rPr/>
        <w:t>3</w:t>
      </w:r>
      <w:r>
        <w:rPr/>
        <w:t>.2018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אדנני</w:t>
      </w:r>
      <w:r>
        <w:rPr>
          <w:rtl w:val="true"/>
        </w:rPr>
        <w:t xml:space="preserve">); </w:t>
      </w:r>
      <w:r>
        <w:rPr>
          <w:rtl w:val="true"/>
        </w:rPr>
        <w:t>וב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2377/19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אפגאני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</w:t>
      </w:r>
      <w:r>
        <w:rPr/>
        <w:t>5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אפגאני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ascii="Century" w:hAnsi="Century" w:cs="Century"/>
          <w:rtl w:val="true"/>
        </w:rPr>
        <w:t>מאחר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הניסיון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נכללה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בתיקון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הרפורמה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בחינתה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לצורך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נותרה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שהיית</w:t>
      </w:r>
      <w:r>
        <w:rPr>
          <w:rFonts w:ascii="Century" w:hAnsi="Century" w:cs="Century"/>
          <w:rtl w:val="true"/>
        </w:rPr>
        <w:t xml:space="preserve">ה טרם הרפורמה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אפגאני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 xml:space="preserve">" – 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בעבירת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לרצח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מבהיר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לחסות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הגנת</w:t>
      </w:r>
      <w:r>
        <w:rPr>
          <w:rtl w:val="true"/>
        </w:rPr>
        <w:t xml:space="preserve"> </w:t>
      </w:r>
      <w:r>
        <w:rPr>
          <w:rtl w:val="true"/>
        </w:rPr>
        <w:t>השכרות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עבור מי שהיה במצב של </w:t>
      </w:r>
      <w:r>
        <w:rPr>
          <w:rtl w:val="true"/>
        </w:rPr>
        <w:t>"</w:t>
      </w:r>
      <w:r>
        <w:rPr>
          <w:rtl w:val="true"/>
        </w:rPr>
        <w:t>שכרות מלאה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השפעת</w:t>
      </w:r>
      <w:r>
        <w:rPr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 </w:t>
      </w:r>
      <w:r>
        <w:rPr>
          <w:rtl w:val="true"/>
        </w:rPr>
        <w:t>קשר סיבתי בין השכרות ל</w:t>
      </w:r>
      <w:r>
        <w:rPr>
          <w:rtl w:val="true"/>
        </w:rPr>
        <w:t>פגם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 </w:t>
      </w:r>
      <w:r>
        <w:rPr>
          <w:rtl w:val="true"/>
        </w:rPr>
        <w:t>במודעותו</w:t>
      </w:r>
      <w:r>
        <w:rPr>
          <w:rtl w:val="true"/>
        </w:rPr>
        <w:t xml:space="preserve"> למעשיו</w:t>
      </w:r>
      <w:r>
        <w:rPr>
          <w:rtl w:val="true"/>
        </w:rPr>
        <w:t xml:space="preserve">, </w:t>
      </w:r>
      <w:r>
        <w:rPr>
          <w:rtl w:val="true"/>
        </w:rPr>
        <w:t>בהתאם לשלוש החלופות המנויות בסעיף העוסקות בהבנתו של המבצע את מעשיו</w:t>
      </w:r>
      <w:r>
        <w:rPr>
          <w:rtl w:val="true"/>
        </w:rPr>
        <w:t xml:space="preserve">; </w:t>
      </w:r>
      <w:r>
        <w:rPr>
          <w:rtl w:val="true"/>
        </w:rPr>
        <w:t>הבנתו את הפסול בהם</w:t>
      </w:r>
      <w:r>
        <w:rPr>
          <w:rtl w:val="true"/>
        </w:rPr>
        <w:t xml:space="preserve">; </w:t>
      </w:r>
      <w:r>
        <w:rPr>
          <w:rtl w:val="true"/>
        </w:rPr>
        <w:t xml:space="preserve">ויכולת הרצייה שלו ביחס אליהם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10800/04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רומנצקו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18.9.2006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9258/00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נטרלשווילי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673</w:t>
      </w:r>
      <w:r>
        <w:rPr>
          <w:rtl w:val="true"/>
        </w:rPr>
        <w:t xml:space="preserve">, </w:t>
      </w:r>
      <w:r>
        <w:rPr/>
        <w:t>681</w:t>
      </w:r>
      <w:r>
        <w:rPr>
          <w:rtl w:val="true"/>
        </w:rPr>
        <w:t xml:space="preserve"> (</w:t>
      </w:r>
      <w:r>
        <w:rPr/>
        <w:t>20.1.2002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גם נאשם אשר לא היה במצב של </w:t>
      </w:r>
      <w:r>
        <w:rPr>
          <w:rtl w:val="true"/>
        </w:rPr>
        <w:t>"</w:t>
      </w:r>
      <w:r>
        <w:rPr>
          <w:rtl w:val="true"/>
        </w:rPr>
        <w:t>שכרות מלאה</w:t>
      </w:r>
      <w:r>
        <w:rPr>
          <w:rtl w:val="true"/>
        </w:rPr>
        <w:t xml:space="preserve">" </w:t>
      </w:r>
      <w:r>
        <w:rPr>
          <w:rtl w:val="true"/>
        </w:rPr>
        <w:t xml:space="preserve">יכול לחסות תחת הגנת השכרות במסגרת היותו במצב של </w:t>
      </w:r>
      <w:r>
        <w:rPr>
          <w:rtl w:val="true"/>
        </w:rPr>
        <w:t>"</w:t>
      </w:r>
      <w:r>
        <w:rPr>
          <w:rtl w:val="true"/>
        </w:rPr>
        <w:t>שכרות חלקית</w:t>
      </w:r>
      <w:r>
        <w:rPr>
          <w:rtl w:val="true"/>
        </w:rPr>
        <w:t xml:space="preserve">". </w:t>
      </w:r>
      <w:r>
        <w:rPr>
          <w:rtl w:val="true"/>
        </w:rPr>
        <w:t>לשם כך</w:t>
      </w:r>
      <w:r>
        <w:rPr>
          <w:rtl w:val="true"/>
        </w:rPr>
        <w:t xml:space="preserve">, </w:t>
      </w:r>
      <w:r>
        <w:rPr>
          <w:rtl w:val="true"/>
        </w:rPr>
        <w:t xml:space="preserve">עליו להוכיח כי מתקיימים בעניינו שלושה תנאים מצטברים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היות</w:t>
      </w:r>
      <w:r>
        <w:rPr>
          <w:rtl w:val="true"/>
        </w:rPr>
        <w:t xml:space="preserve">ו </w:t>
      </w:r>
      <w:r>
        <w:rPr>
          <w:rtl w:val="true"/>
        </w:rPr>
        <w:t>נתון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השפעת</w:t>
      </w:r>
      <w:r>
        <w:rPr>
          <w:rtl w:val="true"/>
        </w:rPr>
        <w:t xml:space="preserve"> </w:t>
      </w:r>
      <w:r>
        <w:rPr>
          <w:rtl w:val="true"/>
        </w:rPr>
        <w:t>חומר</w:t>
      </w:r>
      <w:r>
        <w:rPr>
          <w:rtl w:val="true"/>
        </w:rPr>
        <w:t xml:space="preserve"> </w:t>
      </w:r>
      <w:r>
        <w:rPr>
          <w:rtl w:val="true"/>
        </w:rPr>
        <w:t>משכר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אי</w:t>
      </w:r>
      <w:r>
        <w:rPr>
          <w:rtl w:val="true"/>
        </w:rPr>
        <w:t xml:space="preserve"> </w:t>
      </w:r>
      <w:r>
        <w:rPr>
          <w:rtl w:val="true"/>
        </w:rPr>
        <w:t>מודעות</w:t>
      </w:r>
      <w:r>
        <w:rPr>
          <w:rtl w:val="true"/>
        </w:rPr>
        <w:t xml:space="preserve">ו </w:t>
      </w:r>
      <w:r>
        <w:rPr>
          <w:rtl w:val="true"/>
        </w:rPr>
        <w:t>לפרט</w:t>
      </w:r>
      <w:r>
        <w:rPr>
          <w:rtl w:val="true"/>
        </w:rPr>
        <w:t xml:space="preserve"> </w:t>
      </w:r>
      <w:r>
        <w:rPr>
          <w:rtl w:val="true"/>
        </w:rPr>
        <w:t>מפרטי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tl w:val="true"/>
        </w:rPr>
        <w:t>קיומו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סיבתי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 האמורים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8965/18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</w:t>
      </w:r>
      <w:r>
        <w:rPr/>
        <w:t>.11.2019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ריכוז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2454/02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טיקמן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12.12.2005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1153/15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קסאי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6-5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</w:t>
      </w:r>
      <w:r>
        <w:rPr/>
        <w:t>.10.2016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וינוקורסקי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29.10.2018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במרוצת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tl w:val="true"/>
        </w:rPr>
        <w:t xml:space="preserve">".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tl w:val="true"/>
        </w:rPr>
        <w:t xml:space="preserve">, </w:t>
      </w:r>
      <w:r>
        <w:rPr>
          <w:rtl w:val="true"/>
        </w:rPr>
        <w:t>ולאחריו</w:t>
      </w:r>
      <w:r>
        <w:rPr>
          <w:rtl w:val="true"/>
        </w:rPr>
        <w:t xml:space="preserve">;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הצהרות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;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וכיוצא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6679/04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סטקלר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11.5.2016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7701/14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</w:t>
      </w:r>
      <w:r>
        <w:rPr/>
        <w:t>5</w:t>
      </w:r>
      <w:r>
        <w:rPr/>
        <w:t>.2016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השכרות</w:t>
      </w:r>
      <w:r>
        <w:rPr>
          <w:rtl w:val="true"/>
        </w:rPr>
        <w:t xml:space="preserve">" </w:t>
      </w:r>
      <w:r>
        <w:rPr>
          <w:rtl w:val="true"/>
        </w:rPr>
        <w:t>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בגדרה</w:t>
      </w:r>
      <w:r>
        <w:rPr>
          <w:rtl w:val="true"/>
        </w:rPr>
        <w:t xml:space="preserve">, </w:t>
      </w:r>
      <w:r>
        <w:rPr>
          <w:rtl w:val="true"/>
        </w:rPr>
        <w:t>והרף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אקדים אחרית לראשית </w:t>
      </w:r>
      <w:r>
        <w:rPr>
          <w:rtl w:val="true"/>
        </w:rPr>
        <w:t>–</w:t>
      </w:r>
      <w:r>
        <w:rPr>
          <w:rtl w:val="true"/>
        </w:rPr>
        <w:t xml:space="preserve"> אין מקום להתערב בקביעת בית המשפט המחוזי כי לא עלה בידי המערער להוכיח כי המבחנים הראייתיים מצביעים על קיומו של פגם במודעותו למעשיו באופן העולה כדי </w:t>
      </w:r>
      <w:r>
        <w:rPr>
          <w:rtl w:val="true"/>
        </w:rPr>
        <w:t>"</w:t>
      </w:r>
      <w:r>
        <w:rPr>
          <w:rtl w:val="true"/>
        </w:rPr>
        <w:t>הגנת השכרות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המומחה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 </w:t>
      </w:r>
      <w:r>
        <w:rPr>
          <w:rtl w:val="true"/>
        </w:rPr>
        <w:t xml:space="preserve">קובעת כי בדמו של המערער היה בעת ביצוע מעשה הירי ריכוז אלכוהול המהווה </w:t>
      </w:r>
      <w:r>
        <w:rPr>
          <w:rtl w:val="true"/>
        </w:rPr>
        <w:t>"</w:t>
      </w:r>
      <w:r>
        <w:rPr>
          <w:rtl w:val="true"/>
        </w:rPr>
        <w:t>רמת שכרות גבוהה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אף לשיטת המומחה</w:t>
      </w:r>
      <w:r>
        <w:rPr>
          <w:rtl w:val="true"/>
        </w:rPr>
        <w:t xml:space="preserve">, </w:t>
      </w:r>
      <w:r>
        <w:rPr>
          <w:rtl w:val="true"/>
        </w:rPr>
        <w:t xml:space="preserve">לצורך קביעת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השפעת</w:t>
      </w:r>
      <w:r>
        <w:rPr>
          <w:rtl w:val="true"/>
        </w:rPr>
        <w:t xml:space="preserve"> האלכוהול על המערער יש להתרשם מאינדיקציות נוספות</w:t>
      </w:r>
      <w:r>
        <w:rPr>
          <w:rtl w:val="true"/>
        </w:rPr>
        <w:t xml:space="preserve">, </w:t>
      </w:r>
      <w:r>
        <w:rPr>
          <w:rtl w:val="true"/>
        </w:rPr>
        <w:t>אלו הם המבחנים הראייתיים המנויים לעיל לבחינת טיב מודעותו של המערער למעשיו</w:t>
      </w:r>
      <w:r>
        <w:rPr>
          <w:rtl w:val="true"/>
        </w:rPr>
        <w:t xml:space="preserve">, </w:t>
      </w:r>
      <w:r>
        <w:rPr>
          <w:rtl w:val="true"/>
        </w:rPr>
        <w:t>אותם אפנה לבחון כעת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מעדויות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החבורה</w:t>
      </w:r>
      <w:r>
        <w:rPr>
          <w:rtl w:val="true"/>
        </w:rPr>
        <w:t xml:space="preserve"> עולה כי המערער בלילה הרלוונטי </w:t>
      </w:r>
      <w:r>
        <w:rPr>
          <w:rtl w:val="true"/>
        </w:rPr>
        <w:t>"</w:t>
      </w:r>
      <w:r>
        <w:rPr>
          <w:rtl w:val="true"/>
        </w:rPr>
        <w:t>לא היה מפוקס</w:t>
      </w:r>
      <w:r>
        <w:rPr>
          <w:rtl w:val="true"/>
        </w:rPr>
        <w:t>" (</w:t>
      </w:r>
      <w:r>
        <w:rPr>
          <w:rtl w:val="true"/>
        </w:rPr>
        <w:t>פרוטוקול הדיון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) </w:t>
      </w:r>
      <w:r>
        <w:rPr>
          <w:rtl w:val="true"/>
        </w:rPr>
        <w:t xml:space="preserve">והיה </w:t>
      </w:r>
      <w:r>
        <w:rPr>
          <w:rtl w:val="true"/>
        </w:rPr>
        <w:t>"</w:t>
      </w:r>
      <w:r>
        <w:rPr>
          <w:rtl w:val="true"/>
        </w:rPr>
        <w:t>מסטול</w:t>
      </w:r>
      <w:r>
        <w:rPr>
          <w:rtl w:val="true"/>
        </w:rPr>
        <w:t>" (</w:t>
      </w:r>
      <w:r>
        <w:rPr>
          <w:rtl w:val="true"/>
        </w:rPr>
        <w:t>פרוטוקול הדיון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). </w:t>
      </w:r>
      <w:r>
        <w:rPr>
          <w:rtl w:val="true"/>
        </w:rPr>
        <w:t xml:space="preserve">בעוד </w:t>
      </w:r>
      <w:r>
        <w:rPr>
          <w:rtl w:val="true"/>
        </w:rPr>
        <w:t>תיאור</w:t>
      </w:r>
      <w:r>
        <w:rPr>
          <w:rtl w:val="true"/>
        </w:rPr>
        <w:t xml:space="preserve"> זה עולה בקנה אחד עם מאפייניו של אדם המצוי תחת השפעת אלכוהול</w:t>
      </w:r>
      <w:r>
        <w:rPr>
          <w:rtl w:val="true"/>
        </w:rPr>
        <w:t xml:space="preserve">, </w:t>
      </w:r>
      <w:r>
        <w:rPr>
          <w:rtl w:val="true"/>
        </w:rPr>
        <w:t xml:space="preserve">ספק אם ניתן להסיק מכך לגבי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מודעות</w:t>
      </w:r>
      <w:r>
        <w:rPr>
          <w:rtl w:val="true"/>
        </w:rPr>
        <w:t xml:space="preserve"> המערער למעשיו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 xml:space="preserve">שמשקלם של התיאורים האמורים לעניין הרלוונטי </w:t>
      </w:r>
      <w:r>
        <w:rPr>
          <w:rtl w:val="true"/>
        </w:rPr>
        <w:t>–</w:t>
      </w:r>
      <w:r>
        <w:rPr>
          <w:rtl w:val="true"/>
        </w:rPr>
        <w:t xml:space="preserve"> מוגבל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יתר ההתרחשויות אשר אפפו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המפגש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ואת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הירי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ביחס לכל רכיב בנפרד</w:t>
      </w:r>
      <w:r>
        <w:rPr>
          <w:rtl w:val="true"/>
        </w:rPr>
        <w:t xml:space="preserve">, </w:t>
      </w:r>
      <w:r>
        <w:rPr>
          <w:rtl w:val="true"/>
        </w:rPr>
        <w:t>ובעיקר נוכח התמונה השלמה המצטיירת ממכלול הרכיבים גם יחד</w:t>
      </w:r>
      <w:r>
        <w:rPr>
          <w:rtl w:val="true"/>
        </w:rPr>
        <w:t xml:space="preserve">, </w:t>
      </w:r>
      <w:r>
        <w:rPr>
          <w:rtl w:val="true"/>
        </w:rPr>
        <w:t>מלמדות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מודעותו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כוונתו</w:t>
      </w:r>
      <w:r>
        <w:rPr>
          <w:rtl w:val="true"/>
        </w:rPr>
        <w:t xml:space="preserve"> </w:t>
      </w:r>
      <w:r>
        <w:rPr>
          <w:rtl w:val="true"/>
        </w:rPr>
        <w:t>באותה</w:t>
      </w:r>
      <w:r>
        <w:rPr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בכלל זאת </w:t>
      </w:r>
      <w:r>
        <w:rPr>
          <w:rtl w:val="true"/>
        </w:rPr>
        <w:t>–</w:t>
      </w:r>
      <w:r>
        <w:rPr>
          <w:rtl w:val="true"/>
        </w:rPr>
        <w:t xml:space="preserve"> במפגש הראשון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 xml:space="preserve">הגיע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הרעש</w:t>
      </w:r>
      <w:r>
        <w:rPr>
          <w:rtl w:val="true"/>
        </w:rPr>
        <w:t xml:space="preserve"> </w:t>
      </w:r>
      <w:r>
        <w:rPr>
          <w:rtl w:val="true"/>
        </w:rPr>
        <w:t>שהטרידו</w:t>
      </w:r>
      <w:r>
        <w:rPr>
          <w:rtl w:val="true"/>
        </w:rPr>
        <w:t xml:space="preserve">; </w:t>
      </w:r>
      <w:r>
        <w:rPr>
          <w:rtl w:val="true"/>
        </w:rPr>
        <w:t xml:space="preserve">התעמת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 </w:t>
      </w:r>
      <w:r>
        <w:rPr>
          <w:rtl w:val="true"/>
        </w:rPr>
        <w:t>סביב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ועזב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תגובתו</w:t>
      </w:r>
      <w:r>
        <w:rPr>
          <w:rtl w:val="true"/>
        </w:rPr>
        <w:t xml:space="preserve"> </w:t>
      </w:r>
      <w:r>
        <w:rPr>
          <w:rtl w:val="true"/>
        </w:rPr>
        <w:t>הפוגענית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אלירז</w:t>
      </w:r>
      <w:r>
        <w:rPr>
          <w:rtl w:val="true"/>
        </w:rPr>
        <w:t xml:space="preserve">. </w:t>
      </w:r>
      <w:r>
        <w:rPr>
          <w:rtl w:val="true"/>
        </w:rPr>
        <w:t xml:space="preserve">אלו </w:t>
      </w:r>
      <w:r>
        <w:rPr>
          <w:rtl w:val="true"/>
        </w:rPr>
        <w:t>מצביעים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תפיסתו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המתרחש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תגובה</w:t>
      </w:r>
      <w:r>
        <w:rPr>
          <w:rtl w:val="true"/>
        </w:rPr>
        <w:t xml:space="preserve"> </w:t>
      </w:r>
      <w:r>
        <w:rPr>
          <w:rtl w:val="true"/>
        </w:rPr>
        <w:t>מודעת</w:t>
      </w:r>
      <w:r>
        <w:rPr>
          <w:rtl w:val="true"/>
        </w:rPr>
        <w:t xml:space="preserve"> </w:t>
      </w:r>
      <w:r>
        <w:rPr>
          <w:rtl w:val="true"/>
        </w:rPr>
        <w:t>לאירועים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גם אירוע הירי מלמד על שליטת המערער במעשיו באופן שבו יכול היה לתכנן ולכלכל את צעדיו</w:t>
      </w:r>
      <w:r>
        <w:rPr>
          <w:rtl w:val="true"/>
        </w:rPr>
        <w:t xml:space="preserve">, </w:t>
      </w:r>
      <w:r>
        <w:rPr>
          <w:rtl w:val="true"/>
        </w:rPr>
        <w:t xml:space="preserve">לכל הפחות באופן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ורצוני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שובו למקום מצויד באקדח</w:t>
      </w:r>
      <w:r>
        <w:rPr>
          <w:rtl w:val="true"/>
        </w:rPr>
        <w:t xml:space="preserve">; </w:t>
      </w:r>
      <w:r>
        <w:rPr>
          <w:rtl w:val="true"/>
        </w:rPr>
        <w:t>התקרבותו לבני החבורה כאשר האקדח מוסווה</w:t>
      </w:r>
      <w:r>
        <w:rPr>
          <w:rtl w:val="true"/>
        </w:rPr>
        <w:t xml:space="preserve">; </w:t>
      </w:r>
      <w:r>
        <w:rPr>
          <w:rtl w:val="true"/>
        </w:rPr>
        <w:t>פנייתו לאלירז דווקא</w:t>
      </w:r>
      <w:r>
        <w:rPr>
          <w:rtl w:val="true"/>
        </w:rPr>
        <w:t xml:space="preserve">, </w:t>
      </w:r>
      <w:r>
        <w:rPr>
          <w:rtl w:val="true"/>
        </w:rPr>
        <w:t>בהמשך להערתו הפוגענית</w:t>
      </w:r>
      <w:r>
        <w:rPr>
          <w:rtl w:val="true"/>
        </w:rPr>
        <w:t xml:space="preserve">; </w:t>
      </w:r>
      <w:r>
        <w:rPr>
          <w:rtl w:val="true"/>
        </w:rPr>
        <w:t>השימוש באקדח כלפי אלירז מטווח קצר בלבד</w:t>
      </w:r>
      <w:r>
        <w:rPr>
          <w:rtl w:val="true"/>
        </w:rPr>
        <w:t xml:space="preserve">; </w:t>
      </w:r>
      <w:r>
        <w:rPr>
          <w:rtl w:val="true"/>
        </w:rPr>
        <w:t>ודריכת האקדח והירי בו לעבר ראשו של אלירז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ביחס למכלול אירועי הלילה הרלוונטי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אפוא כי מקטע ההתרחשויות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במפגש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הירי</w:t>
      </w:r>
      <w:r>
        <w:rPr>
          <w:rtl w:val="true"/>
        </w:rPr>
        <w:t xml:space="preserve"> </w:t>
      </w:r>
      <w:r>
        <w:rPr>
          <w:rtl w:val="true"/>
        </w:rPr>
        <w:t>הוא המרכזי והמשמעותי ביותר לצורך הכרעה בדבר מודעותו של המערער למעשיו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השתכנעתי על סמך האמור לעיל</w:t>
      </w:r>
      <w:r>
        <w:rPr>
          <w:rtl w:val="true"/>
        </w:rPr>
        <w:t xml:space="preserve">, </w:t>
      </w:r>
      <w:r>
        <w:rPr>
          <w:rtl w:val="true"/>
        </w:rPr>
        <w:t>כי בעת ביצוע מעשה הירי היה המערער בעל מודעות למעשיו בא</w:t>
      </w:r>
      <w:r>
        <w:rPr>
          <w:rtl w:val="true"/>
        </w:rPr>
        <w:t>ופן</w:t>
      </w:r>
      <w:r>
        <w:rPr>
          <w:rtl w:val="true"/>
        </w:rPr>
        <w:t xml:space="preserve"> שאינו בא בגדרי </w:t>
      </w:r>
      <w:r>
        <w:rPr>
          <w:rtl w:val="true"/>
        </w:rPr>
        <w:t>"</w:t>
      </w:r>
      <w:r>
        <w:rPr>
          <w:rtl w:val="true"/>
        </w:rPr>
        <w:t>הגנת השכרות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בחינת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המבחנים</w:t>
      </w:r>
      <w:r>
        <w:rPr>
          <w:rtl w:val="true"/>
        </w:rPr>
        <w:t xml:space="preserve"> </w:t>
      </w:r>
      <w:r>
        <w:rPr>
          <w:rtl w:val="true"/>
        </w:rPr>
        <w:t>הראייתיים</w:t>
      </w:r>
      <w:r>
        <w:rPr>
          <w:rtl w:val="true"/>
        </w:rPr>
        <w:t xml:space="preserve"> </w:t>
      </w:r>
      <w:r>
        <w:rPr>
          <w:rtl w:val="true"/>
        </w:rPr>
        <w:t xml:space="preserve">תוסיף </w:t>
      </w:r>
      <w:r>
        <w:rPr>
          <w:rtl w:val="true"/>
        </w:rPr>
        <w:t>למסקנתי האמורה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שים</w:t>
      </w:r>
      <w:r>
        <w:rPr>
          <w:rtl w:val="true"/>
        </w:rPr>
        <w:t xml:space="preserve"> לב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שאלו משניים להתנהלות המערער במפגש הראשון וב</w:t>
      </w:r>
      <w:r>
        <w:rPr>
          <w:rtl w:val="true"/>
        </w:rPr>
        <w:t>אירוע הירי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מפוכח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;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ממיטתו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</w:t>
      </w:r>
      <w:r>
        <w:rPr>
          <w:rtl w:val="true"/>
        </w:rPr>
        <w:t xml:space="preserve">;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בניינו</w:t>
      </w:r>
      <w:r>
        <w:rPr>
          <w:rtl w:val="true"/>
        </w:rPr>
        <w:t xml:space="preserve">; </w:t>
      </w:r>
      <w:r>
        <w:rPr>
          <w:rtl w:val="true"/>
        </w:rPr>
        <w:t>סירובו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ינשוף</w:t>
      </w:r>
      <w:r>
        <w:rPr>
          <w:rtl w:val="true"/>
        </w:rPr>
        <w:t xml:space="preserve">" </w:t>
      </w:r>
      <w:r>
        <w:rPr>
          <w:rtl w:val="true"/>
        </w:rPr>
        <w:t>באמתלות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; </w:t>
      </w:r>
      <w:r>
        <w:rPr>
          <w:rtl w:val="true"/>
        </w:rPr>
        <w:t>והתערבותו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והתקשיתי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63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5-4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64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9-7</w:t>
      </w:r>
      <w:r>
        <w:rPr>
          <w:rtl w:val="true"/>
        </w:rPr>
        <w:t xml:space="preserve">) </w:t>
      </w:r>
      <w:r>
        <w:rPr>
          <w:rtl w:val="true"/>
        </w:rPr>
        <w:t>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  <w:r>
        <w:rPr>
          <w:rtl w:val="true"/>
        </w:rPr>
        <w:softHyphen/>
        <w:softHyphen/>
        <w:softHyphen/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59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16-13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64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18-13</w:t>
      </w:r>
      <w:r>
        <w:rPr>
          <w:rtl w:val="true"/>
        </w:rPr>
        <w:t xml:space="preserve">; 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94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23-15</w:t>
      </w:r>
      <w:r>
        <w:rPr>
          <w:rtl w:val="true"/>
        </w:rPr>
        <w:t xml:space="preserve">).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30.12.2019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ומגמתיות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",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הסתברות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מהמעשה</w:t>
      </w:r>
      <w:r>
        <w:rPr>
          <w:rtl w:val="true"/>
        </w:rPr>
        <w:t xml:space="preserve">, </w:t>
      </w:r>
      <w:r>
        <w:rPr>
          <w:rtl w:val="true"/>
        </w:rPr>
        <w:t>מצטרפים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>יעקב</w:t>
      </w:r>
      <w:r>
        <w:rPr>
          <w:rFonts w:eastAsia="Arial TUR;Arial" w:cs="Arial TUR;Arial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בפלילים</w:t>
        </w:r>
      </w:hyperlink>
      <w:r>
        <w:rPr>
          <w:rFonts w:eastAsia="Arial TUR;Arial" w:cs="Arial TUR;Arial"/>
          <w:rtl w:val="true"/>
        </w:rPr>
        <w:t xml:space="preserve"> </w:t>
      </w:r>
      <w:r>
        <w:rPr/>
        <w:t>583</w:t>
      </w:r>
      <w:r>
        <w:rPr>
          <w:rtl w:val="true"/>
        </w:rPr>
        <w:t xml:space="preserve"> (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Fonts w:ascii="Century" w:hAnsi="Century" w:cs="Century"/>
          <w:rtl w:val="true"/>
        </w:rPr>
        <w:t>כיוון את האקדח לראשו של אלירז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וירה באקדח רק כאשר עמד בטווח קצר וקרוב לאלירז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תוצאת מעשה הירי שנגרמה לאלירז מסתברת ברמה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ולכל הפחות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מהווה חלק בלתי נפרד מהמעשה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סטקלר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.).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שפריקת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לכשעצמה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הסיטואציה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 האמור עד כה</w:t>
      </w:r>
      <w:r>
        <w:rPr>
          <w:rtl w:val="true"/>
        </w:rPr>
        <w:t xml:space="preserve">, </w:t>
      </w:r>
      <w:r>
        <w:rPr>
          <w:rtl w:val="true"/>
        </w:rPr>
        <w:t>שוכנעתי כי ממכלול התנהלות המערער עולה תמונה חד משמעית בדבר מודעותו למעשיו באירוע הירי</w:t>
      </w:r>
      <w:r>
        <w:rPr>
          <w:rtl w:val="true"/>
        </w:rPr>
        <w:t xml:space="preserve">, </w:t>
      </w:r>
      <w:r>
        <w:rPr>
          <w:rtl w:val="true"/>
        </w:rPr>
        <w:t xml:space="preserve">באופן אשר אינו מאפשר להחיל בעניינו את סייג </w:t>
      </w:r>
      <w:r>
        <w:rPr>
          <w:rtl w:val="true"/>
        </w:rPr>
        <w:t>"</w:t>
      </w:r>
      <w:r>
        <w:rPr>
          <w:rtl w:val="true"/>
        </w:rPr>
        <w:t>הגנת השכרות</w:t>
      </w:r>
      <w:r>
        <w:rPr>
          <w:rtl w:val="true"/>
        </w:rPr>
        <w:t xml:space="preserve">". </w:t>
      </w:r>
      <w:r>
        <w:rPr>
          <w:rtl w:val="true"/>
        </w:rPr>
        <w:t>מה גם שכאמור</w:t>
      </w:r>
      <w:r>
        <w:rPr>
          <w:rtl w:val="true"/>
        </w:rPr>
        <w:t xml:space="preserve">, </w:t>
      </w:r>
      <w:r>
        <w:rPr>
          <w:rtl w:val="true"/>
        </w:rPr>
        <w:t xml:space="preserve">הנטל להוכחת ספק סביר בדבר התקיימות </w:t>
      </w:r>
      <w:r>
        <w:rPr>
          <w:rtl w:val="true"/>
        </w:rPr>
        <w:t>"</w:t>
      </w:r>
      <w:r>
        <w:rPr>
          <w:rtl w:val="true"/>
        </w:rPr>
        <w:t>הגנת השכרות</w:t>
      </w:r>
      <w:r>
        <w:rPr>
          <w:rtl w:val="true"/>
        </w:rPr>
        <w:t xml:space="preserve">" </w:t>
      </w:r>
      <w:r>
        <w:rPr>
          <w:rtl w:val="true"/>
        </w:rPr>
        <w:t xml:space="preserve">מוטל על המערער </w:t>
      </w:r>
      <w:r>
        <w:rPr>
          <w:rtl w:val="true"/>
        </w:rPr>
        <w:t>–</w:t>
      </w:r>
      <w:r>
        <w:rPr>
          <w:rtl w:val="true"/>
        </w:rPr>
        <w:t xml:space="preserve"> ונטל זה לא הורם כדבעי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</w:rPr>
      </w:pPr>
      <w:r>
        <w:rPr>
          <w:rtl w:val="true"/>
        </w:rPr>
        <w:t>להשלמת התמונה</w:t>
      </w:r>
      <w:r>
        <w:rPr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 xml:space="preserve">גם </w:t>
      </w:r>
      <w:r>
        <w:rPr>
          <w:rtl w:val="true"/>
        </w:rPr>
        <w:t xml:space="preserve">יסודותיה של עבירת הניסיון לרצח לפי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מתקיימים כנדרש</w:t>
      </w:r>
      <w:r>
        <w:rPr>
          <w:rtl w:val="true"/>
        </w:rPr>
        <w:t xml:space="preserve">, </w:t>
      </w:r>
      <w:r>
        <w:rPr>
          <w:rtl w:val="true"/>
        </w:rPr>
        <w:t xml:space="preserve">כפי שפירט בית המשפט המחוזי </w:t>
      </w:r>
      <w:r>
        <w:rPr>
          <w:rtl w:val="true"/>
        </w:rPr>
        <w:t>–</w:t>
      </w:r>
      <w:r>
        <w:rPr>
          <w:rtl w:val="true"/>
        </w:rPr>
        <w:t xml:space="preserve"> היסוד העובדתי הוכח משהמערער ירה בראשו של אלירז וגרם לפציעתו החמורה</w:t>
      </w:r>
      <w:r>
        <w:rPr>
          <w:rtl w:val="true"/>
        </w:rPr>
        <w:t xml:space="preserve">; </w:t>
      </w:r>
      <w:r>
        <w:rPr>
          <w:rtl w:val="true"/>
        </w:rPr>
        <w:t>והיסוד הנפשי מתקיים</w:t>
      </w:r>
      <w:r>
        <w:rPr>
          <w:rtl w:val="true"/>
        </w:rPr>
        <w:t xml:space="preserve">, </w:t>
      </w:r>
      <w:r>
        <w:rPr>
          <w:rtl w:val="true"/>
        </w:rPr>
        <w:t>על שלושת מבחניו</w:t>
      </w:r>
      <w:r>
        <w:rPr>
          <w:rtl w:val="true"/>
        </w:rPr>
        <w:t xml:space="preserve">, </w:t>
      </w:r>
      <w:r>
        <w:rPr>
          <w:rtl w:val="true"/>
        </w:rPr>
        <w:t xml:space="preserve">מאחר שהנסיבות מלמדות כי המערער </w:t>
      </w:r>
      <w:r>
        <w:rPr>
          <w:rFonts w:cs="Miriam"/>
          <w:b/>
          <w:b/>
          <w:spacing w:val="0"/>
          <w:szCs w:val="24"/>
          <w:rtl w:val="true"/>
        </w:rPr>
        <w:t>החליט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להמית</w:t>
      </w:r>
      <w:r>
        <w:rPr>
          <w:rtl w:val="true"/>
        </w:rPr>
        <w:t xml:space="preserve"> את אלירז</w:t>
      </w:r>
      <w:r>
        <w:rPr>
          <w:rtl w:val="true"/>
        </w:rPr>
        <w:t xml:space="preserve">, </w:t>
      </w:r>
      <w:r>
        <w:rPr>
          <w:rtl w:val="true"/>
        </w:rPr>
        <w:t xml:space="preserve">הצטייד בנשק או לכל הפחות השתמש בו לאחר פרק זמן בו עלה בידו </w:t>
      </w:r>
      <w:r>
        <w:rPr>
          <w:rFonts w:cs="Miriam"/>
          <w:b/>
          <w:b/>
          <w:spacing w:val="0"/>
          <w:szCs w:val="24"/>
          <w:rtl w:val="true"/>
        </w:rPr>
        <w:t>לתכנן</w:t>
      </w:r>
      <w:r>
        <w:rPr>
          <w:rtl w:val="true"/>
        </w:rPr>
        <w:t xml:space="preserve"> את מעשיו</w:t>
      </w:r>
      <w:r>
        <w:rPr>
          <w:rtl w:val="true"/>
        </w:rPr>
        <w:t xml:space="preserve">, </w:t>
      </w:r>
      <w:r>
        <w:rPr>
          <w:rtl w:val="true"/>
        </w:rPr>
        <w:t xml:space="preserve">והמעשה לא בוצע בעקבות </w:t>
      </w:r>
      <w:r>
        <w:rPr>
          <w:rFonts w:cs="Miriam"/>
          <w:b/>
          <w:b/>
          <w:spacing w:val="0"/>
          <w:szCs w:val="24"/>
          <w:rtl w:val="true"/>
        </w:rPr>
        <w:t>קנטור</w:t>
      </w:r>
      <w:r>
        <w:rPr>
          <w:rtl w:val="true"/>
        </w:rPr>
        <w:t xml:space="preserve"> מצדו של אלירז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Arial TUR;Arial" w:hAnsi="Arial TUR;Arial" w:cs="Arial TUR;Arial"/>
        </w:rPr>
      </w:pPr>
      <w:r>
        <w:rPr>
          <w:rFonts w:cs="Arial TUR;Arial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מצאתי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בהכרעת 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 היא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דרכה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במידת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השיתה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</w:t>
      </w:r>
      <w:r>
        <w:rPr/>
        <w:t>5</w:t>
      </w:r>
      <w:r>
        <w:rPr/>
        <w:t>.2022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 בעבירת ניסיון לרצח</w:t>
      </w:r>
      <w:r>
        <w:rPr>
          <w:rtl w:val="true"/>
        </w:rPr>
        <w:t xml:space="preserve">, </w:t>
      </w:r>
      <w:r>
        <w:rPr>
          <w:rtl w:val="true"/>
        </w:rPr>
        <w:t xml:space="preserve">אשר העונש הקבוע בצדה הוא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 xml:space="preserve">יוער כי במסגרת הרפורמה בעבירות ההמתה </w:t>
      </w:r>
      <w:r>
        <w:rPr>
          <w:rtl w:val="true"/>
        </w:rPr>
        <w:t>–</w:t>
      </w:r>
      <w:r>
        <w:rPr>
          <w:rtl w:val="true"/>
        </w:rPr>
        <w:t xml:space="preserve"> ת</w:t>
      </w:r>
      <w:r>
        <w:rPr>
          <w:rtl w:val="true"/>
        </w:rPr>
        <w:t>יקון</w:t>
      </w:r>
      <w:r>
        <w:rPr>
          <w:rtl w:val="true"/>
        </w:rPr>
        <w:t xml:space="preserve"> </w:t>
      </w:r>
      <w:r>
        <w:rPr>
          <w:rtl w:val="true"/>
        </w:rPr>
        <w:t>מס׳</w:t>
      </w:r>
      <w:r>
        <w:rPr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הוצע כי בשל חומרת העבירה יקבע כי העונש שבצד עבירת הניסיון לרצח יעמוד על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–</w:t>
      </w:r>
      <w:r>
        <w:rPr>
          <w:rtl w:val="true"/>
        </w:rPr>
        <w:t xml:space="preserve"> בדומה לעונש המרבי הקצוב בשנים לעבירת הרצח</w:t>
      </w:r>
      <w:r>
        <w:rPr>
          <w:rtl w:val="true"/>
        </w:rPr>
        <w:t xml:space="preserve">. </w:t>
      </w:r>
      <w:r>
        <w:rPr>
          <w:rtl w:val="true"/>
        </w:rPr>
        <w:t>זאת מאחר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אמנם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קופחו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מפחיתה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הסובייקטיבית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הניסיון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ותוצאותיו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המושלמת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הסבר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972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179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כפי שצוין לעיל</w:t>
      </w:r>
      <w:r>
        <w:rPr>
          <w:rtl w:val="true"/>
        </w:rPr>
        <w:t xml:space="preserve">, </w:t>
      </w:r>
      <w:r>
        <w:rPr>
          <w:rtl w:val="true"/>
        </w:rPr>
        <w:t>משלא הושלמה חקיקת הרפורמה</w:t>
      </w:r>
      <w:r>
        <w:rPr>
          <w:rtl w:val="true"/>
        </w:rPr>
        <w:t xml:space="preserve">, </w:t>
      </w:r>
      <w:r>
        <w:rPr>
          <w:rtl w:val="true"/>
        </w:rPr>
        <w:t>ואינה חלה על עבירת הניסיון לרצח</w:t>
      </w:r>
      <w:r>
        <w:rPr>
          <w:rtl w:val="true"/>
        </w:rPr>
        <w:t xml:space="preserve">, </w:t>
      </w:r>
      <w:r>
        <w:rPr>
          <w:rtl w:val="true"/>
        </w:rPr>
        <w:t xml:space="preserve">נותרה עבירה זו קבועה </w:t>
      </w:r>
      <w:hyperlink r:id="rId4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ללא שינוי </w:t>
      </w:r>
      <w:r>
        <w:rPr>
          <w:rtl w:val="true"/>
        </w:rPr>
        <w:t>–</w:t>
      </w:r>
      <w:r>
        <w:rPr>
          <w:rtl w:val="true"/>
        </w:rPr>
        <w:t xml:space="preserve"> אף לעניין רכיב העונש שבצדה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חובתו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מבצעי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 </w:t>
      </w:r>
      <w:r>
        <w:rPr>
          <w:rtl w:val="true"/>
        </w:rPr>
        <w:t>לקפח</w:t>
      </w:r>
      <w:r>
        <w:rPr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–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קרבן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נותר</w:t>
      </w:r>
      <w:r>
        <w:rPr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אדנני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44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אלטורה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37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</w:t>
      </w:r>
      <w:r>
        <w:rPr/>
        <w:t>7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נכון יעשה המחוקק אם ישלים את חקיקת הרפורמה אף בהתייחס לעבירת הניסיון לרצח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נסיבות ביצוע העבירה מלמדות כי מעשה הירי וניסיון הרצח לא בוצעו כבדרך אגב ובאופן ספונטני</w:t>
      </w:r>
      <w:r>
        <w:rPr>
          <w:rtl w:val="true"/>
        </w:rPr>
        <w:t xml:space="preserve">, </w:t>
      </w:r>
      <w:r>
        <w:rPr>
          <w:rtl w:val="true"/>
        </w:rPr>
        <w:t>כאשר במקום להישאר בביתו בתום המפגש הראשון המערער בחר לתבוע את עלבונו ולנסות להמית את אלירז אך בשל מילותיו הפוגעניות כלפיו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אין בעובדה שהמערער ירה ירייה אחת בודדת לעברו של אלירז כדי להצדיק הקלה בעונשו</w:t>
      </w:r>
      <w:r>
        <w:rPr>
          <w:rtl w:val="true"/>
        </w:rPr>
        <w:t xml:space="preserve">. </w:t>
      </w:r>
      <w:r>
        <w:rPr>
          <w:rtl w:val="true"/>
        </w:rPr>
        <w:t>ירייה שכזו</w:t>
      </w:r>
      <w:r>
        <w:rPr>
          <w:rtl w:val="true"/>
        </w:rPr>
        <w:t xml:space="preserve">, </w:t>
      </w:r>
      <w:r>
        <w:rPr>
          <w:rtl w:val="true"/>
        </w:rPr>
        <w:t>לעבר הראש</w:t>
      </w:r>
      <w:r>
        <w:rPr>
          <w:rtl w:val="true"/>
        </w:rPr>
        <w:t xml:space="preserve">, </w:t>
      </w:r>
      <w:r>
        <w:rPr>
          <w:rtl w:val="true"/>
        </w:rPr>
        <w:t>ומטווח קצר</w:t>
      </w:r>
      <w:r>
        <w:rPr>
          <w:rtl w:val="true"/>
        </w:rPr>
        <w:t xml:space="preserve">, </w:t>
      </w:r>
      <w:r>
        <w:rPr>
          <w:rtl w:val="true"/>
        </w:rPr>
        <w:t xml:space="preserve">היא פעולה קטלנית מאחר שהיא מכוונת לאיבר חיוני של הקורבן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6427/10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דגון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6.8</w:t>
      </w:r>
      <w:r>
        <w:rPr/>
        <w:t>.2013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קל וחומר כאשר המערער הוא מאבטח המיומן בנשק</w:t>
      </w:r>
      <w:r>
        <w:rPr>
          <w:rtl w:val="true"/>
        </w:rPr>
        <w:t xml:space="preserve">, </w:t>
      </w:r>
      <w:r>
        <w:rPr>
          <w:rtl w:val="true"/>
        </w:rPr>
        <w:t>אשר ודאי מודע ליכולותיו המקצועיות ולהסתברות הגבוהה של התוצאה הטבעית של 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 xml:space="preserve">כי אין בידי לקבל את טענת המערער בדבר קרבתו לסייג </w:t>
      </w:r>
      <w:r>
        <w:rPr>
          <w:rtl w:val="true"/>
        </w:rPr>
        <w:t>"</w:t>
      </w:r>
      <w:r>
        <w:rPr>
          <w:rtl w:val="true"/>
        </w:rPr>
        <w:t>הגנת השכרות</w:t>
      </w:r>
      <w:r>
        <w:rPr>
          <w:rtl w:val="true"/>
        </w:rPr>
        <w:t xml:space="preserve">", </w:t>
      </w:r>
      <w:r>
        <w:rPr>
          <w:rtl w:val="true"/>
        </w:rPr>
        <w:t>באופן המצדיק הקלה בעונשו</w:t>
      </w:r>
      <w:r>
        <w:rPr>
          <w:rtl w:val="true"/>
        </w:rPr>
        <w:t xml:space="preserve">. </w:t>
      </w:r>
      <w:r>
        <w:rPr>
          <w:rtl w:val="true"/>
        </w:rPr>
        <w:t>שכרות כשלעצמה אינה מהווה נסיבה מקלה לעניין עונשו של מבצע עבירה</w:t>
      </w:r>
      <w:r>
        <w:rPr>
          <w:rtl w:val="true"/>
        </w:rPr>
        <w:t xml:space="preserve">, </w:t>
      </w:r>
      <w:r>
        <w:rPr>
          <w:rtl w:val="true"/>
        </w:rPr>
        <w:t xml:space="preserve">כאשר המבצע לא חוסה תחת </w:t>
      </w:r>
      <w:r>
        <w:rPr>
          <w:rtl w:val="true"/>
        </w:rPr>
        <w:t>"</w:t>
      </w:r>
      <w:r>
        <w:rPr>
          <w:rtl w:val="true"/>
        </w:rPr>
        <w:t>הגנת השכרות</w:t>
      </w:r>
      <w:r>
        <w:rPr>
          <w:rtl w:val="true"/>
        </w:rPr>
        <w:t>" 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חנוכייב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3.3.2019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התחשב כנדרש בנסיבותיו האישיות והמשפחתיות של המערער</w:t>
      </w:r>
      <w:r>
        <w:rPr>
          <w:rtl w:val="true"/>
        </w:rPr>
        <w:t xml:space="preserve">, </w:t>
      </w:r>
      <w:r>
        <w:rPr>
          <w:rtl w:val="true"/>
        </w:rPr>
        <w:t>בשל כך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גזר את עונשו בחלקו התחתון של מתחם העונש שנקבע והשית עליו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פיצוי בסך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לאלירז</w:t>
      </w:r>
      <w:r>
        <w:rPr>
          <w:rtl w:val="true"/>
        </w:rPr>
        <w:t xml:space="preserve">, </w:t>
      </w:r>
      <w:r>
        <w:rPr>
          <w:rtl w:val="true"/>
        </w:rPr>
        <w:t>וענישה נלווית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עיון בתסקיר נפגע העבירה מגלה את הפגיעה הקשה מנשוא באלירז ומשפחתו</w:t>
      </w:r>
      <w:r>
        <w:rPr>
          <w:rtl w:val="true"/>
        </w:rPr>
        <w:t xml:space="preserve">. </w:t>
      </w:r>
      <w:r>
        <w:rPr>
          <w:rtl w:val="true"/>
        </w:rPr>
        <w:t>אירוע הירי גדע באבחת ירייה אחת את חייו כפי שהכירם</w:t>
      </w:r>
      <w:r>
        <w:rPr>
          <w:rtl w:val="true"/>
        </w:rPr>
        <w:t xml:space="preserve">, </w:t>
      </w:r>
      <w:r>
        <w:rPr>
          <w:rtl w:val="true"/>
        </w:rPr>
        <w:t>ושינה מן הקצה אל הקצה את חיי הסובבים אותו באופן בלתי הפיך</w:t>
      </w:r>
      <w:r>
        <w:rPr>
          <w:rtl w:val="true"/>
        </w:rPr>
        <w:t xml:space="preserve">. </w:t>
      </w:r>
      <w:r>
        <w:rPr>
          <w:rtl w:val="true"/>
        </w:rPr>
        <w:t>בדיון שנערך בפנינו</w:t>
      </w:r>
      <w:r>
        <w:rPr>
          <w:rtl w:val="true"/>
        </w:rPr>
        <w:t xml:space="preserve">, </w:t>
      </w:r>
      <w:r>
        <w:rPr>
          <w:rtl w:val="true"/>
        </w:rPr>
        <w:t>אביו של אלירז ביטא את כאבו של בנו ואת הנזק שנגרם לו ולמשפחתו בעקבות הירי</w:t>
      </w:r>
      <w:r>
        <w:rPr>
          <w:rtl w:val="true"/>
        </w:rPr>
        <w:t xml:space="preserve">, </w:t>
      </w:r>
      <w:r>
        <w:rPr>
          <w:rtl w:val="true"/>
        </w:rPr>
        <w:t>ואף תיאר את הקושי היומיומי בטיפול בבנו אשר נותר סיעודי</w:t>
      </w:r>
      <w:r>
        <w:rPr>
          <w:rtl w:val="true"/>
        </w:rPr>
        <w:t xml:space="preserve">, </w:t>
      </w:r>
      <w:r>
        <w:rPr>
          <w:rtl w:val="true"/>
        </w:rPr>
        <w:t>מתנייד בכסא גלגלים וזקוק לסיוע תמידי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הטראגיות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6193/20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</w:t>
      </w:r>
      <w:r>
        <w:rPr/>
        <w:t>3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העונש שבית המשפט המחוזי השית על המערער הולם את חומרת מעשיו</w:t>
      </w:r>
      <w:r>
        <w:rPr>
          <w:rtl w:val="true"/>
        </w:rPr>
        <w:t xml:space="preserve">, </w:t>
      </w:r>
      <w:r>
        <w:rPr>
          <w:rtl w:val="true"/>
        </w:rPr>
        <w:t xml:space="preserve">מתחשב במכלול נסיבות ביצוע העבירה ונסיבותיו האישיות </w:t>
      </w:r>
      <w:r>
        <w:rPr>
          <w:rtl w:val="true"/>
        </w:rPr>
        <w:t>–</w:t>
      </w:r>
      <w:r>
        <w:rPr>
          <w:rtl w:val="true"/>
        </w:rPr>
        <w:t xml:space="preserve"> ואף מקל עמו במידת 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סבור כי יש לדחות את הערעור על שני חלקיו</w:t>
      </w:r>
      <w:r>
        <w:rPr>
          <w:rtl w:val="true"/>
        </w:rPr>
        <w:t xml:space="preserve">, </w:t>
      </w:r>
      <w:r>
        <w:rPr>
          <w:rtl w:val="true"/>
        </w:rPr>
        <w:t>ואציע לחברתי ולחברי כי נעשה כן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10.8.2022</w:t>
      </w:r>
      <w:r>
        <w:rPr>
          <w:rtl w:val="true"/>
        </w:rPr>
        <w:t xml:space="preserve">). </w:t>
      </w:r>
      <w:bookmarkEnd w:id="21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21038790</w:t>
      </w:r>
      <w:r>
        <w:rPr>
          <w:sz w:val="16"/>
          <w:rtl w:val="true"/>
        </w:rPr>
        <w:t>_</w:t>
      </w:r>
      <w:r>
        <w:rPr>
          <w:sz w:val="16"/>
        </w:rPr>
        <w:t>J09.docx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54678313-3879/21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4"/>
      <w:footerReference w:type="default" r:id="rId5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3879/21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טדסה סלומון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606585" TargetMode="External"/><Relationship Id="rId3" Type="http://schemas.openxmlformats.org/officeDocument/2006/relationships/hyperlink" Target="http://www.nevo.co.il/safrut/bookgroup/4004" TargetMode="External"/><Relationship Id="rId4" Type="http://schemas.openxmlformats.org/officeDocument/2006/relationships/hyperlink" Target="http://www.nevo.co.il/safrut/bookgroup/400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34i" TargetMode="External"/><Relationship Id="rId8" Type="http://schemas.openxmlformats.org/officeDocument/2006/relationships/hyperlink" Target="http://www.nevo.co.il/law/70301/34i.d" TargetMode="External"/><Relationship Id="rId9" Type="http://schemas.openxmlformats.org/officeDocument/2006/relationships/hyperlink" Target="http://www.nevo.co.il/law/70301/34i.e" TargetMode="External"/><Relationship Id="rId10" Type="http://schemas.openxmlformats.org/officeDocument/2006/relationships/hyperlink" Target="http://www.nevo.co.il/law/70301/305" TargetMode="External"/><Relationship Id="rId11" Type="http://schemas.openxmlformats.org/officeDocument/2006/relationships/hyperlink" Target="http://www.nevo.co.il/law/70301/305.1" TargetMode="External"/><Relationship Id="rId12" Type="http://schemas.openxmlformats.org/officeDocument/2006/relationships/hyperlink" Target="http://www.nevo.co.il/case/23606585" TargetMode="External"/><Relationship Id="rId13" Type="http://schemas.openxmlformats.org/officeDocument/2006/relationships/hyperlink" Target="http://www.nevo.co.il/law/70301/305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4i" TargetMode="External"/><Relationship Id="rId16" Type="http://schemas.openxmlformats.org/officeDocument/2006/relationships/hyperlink" Target="http://www.nevo.co.il/law/70301/34i" TargetMode="External"/><Relationship Id="rId17" Type="http://schemas.openxmlformats.org/officeDocument/2006/relationships/hyperlink" Target="http://www.nevo.co.il/law/70301/305.1" TargetMode="External"/><Relationship Id="rId18" Type="http://schemas.openxmlformats.org/officeDocument/2006/relationships/hyperlink" Target="http://www.nevo.co.il/case/27907586" TargetMode="External"/><Relationship Id="rId19" Type="http://schemas.openxmlformats.org/officeDocument/2006/relationships/hyperlink" Target="http://www.nevo.co.il/case/27070289" TargetMode="External"/><Relationship Id="rId20" Type="http://schemas.openxmlformats.org/officeDocument/2006/relationships/hyperlink" Target="http://www.nevo.co.il/case/27260053" TargetMode="External"/><Relationship Id="rId21" Type="http://schemas.openxmlformats.org/officeDocument/2006/relationships/hyperlink" Target="http://www.nevo.co.il/case/27351120" TargetMode="External"/><Relationship Id="rId22" Type="http://schemas.openxmlformats.org/officeDocument/2006/relationships/hyperlink" Target="http://www.nevo.co.il/law/70301/34i" TargetMode="External"/><Relationship Id="rId23" Type="http://schemas.openxmlformats.org/officeDocument/2006/relationships/hyperlink" Target="http://www.nevo.co.il/safrut/bookgroup/4004" TargetMode="External"/><Relationship Id="rId24" Type="http://schemas.openxmlformats.org/officeDocument/2006/relationships/hyperlink" Target="http://www.nevo.co.il/law/70301/305.1" TargetMode="External"/><Relationship Id="rId25" Type="http://schemas.openxmlformats.org/officeDocument/2006/relationships/hyperlink" Target="http://www.nevo.co.il/law/70301/25" TargetMode="External"/><Relationship Id="rId26" Type="http://schemas.openxmlformats.org/officeDocument/2006/relationships/hyperlink" Target="http://www.nevo.co.il/case/21651517" TargetMode="External"/><Relationship Id="rId27" Type="http://schemas.openxmlformats.org/officeDocument/2006/relationships/hyperlink" Target="http://www.nevo.co.il/case/2559176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34i.d" TargetMode="External"/><Relationship Id="rId30" Type="http://schemas.openxmlformats.org/officeDocument/2006/relationships/hyperlink" Target="http://www.nevo.co.il/case/5811666" TargetMode="External"/><Relationship Id="rId31" Type="http://schemas.openxmlformats.org/officeDocument/2006/relationships/hyperlink" Target="http://www.nevo.co.il/case/5880918" TargetMode="External"/><Relationship Id="rId32" Type="http://schemas.openxmlformats.org/officeDocument/2006/relationships/hyperlink" Target="http://www.nevo.co.il/law/70301/34i.e" TargetMode="External"/><Relationship Id="rId33" Type="http://schemas.openxmlformats.org/officeDocument/2006/relationships/hyperlink" Target="http://www.nevo.co.il/case/25246134" TargetMode="External"/><Relationship Id="rId34" Type="http://schemas.openxmlformats.org/officeDocument/2006/relationships/hyperlink" Target="http://www.nevo.co.il/law/70301/34i.d" TargetMode="External"/><Relationship Id="rId35" Type="http://schemas.openxmlformats.org/officeDocument/2006/relationships/hyperlink" Target="http://www.nevo.co.il/law/70301/34i.e" TargetMode="External"/><Relationship Id="rId36" Type="http://schemas.openxmlformats.org/officeDocument/2006/relationships/hyperlink" Target="http://www.nevo.co.il/case/5833838" TargetMode="External"/><Relationship Id="rId37" Type="http://schemas.openxmlformats.org/officeDocument/2006/relationships/hyperlink" Target="http://www.nevo.co.il/case/20030633" TargetMode="External"/><Relationship Id="rId38" Type="http://schemas.openxmlformats.org/officeDocument/2006/relationships/hyperlink" Target="http://www.nevo.co.il/case/20198054" TargetMode="External"/><Relationship Id="rId39" Type="http://schemas.openxmlformats.org/officeDocument/2006/relationships/hyperlink" Target="http://www.nevo.co.il/case/5770260" TargetMode="External"/><Relationship Id="rId40" Type="http://schemas.openxmlformats.org/officeDocument/2006/relationships/hyperlink" Target="http://www.nevo.co.il/case/18653966" TargetMode="External"/><Relationship Id="rId41" Type="http://schemas.openxmlformats.org/officeDocument/2006/relationships/hyperlink" Target="http://www.nevo.co.il/case/25305600" TargetMode="External"/><Relationship Id="rId42" Type="http://schemas.openxmlformats.org/officeDocument/2006/relationships/hyperlink" Target="http://www.nevo.co.il/safrut/bookgroup/4004" TargetMode="External"/><Relationship Id="rId43" Type="http://schemas.openxmlformats.org/officeDocument/2006/relationships/hyperlink" Target="http://www.nevo.co.il/law/70301/305.1" TargetMode="External"/><Relationship Id="rId44" Type="http://schemas.openxmlformats.org/officeDocument/2006/relationships/hyperlink" Target="http://www.nevo.co.il/case/27292084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305" TargetMode="External"/><Relationship Id="rId48" Type="http://schemas.openxmlformats.org/officeDocument/2006/relationships/hyperlink" Target="http://www.nevo.co.il/case/22303482" TargetMode="External"/><Relationship Id="rId49" Type="http://schemas.openxmlformats.org/officeDocument/2006/relationships/hyperlink" Target="http://www.nevo.co.il/case/5774854" TargetMode="External"/><Relationship Id="rId50" Type="http://schemas.openxmlformats.org/officeDocument/2006/relationships/hyperlink" Target="http://www.nevo.co.il/case/24287805" TargetMode="External"/><Relationship Id="rId51" Type="http://schemas.openxmlformats.org/officeDocument/2006/relationships/hyperlink" Target="http://www.nevo.co.il/case/26978057" TargetMode="External"/><Relationship Id="rId52" Type="http://schemas.openxmlformats.org/officeDocument/2006/relationships/hyperlink" Target="https://supreme.court.gov.il/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2022-08-11T06:30:00Z</dcterms:created>
  <dc:creator>h4</dc:creator>
  <dc:description/>
  <cp:keywords/>
  <dc:language>en-IL</dc:language>
  <cp:lastModifiedBy>orly</cp:lastModifiedBy>
  <cp:lastPrinted>2022-08-10T07:59:00Z</cp:lastPrinted>
  <dcterms:modified xsi:type="dcterms:W3CDTF">2022-08-11T06:30:00Z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טדסה סלומון</vt:lpwstr>
  </property>
  <property fmtid="{D5CDD505-2E9C-101B-9397-08002B2CF9AE}" pid="3" name="APPELLEE">
    <vt:lpwstr>מדינת ישראל;אלירז אזולאי</vt:lpwstr>
  </property>
  <property fmtid="{D5CDD505-2E9C-101B-9397-08002B2CF9AE}" pid="4" name="BOOKGROUPTMP1">
    <vt:lpwstr>4004:2</vt:lpwstr>
  </property>
  <property fmtid="{D5CDD505-2E9C-101B-9397-08002B2CF9AE}" pid="5" name="CASESLISTTMP1">
    <vt:lpwstr>23606585:2;27907586;27070289;27260053;27351120;21651517;25591764;5811666;5880918;25246134;5833838;20030633;20198054;5770260;18653966;25305600;27292084;22303482;5774854;24287805;26978057</vt:lpwstr>
  </property>
  <property fmtid="{D5CDD505-2E9C-101B-9397-08002B2CF9AE}" pid="6" name="DATE">
    <vt:lpwstr>20220810</vt:lpwstr>
  </property>
  <property fmtid="{D5CDD505-2E9C-101B-9397-08002B2CF9AE}" pid="7" name="ISABSTRACT">
    <vt:lpwstr>Y</vt:lpwstr>
  </property>
  <property fmtid="{D5CDD505-2E9C-101B-9397-08002B2CF9AE}" pid="8" name="JUDGE">
    <vt:lpwstr>י' אלרון;ג' כנפי שטייניץ;ח' כבוב</vt:lpwstr>
  </property>
  <property fmtid="{D5CDD505-2E9C-101B-9397-08002B2CF9AE}" pid="9" name="LAWLISTTMP1">
    <vt:lpwstr>70301/305.1:4;034i:3;025;034i.d:2;034i.e:2;305</vt:lpwstr>
  </property>
  <property fmtid="{D5CDD505-2E9C-101B-9397-08002B2CF9AE}" pid="10" name="LAWYER">
    <vt:lpwstr>עילית מידן;תמיר סננס;שילה ענבר</vt:lpwstr>
  </property>
  <property fmtid="{D5CDD505-2E9C-101B-9397-08002B2CF9AE}" pid="11" name="METAKZER">
    <vt:lpwstr>פאני</vt:lpwstr>
  </property>
  <property fmtid="{D5CDD505-2E9C-101B-9397-08002B2CF9AE}" pid="12" name="NOSE11">
    <vt:lpwstr>עונשין</vt:lpwstr>
  </property>
  <property fmtid="{D5CDD505-2E9C-101B-9397-08002B2CF9AE}" pid="13" name="NOSE110">
    <vt:lpwstr/>
  </property>
  <property fmtid="{D5CDD505-2E9C-101B-9397-08002B2CF9AE}" pid="14" name="NOSE12">
    <vt:lpwstr>עונשין</vt:lpwstr>
  </property>
  <property fmtid="{D5CDD505-2E9C-101B-9397-08002B2CF9AE}" pid="15" name="NOSE13">
    <vt:lpwstr>עונשין</vt:lpwstr>
  </property>
  <property fmtid="{D5CDD505-2E9C-101B-9397-08002B2CF9AE}" pid="16" name="NOSE14">
    <vt:lpwstr>עונשין</vt:lpwstr>
  </property>
  <property fmtid="{D5CDD505-2E9C-101B-9397-08002B2CF9AE}" pid="17" name="NOSE15">
    <vt:lpwstr>עונשין</vt:lpwstr>
  </property>
  <property fmtid="{D5CDD505-2E9C-101B-9397-08002B2CF9AE}" pid="18" name="NOSE16">
    <vt:lpwstr/>
  </property>
  <property fmtid="{D5CDD505-2E9C-101B-9397-08002B2CF9AE}" pid="19" name="NOSE17">
    <vt:lpwstr/>
  </property>
  <property fmtid="{D5CDD505-2E9C-101B-9397-08002B2CF9AE}" pid="20" name="NOSE18">
    <vt:lpwstr/>
  </property>
  <property fmtid="{D5CDD505-2E9C-101B-9397-08002B2CF9AE}" pid="21" name="NOSE19">
    <vt:lpwstr/>
  </property>
  <property fmtid="{D5CDD505-2E9C-101B-9397-08002B2CF9AE}" pid="22" name="NOSE1ID">
    <vt:lpwstr>77;77;77;77;77</vt:lpwstr>
  </property>
  <property fmtid="{D5CDD505-2E9C-101B-9397-08002B2CF9AE}" pid="23" name="NOSE21">
    <vt:lpwstr>הגנות</vt:lpwstr>
  </property>
  <property fmtid="{D5CDD505-2E9C-101B-9397-08002B2CF9AE}" pid="24" name="NOSE210">
    <vt:lpwstr/>
  </property>
  <property fmtid="{D5CDD505-2E9C-101B-9397-08002B2CF9AE}" pid="25" name="NOSE22">
    <vt:lpwstr>עבירות</vt:lpwstr>
  </property>
  <property fmtid="{D5CDD505-2E9C-101B-9397-08002B2CF9AE}" pid="26" name="NOSE23">
    <vt:lpwstr>מחשבה פלילית</vt:lpwstr>
  </property>
  <property fmtid="{D5CDD505-2E9C-101B-9397-08002B2CF9AE}" pid="27" name="NOSE24">
    <vt:lpwstr>ענישה</vt:lpwstr>
  </property>
  <property fmtid="{D5CDD505-2E9C-101B-9397-08002B2CF9AE}" pid="28" name="NOSE25">
    <vt:lpwstr>ענישה</vt:lpwstr>
  </property>
  <property fmtid="{D5CDD505-2E9C-101B-9397-08002B2CF9AE}" pid="29" name="NOSE26">
    <vt:lpwstr/>
  </property>
  <property fmtid="{D5CDD505-2E9C-101B-9397-08002B2CF9AE}" pid="30" name="NOSE27">
    <vt:lpwstr/>
  </property>
  <property fmtid="{D5CDD505-2E9C-101B-9397-08002B2CF9AE}" pid="31" name="NOSE28">
    <vt:lpwstr/>
  </property>
  <property fmtid="{D5CDD505-2E9C-101B-9397-08002B2CF9AE}" pid="32" name="NOSE29">
    <vt:lpwstr/>
  </property>
  <property fmtid="{D5CDD505-2E9C-101B-9397-08002B2CF9AE}" pid="33" name="NOSE2ID">
    <vt:lpwstr>1431;1443;1436;1446;1446</vt:lpwstr>
  </property>
  <property fmtid="{D5CDD505-2E9C-101B-9397-08002B2CF9AE}" pid="34" name="NOSE31">
    <vt:lpwstr>שכרות</vt:lpwstr>
  </property>
  <property fmtid="{D5CDD505-2E9C-101B-9397-08002B2CF9AE}" pid="35" name="NOSE310">
    <vt:lpwstr/>
  </property>
  <property fmtid="{D5CDD505-2E9C-101B-9397-08002B2CF9AE}" pid="36" name="NOSE32">
    <vt:lpwstr>ניסיון לרצח</vt:lpwstr>
  </property>
  <property fmtid="{D5CDD505-2E9C-101B-9397-08002B2CF9AE}" pid="37" name="NOSE33">
    <vt:lpwstr>מודעות</vt:lpwstr>
  </property>
  <property fmtid="{D5CDD505-2E9C-101B-9397-08002B2CF9AE}" pid="38" name="NOSE34">
    <vt:lpwstr>מדיניות ענישה: שיקולים</vt:lpwstr>
  </property>
  <property fmtid="{D5CDD505-2E9C-101B-9397-08002B2CF9AE}" pid="39" name="NOSE35">
    <vt:lpwstr>מדיניות ענישה: ניסיון לרצח</vt:lpwstr>
  </property>
  <property fmtid="{D5CDD505-2E9C-101B-9397-08002B2CF9AE}" pid="40" name="NOSE36">
    <vt:lpwstr/>
  </property>
  <property fmtid="{D5CDD505-2E9C-101B-9397-08002B2CF9AE}" pid="41" name="NOSE37">
    <vt:lpwstr/>
  </property>
  <property fmtid="{D5CDD505-2E9C-101B-9397-08002B2CF9AE}" pid="42" name="NOSE38">
    <vt:lpwstr/>
  </property>
  <property fmtid="{D5CDD505-2E9C-101B-9397-08002B2CF9AE}" pid="43" name="NOSE39">
    <vt:lpwstr/>
  </property>
  <property fmtid="{D5CDD505-2E9C-101B-9397-08002B2CF9AE}" pid="44" name="NOSE3ID">
    <vt:lpwstr>8691;8867;8717;8994;18350</vt:lpwstr>
  </property>
  <property fmtid="{D5CDD505-2E9C-101B-9397-08002B2CF9AE}" pid="45" name="PADIDATE">
    <vt:lpwstr>20220811</vt:lpwstr>
  </property>
  <property fmtid="{D5CDD505-2E9C-101B-9397-08002B2CF9AE}" pid="46" name="PADIMAIL">
    <vt:lpwstr>YES</vt:lpwstr>
  </property>
  <property fmtid="{D5CDD505-2E9C-101B-9397-08002B2CF9AE}" pid="47" name="PROCESS">
    <vt:lpwstr>עפ</vt:lpwstr>
  </property>
  <property fmtid="{D5CDD505-2E9C-101B-9397-08002B2CF9AE}" pid="48" name="PROCNUM">
    <vt:lpwstr>3879</vt:lpwstr>
  </property>
  <property fmtid="{D5CDD505-2E9C-101B-9397-08002B2CF9AE}" pid="49" name="PROCYEAR">
    <vt:lpwstr>21</vt:lpwstr>
  </property>
  <property fmtid="{D5CDD505-2E9C-101B-9397-08002B2CF9AE}" pid="50" name="PSAKDIN">
    <vt:lpwstr>פסק-דין</vt:lpwstr>
  </property>
  <property fmtid="{D5CDD505-2E9C-101B-9397-08002B2CF9AE}" pid="51" name="TYPE">
    <vt:lpwstr>1</vt:lpwstr>
  </property>
  <property fmtid="{D5CDD505-2E9C-101B-9397-08002B2CF9AE}" pid="52" name="TYPE_ABS_DATE">
    <vt:lpwstr>410120220810</vt:lpwstr>
  </property>
  <property fmtid="{D5CDD505-2E9C-101B-9397-08002B2CF9AE}" pid="53" name="TYPE_N_DATE">
    <vt:lpwstr>41020220810</vt:lpwstr>
  </property>
  <property fmtid="{D5CDD505-2E9C-101B-9397-08002B2CF9AE}" pid="54" name="WORDNUMPAGES">
    <vt:lpwstr>19</vt:lpwstr>
  </property>
</Properties>
</file>