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3891/19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זפרן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17.9.2018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30.4.2019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24045-12-15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304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333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298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1977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הנחוצים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לביסוס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וההתנהגותי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הנורמטיבי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המקסימלי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שהמכה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ומשהמוות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באספלט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זרועו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אגרוף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שבבסיסה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ד</w:t>
      </w:r>
      <w:r>
        <w:rPr>
          <w:rFonts w:cs="Miriam"/>
          <w:spacing w:val="10"/>
          <w:sz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rtl w:val="true"/>
        </w:rPr>
        <w:t>מרשק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מרום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24045-12-15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הריגה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298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rFonts w:cs="Miriam"/>
          <w:spacing w:val="10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וחיוב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  <w:szCs w:val="28"/>
        </w:rPr>
      </w:pPr>
      <w:r>
        <w:rPr>
          <w:rFonts w:cs="Miriam"/>
          <w:spacing w:val="10"/>
          <w:sz w:val="24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</w:rPr>
      </w:pPr>
      <w:r>
        <w:rPr>
          <w:rFonts w:cs="Miriam"/>
          <w:spacing w:val="10"/>
          <w:sz w:val="24"/>
          <w:sz w:val="24"/>
          <w:rtl w:val="true"/>
        </w:rPr>
        <w:t>עיקרי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כתב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האישום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15.11.2015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בחנייה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לשביל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כשברשותו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עגלה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הקיוסק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שהבחין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וחשד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הסורגים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ולהשיב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הסורגים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הקיוסק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לשביל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הקיוסק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ולהחזירו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שישיב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לרחבת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החניה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לרדוף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שהשיגו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אחז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עגלתו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ודרש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ולהחזיר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אחז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בחוזקה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בעגלה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להזיזה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באגרופו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בחוזקה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צווארו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הלשון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צנח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ונחבט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האספלט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נמרץ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ומונשם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בעפעפי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דימומים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בקדמת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הצוואר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וברקמות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שסביבם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ובעצם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ודימומים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שסביב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זווית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הלסת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נחבל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האחורי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העורף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המתמשך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הגולגולת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298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2019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230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  <w:szCs w:val="28"/>
        </w:rPr>
      </w:pPr>
      <w:r>
        <w:rPr>
          <w:rFonts w:cs="Miriam"/>
          <w:spacing w:val="10"/>
          <w:sz w:val="24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</w:rPr>
      </w:pPr>
      <w:r>
        <w:rPr>
          <w:rFonts w:cs="Miriam"/>
          <w:spacing w:val="10"/>
          <w:sz w:val="24"/>
          <w:sz w:val="24"/>
          <w:rtl w:val="true"/>
        </w:rPr>
        <w:t>עיקרי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הכרעת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הדין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>.</w:t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הסיבתי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כתגובה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אינסטינקטיבית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וקיבל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הבודדת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בלחיו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יודגש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בהידרשו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בנטל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בצווארו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מבססת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הריגה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ברשלנות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לתפנית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מחובתה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ומחובת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בייחוד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מובהק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מחושבות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לניואנסים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ולפרטים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ובמהלכו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להמעיט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להעניק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נופך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שהותקף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וביצע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והיסטריה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וגרסאות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(-)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פנייתו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הקיוסק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וצעק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רוסי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בלאט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(-)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עגלת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ואחז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לזוז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(-)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(-)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(-)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בתנועת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וצנח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עץ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הותירו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(-)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נמלט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מהזירה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ופגיעת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בקיוסק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חולצתו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כשהגיעו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הסיטואציה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בבהלה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להתייעץ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שכיוון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צנח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נחבט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האספלט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הוכיחה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ההריגה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המודעות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ובהתבסס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וההיגיון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לסיטואציה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להרגו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מרצונו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שתקף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הניכרים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וחקירותיו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זרועו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מאגרוף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לחבוט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לנפילתו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אספלט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ומדבריו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והדגים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שמאופיינת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בתנופה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בהדיפה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גפן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ובחקירתו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להמחיש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בהשראתו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עשתונותיו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המסבכות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עזיבת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הפקרת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מהזעקת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בקיוסק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החולצה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בשוטרים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כשרק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התייעצות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מושכלת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בנקיטה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6365/12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פלוני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נ</w:t>
      </w:r>
      <w:r>
        <w:rPr>
          <w:rFonts w:cs="Miriam"/>
          <w:spacing w:val="10"/>
          <w:sz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rtl w:val="true"/>
        </w:rPr>
        <w:t>מדינת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י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עמית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9.10.2013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>עניין פלוני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</w:rPr>
      </w:pPr>
      <w:r>
        <w:rPr>
          <w:rFonts w:cs="Miriam"/>
          <w:spacing w:val="10"/>
          <w:sz w:val="24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</w:rPr>
      </w:pPr>
      <w:r>
        <w:rPr>
          <w:rFonts w:cs="Miriam"/>
          <w:spacing w:val="10"/>
          <w:sz w:val="24"/>
          <w:sz w:val="24"/>
          <w:rtl w:val="true"/>
        </w:rPr>
        <w:t>תמצית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גזר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הדין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קדושת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והמיותר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בסכסוך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הקיוסק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רדיפתו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ואחיזתו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בחוזקה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בעגלת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כמשמעותו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cs="Times New Roman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40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בעטיה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המאופיינת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במנעד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אדישות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שהתקבל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המרבי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שבצד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ההריגה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עקרונות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הקיימת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ומבלי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שחפץ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שנעדר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לנטילת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נלקחה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להתפרנס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נלקחו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התייסרותו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והבושה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והקושי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להתאושש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</w:rPr>
      </w:pPr>
      <w:r>
        <w:rPr>
          <w:rFonts w:cs="Miriam"/>
          <w:spacing w:val="10"/>
          <w:sz w:val="24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spacing w:val="10"/>
          <w:sz w:val="24"/>
          <w:u w:val="single"/>
        </w:rPr>
      </w:pPr>
      <w:r>
        <w:rPr>
          <w:rFonts w:cs="Miriam"/>
          <w:spacing w:val="10"/>
          <w:sz w:val="24"/>
          <w:sz w:val="24"/>
          <w:rtl w:val="true"/>
        </w:rPr>
        <w:t>תמצית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טענות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הצדדים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b/>
          <w:bCs/>
          <w:spacing w:val="10"/>
          <w:sz w:val="24"/>
          <w:u w:val="single"/>
        </w:rPr>
      </w:pPr>
      <w:r>
        <w:rPr>
          <w:rFonts w:cs="Miriam"/>
          <w:b/>
          <w:bCs/>
          <w:spacing w:val="10"/>
          <w:sz w:val="24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שגויה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ההריגה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הבודדת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לאגרופו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לחילופין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משזו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בוטלה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להכריע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ולהרשיעו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301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ג</w:t>
        </w:r>
      </w:hyperlink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הופרדה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מיתר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הריגה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אדישות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מופלג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בדחותו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ככזו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המשפיעה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ולבסוף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ולהמלצת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בשטח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שנועץ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השתנתה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אומצה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במארג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הבודדת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והרשעתו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  <w:highlight w:val="yellow"/>
        </w:rPr>
      </w:pPr>
      <w:r>
        <w:rPr>
          <w:rFonts w:cs="FrankRuehl"/>
          <w:spacing w:val="10"/>
          <w:sz w:val="28"/>
          <w:szCs w:val="28"/>
          <w:highlight w:val="yellow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ולחילופין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מבוגר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מוכיחות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קיווה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יצליח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מהשחזור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מתיאוריו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בשחזור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והדגמתו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ומהעובדה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התותבות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הותירו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הנתיחה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שתיאר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מבוגר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וכחוש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ומודעות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זרועו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ולפגיעותו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אגרוף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ליפול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לאספלט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הנלוות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מוכיחות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כנדרש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בסעיפים</w:t>
        </w:r>
        <w:r>
          <w:rPr>
            <w:rStyle w:val="Hyperlink"/>
            <w:rFonts w:cs="Times New Roman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298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hyperlink r:id="rId19">
        <w:r>
          <w:rPr>
            <w:rStyle w:val="Hyperlink"/>
            <w:rFonts w:cs="FrankRuehl"/>
            <w:spacing w:val="10"/>
            <w:sz w:val="28"/>
            <w:szCs w:val="28"/>
          </w:rPr>
          <w:t>20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pacing w:val="10"/>
            <w:sz w:val="28"/>
            <w:szCs w:val="28"/>
          </w:rPr>
          <w:t>2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ליסודות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ברשלנות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שהיסוד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רשלנות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בדחותו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Ruller42"/>
        <w:numPr>
          <w:ilvl w:val="0"/>
          <w:numId w:val="0"/>
        </w:numPr>
        <w:spacing w:lineRule="auto" w:line="360" w:before="0" w:after="160"/>
        <w:ind w:hanging="0" w:start="0" w:end="0"/>
        <w:contextualSpacing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spacing w:val="10"/>
          <w:sz w:val="28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8"/>
          <w:szCs w:val="28"/>
          <w:rtl w:val="true"/>
        </w:rPr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בהעמידו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מלוא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הפיצוי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לאשת</w:t>
      </w:r>
      <w:r>
        <w:rPr>
          <w:rFonts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Cs w:val="28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pacing w:val="10"/>
        </w:rPr>
      </w:pPr>
      <w:r>
        <w:rPr>
          <w:rFonts w:ascii="Century" w:hAnsi="Century" w:cs="Miriam"/>
          <w:b/>
          <w:b/>
          <w:spacing w:val="10"/>
          <w:rtl w:val="true"/>
        </w:rPr>
        <w:t>דיון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והכרעה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pacing w:val="10"/>
        </w:rPr>
      </w:pPr>
      <w:r>
        <w:rPr>
          <w:rFonts w:cs="Miriam" w:ascii="Century" w:hAnsi="Century"/>
          <w:b/>
          <w:spacing w:val="10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מצומצמת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ומתייחסת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לחילופין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שהכהו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באגרופו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מבססים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הקיוסק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ברזלים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הנחוצים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לביסוס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ההתנהגותי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להדוף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אינסטינקטיבית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לאגרוף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באספלט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'.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וההתנהגותי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משטענה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ההריגה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ונחבט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באספלט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להשאיר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333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ברשלנות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תתממש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10152/17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נ</w:t>
      </w:r>
      <w:r>
        <w:rPr>
          <w:rFonts w:cs="Miriam" w:ascii="Century" w:hAnsi="Century"/>
          <w:b/>
          <w:spacing w:val="10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rtl w:val="true"/>
        </w:rPr>
        <w:t>ח</w:t>
      </w:r>
      <w:r>
        <w:rPr>
          <w:rFonts w:cs="Miriam" w:ascii="Century" w:hAnsi="Century"/>
          <w:b/>
          <w:spacing w:val="10"/>
          <w:rtl w:val="true"/>
        </w:rPr>
        <w:t>'</w:t>
      </w:r>
      <w:r>
        <w:rPr>
          <w:rFonts w:ascii="Century" w:hAnsi="Century" w:cs="Miriam"/>
          <w:b/>
          <w:b/>
          <w:spacing w:val="10"/>
          <w:rtl w:val="true"/>
        </w:rPr>
        <w:t>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  <w:rtl w:val="true"/>
        </w:rPr>
        <w:t>‏</w:t>
      </w:r>
      <w:r>
        <w:rPr>
          <w:rFonts w:cs="FrankRuehl" w:ascii="Century" w:hAnsi="Century"/>
          <w:spacing w:val="10"/>
          <w:szCs w:val="28"/>
        </w:rPr>
        <w:t>10.5.2018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ההתנהגותי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שעונשה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המקסימלי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וביישום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שהמכה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מבוגר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כחוש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זרועו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סובייקטיבי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בודדת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וזקן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זרועו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המאופיינת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בהדיפה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עזיבת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הפקרת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מהזעקת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החולצה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בשוטרים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כשרק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התייעצות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מושכלת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שנדחתה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עשתונות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למזער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ובמהלכו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ולהמעיט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הותקף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וביצע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ההתנהגות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>.</w:t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בחזקת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המודעות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שחזור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זרועו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ואגרופו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ויחסי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שקולים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מבוגר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וכחוש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ומכאן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להדוף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להחזיר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האגרוף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ולבטח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שהצדיקה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נפילתו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נחבט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באספלט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ונגרמה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שבעטיה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מלפגוע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ולגרום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להיגרם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כשבהמשך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הופתע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מנפילתו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הצדיקה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כשלדבריו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צונח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ככה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צונח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כזאת</w:t>
      </w:r>
      <w:r>
        <w:rPr>
          <w:rFonts w:cs="FrankRuehl"/>
          <w:spacing w:val="10"/>
          <w:sz w:val="28"/>
          <w:szCs w:val="28"/>
          <w:rtl w:val="true"/>
        </w:rPr>
        <w:t>" "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תצנח</w:t>
      </w:r>
      <w:r>
        <w:rPr>
          <w:rFonts w:cs="FrankRuehl"/>
          <w:spacing w:val="10"/>
          <w:sz w:val="28"/>
          <w:szCs w:val="28"/>
          <w:rtl w:val="true"/>
        </w:rPr>
        <w:t>..."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מלפגוע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מבססים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שלמעלה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Ruller5"/>
        <w:spacing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אין להסתפק בהוכחת מודעות מצד הנאשם לאפשרות של גרימת חבלה גופנית ממשית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ויש להוכיח כי הנאשם היה מודע לאפשרות של גרימת המוות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היא התוצאה הכלולה בהגדרת העבירה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נדרשת מודעות מצד הנאשם לאפשרות של גרימת התוצאה הקטלנית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שאלה מורכבת היא עד כמה ניתן להיעזר בקביעת קיומה של המודעות לתוצאה הקטלנית תוך הישענות על חזקה ראייתית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עובדתית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המושתתת על הוכחת מודעות הנאשם לאפשרות של גרימת חבלה גופנית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 xml:space="preserve">ניתן לומר כי </w:t>
      </w:r>
      <w:r>
        <w:rPr>
          <w:rFonts w:ascii="Miriam" w:hAnsi="Miriam" w:cs="Miriam"/>
          <w:sz w:val="24"/>
          <w:sz w:val="24"/>
          <w:szCs w:val="24"/>
          <w:rtl w:val="true"/>
        </w:rPr>
        <w:t>רק כאשר המודעות לגרימת החבלה הגופנית היא מודעות המתייחסת לחבלה חמורה שמעצם טיבה עלולה לסכן חיים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מתקיימת מודעות לתוצאה הקטלנית</w:t>
      </w:r>
      <w:r>
        <w:rPr>
          <w:rFonts w:cs="Century" w:ascii="Century" w:hAnsi="Century"/>
          <w:rtl w:val="true"/>
        </w:rPr>
        <w:t>..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hyperlink r:id="rId2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4351/00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b/>
            <w:b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אלהווא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''</w:t>
        </w:r>
        <w:r>
          <w:rPr>
            <w:rStyle w:val="Hyperlink"/>
            <w:rFonts w:ascii="Century" w:hAnsi="Century" w:cs="Century"/>
            <w:rtl w:val="true"/>
          </w:rPr>
          <w:t>ד 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327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ההדגשות אינן במקור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Ruller5"/>
        <w:spacing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Ruller5"/>
        <w:spacing w:before="0" w:after="0"/>
        <w:ind w:end="1282"/>
        <w:contextualSpacing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לשם הרשעה בעבירת הריגה נדרשת מודעות מצד הנאשם לאפשרות של גרימת תוצאה קטלנית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ואין די בצפיית אפשרות של גרימת חבלה גופנית ממשית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נדרש להוכיח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הנאשם היה מודע לאפשרות כי עקב מעשהו או מחדלו האסור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ימצא הקורבן את מותו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מודעות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לאפשרות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לפיה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התוצאה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תהא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חבלה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גופנית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קשה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ככל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שתהא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אינה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מספיקה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להרשעה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בעבירת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ההריגה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 xml:space="preserve">ראו </w:t>
      </w:r>
      <w:hyperlink r:id="rId25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9723/03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 </w:t>
      </w:r>
      <w:r>
        <w:rPr>
          <w:rFonts w:ascii="Century" w:hAnsi="Century" w:cs="Miriam"/>
          <w:b/>
          <w:b/>
          <w:szCs w:val="24"/>
          <w:rtl w:val="true"/>
        </w:rPr>
        <w:t>בלזר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Garamond" w:hAnsi="Garamond" w:cs="Garamond"/>
          <w:sz w:val="24"/>
          <w:sz w:val="24"/>
          <w:rtl w:val="true"/>
        </w:rPr>
        <w:t xml:space="preserve">פסקה </w:t>
      </w:r>
      <w:r>
        <w:rPr>
          <w:rFonts w:cs="Garamond" w:ascii="Garamond" w:hAnsi="Garamond"/>
          <w:sz w:val="24"/>
        </w:rPr>
        <w:t>5</w:t>
      </w:r>
      <w:r>
        <w:rPr>
          <w:rFonts w:cs="Garamond" w:ascii="Garamond" w:hAnsi="Garamond"/>
          <w:sz w:val="24"/>
          <w:rtl w:val="true"/>
        </w:rPr>
        <w:t xml:space="preserve"> (</w:t>
      </w:r>
      <w:r>
        <w:rPr>
          <w:rFonts w:cs="Garamond" w:ascii="Garamond" w:hAnsi="Garamond"/>
          <w:sz w:val="24"/>
        </w:rPr>
        <w:t>12.10.2004</w:t>
      </w:r>
      <w:r>
        <w:rPr>
          <w:rFonts w:cs="Garamond" w:ascii="Garamond" w:hAnsi="Garamond"/>
          <w:sz w:val="24"/>
          <w:rtl w:val="true"/>
        </w:rPr>
        <w:t xml:space="preserve">); </w:t>
      </w:r>
      <w:hyperlink r:id="rId26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4351/00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מדינת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ישראל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נ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אבו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אלהווא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נה</w:t>
        </w:r>
      </w:hyperlink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3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cs="Garamond" w:ascii="Garamond" w:hAnsi="Garamond"/>
          <w:sz w:val="24"/>
        </w:rPr>
        <w:t>327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cs="Garamond" w:ascii="Garamond" w:hAnsi="Garamond"/>
          <w:sz w:val="24"/>
        </w:rPr>
        <w:t>333</w:t>
      </w:r>
      <w:r>
        <w:rPr>
          <w:rFonts w:cs="Garamond" w:ascii="Garamond" w:hAnsi="Garamond"/>
          <w:sz w:val="24"/>
          <w:rtl w:val="true"/>
        </w:rPr>
        <w:t xml:space="preserve"> (</w:t>
      </w:r>
      <w:r>
        <w:rPr>
          <w:rFonts w:cs="Garamond" w:ascii="Garamond" w:hAnsi="Garamond"/>
          <w:sz w:val="24"/>
        </w:rPr>
        <w:t>2001</w:t>
      </w:r>
      <w:r>
        <w:rPr>
          <w:rFonts w:cs="Garamond" w:ascii="Garamond" w:hAnsi="Garamond"/>
          <w:sz w:val="24"/>
          <w:rtl w:val="true"/>
        </w:rPr>
        <w:t>))." (</w:t>
      </w:r>
      <w:r>
        <w:rPr>
          <w:rFonts w:ascii="Garamond" w:hAnsi="Garamond" w:cs="Garamond"/>
          <w:sz w:val="24"/>
          <w:sz w:val="24"/>
          <w:rtl w:val="true"/>
        </w:rPr>
        <w:t>עניין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פלוני</w:t>
      </w:r>
      <w:r>
        <w:rPr>
          <w:rFonts w:ascii="Garamond" w:hAnsi="Garamond" w:cs="Garamond"/>
          <w:sz w:val="24"/>
          <w:sz w:val="24"/>
          <w:rtl w:val="true"/>
        </w:rPr>
        <w:t xml:space="preserve"> הנ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פסקה </w:t>
      </w:r>
      <w:r>
        <w:rPr>
          <w:rFonts w:cs="Garamond" w:ascii="Garamond" w:hAnsi="Garamond"/>
          <w:sz w:val="24"/>
        </w:rPr>
        <w:t>28</w:t>
      </w:r>
      <w:r>
        <w:rPr>
          <w:rFonts w:cs="Garamond" w:ascii="Garamond" w:hAnsi="Garamond"/>
          <w:sz w:val="24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ויחידה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הבודדת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נתכוון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מלהלום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וליחסי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משהוכח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בגרימת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משהמוות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והטחת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באספלט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נסתרת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המודעות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>.</w:t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לחזקת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המודעות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Ruller5"/>
        <w:spacing w:before="0" w:after="0"/>
        <w:ind w:end="1282"/>
        <w:contextualSpacing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חזקה עובדתית גרידא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המבוססת על ניסיון החיים ואשר מוסקת מן הנסיבות הקונקרטיות של המקרה העומד לדיון בפני 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הפרכתה של חזקה עובדתית זו יכולה לעלות משקילתו של מכלול הראיות שהובאו בפני 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 גם אם 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 אינו מקבל את גרסתו של הנאשם בדבר דרך התרחשות התאונה הקטלנית</w:t>
      </w:r>
      <w:r>
        <w:rPr>
          <w:rFonts w:cs="Century" w:ascii="Century" w:hAnsi="Century"/>
          <w:rtl w:val="true"/>
        </w:rPr>
        <w:t>." (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6131/01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6916/01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פרבשטיין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6.12.2001</w:t>
      </w:r>
      <w:r>
        <w:rPr>
          <w:rFonts w:cs="Century" w:ascii="Century" w:hAnsi="Century"/>
          <w:rtl w:val="true"/>
        </w:rPr>
        <w:t>))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spacing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למזער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ולהמעיט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להזעיק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להתייעצות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שייעץ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זרועו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בודדת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אין משמעות הדבר כי מעשיו של המערער לא נשאו אופי פלילי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אלא כי יש מקום לבחון האם יש להרשיעו בעבירה אחרת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כפי שצוין לעיל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האפשרות להרשיע את המערער בעבירה של גרימת מוות ברשלנות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לפי </w:t>
      </w:r>
      <w:hyperlink r:id="rId28">
        <w:r>
          <w:rPr>
            <w:rStyle w:val="Hyperlink"/>
            <w:rFonts w:ascii="FrankRuehl" w:hAnsi="FrankRuehl" w:eastAsia="Calibri" w:cs="FrankRuehl"/>
            <w:spacing w:val="10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pacing w:val="10"/>
            <w:sz w:val="28"/>
            <w:szCs w:val="28"/>
          </w:rPr>
          <w:t>304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במקום בעבירת ההריגה נבחנה בהכרעת דינו של בית המשפט קמא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ונדחתה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trike/>
          <w:spacing w:val="10"/>
          <w:sz w:val="28"/>
          <w:szCs w:val="28"/>
        </w:rPr>
      </w:pPr>
      <w:r>
        <w:rPr>
          <w:rFonts w:eastAsia="Calibri" w:cs="FrankRuehl" w:ascii="FrankRuehl" w:hAnsi="FrankRuehl"/>
          <w:strike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בנסיבות המקרה אכן לא היה מקום להרשעת המערער בעבירה זו חלף עבירת ההריגה וזאת מן הטעם שלא התקיים היסוד הנפשי הנדרש להרשעה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יודגש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כי היסוד הנפשי לבדו הוא המבדיל בין עבירת ההריגה לבין עבירת גרימת מוות ברשלנות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כאשר בעבירת ההריגה נדרשת צפיות בפועל של התוצאה הקטלנית בעוד שבעבירת גרימת מוות ברשלנות די בקיומה של צפיות בכוח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(</w:t>
      </w:r>
      <w:hyperlink r:id="rId29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</w:rPr>
          <w:t>7580/02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eastAsia="Calibri" w:cs="Miriam"/>
          <w:spacing w:val="10"/>
          <w:sz w:val="24"/>
          <w:sz w:val="24"/>
          <w:rtl w:val="true"/>
        </w:rPr>
        <w:t>ג</w:t>
      </w:r>
      <w:r>
        <w:rPr>
          <w:rFonts w:eastAsia="Calibri" w:cs="Miriam" w:ascii="Miriam" w:hAnsi="Miriam"/>
          <w:spacing w:val="10"/>
          <w:sz w:val="24"/>
          <w:rtl w:val="true"/>
        </w:rPr>
        <w:t>'</w:t>
      </w:r>
      <w:r>
        <w:rPr>
          <w:rFonts w:ascii="Miriam" w:hAnsi="Miriam" w:eastAsia="Calibri" w:cs="Miriam"/>
          <w:spacing w:val="10"/>
          <w:sz w:val="24"/>
          <w:sz w:val="24"/>
          <w:rtl w:val="true"/>
        </w:rPr>
        <w:t>אבר נ</w:t>
      </w:r>
      <w:r>
        <w:rPr>
          <w:rFonts w:eastAsia="Calibri"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eastAsia="Calibri" w:cs="Miriam"/>
          <w:spacing w:val="10"/>
          <w:sz w:val="24"/>
          <w:sz w:val="24"/>
          <w:rtl w:val="true"/>
        </w:rPr>
        <w:t>מדינת ישראל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eastAsia="Calibri" w:cs="FrankRuehl" w:ascii="FrankRuehl" w:hAnsi="FrankRuehl"/>
          <w:spacing w:val="10"/>
          <w:sz w:val="28"/>
          <w:szCs w:val="28"/>
        </w:rPr>
        <w:t>11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eastAsia="Calibri" w:cs="FrankRuehl" w:ascii="FrankRuehl" w:hAnsi="FrankRuehl"/>
          <w:spacing w:val="10"/>
          <w:sz w:val="28"/>
          <w:szCs w:val="28"/>
        </w:rPr>
        <w:t>22.9.2005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בכל הנוגע לצפיות בכוח נדרש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כי ניתן היה לצפות את הסיכון שבהתנהגות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ולא את דרך הגרימה המדויקת להתממשותו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(</w:t>
      </w:r>
      <w:hyperlink r:id="rId30">
        <w:r>
          <w:rPr>
            <w:rStyle w:val="Hyperlink"/>
            <w:rFonts w:ascii="FrankRuehl" w:hAnsi="FrankRuehl" w:eastAsia="Calibri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spacing w:val="10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spacing w:val="10"/>
            <w:sz w:val="28"/>
            <w:szCs w:val="28"/>
          </w:rPr>
          <w:t>9956/05</w:t>
        </w:r>
        <w:r>
          <w:rPr>
            <w:rStyle w:val="Hyperlink"/>
            <w:rFonts w:eastAsia="Calibri" w:cs="FrankRuehl" w:ascii="FrankRuehl" w:hAnsi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FrankRuehl" w:hAnsi="FrankRuehl" w:eastAsia="Calibri" w:cs="FrankRuehl"/>
            <w:spacing w:val="10"/>
            <w:sz w:val="28"/>
            <w:sz w:val="28"/>
            <w:szCs w:val="28"/>
            <w:rtl w:val="true"/>
          </w:rPr>
          <w:t>שי נ</w:t>
        </w:r>
        <w:r>
          <w:rPr>
            <w:rStyle w:val="Hyperlink"/>
            <w:rFonts w:eastAsia="Calibri" w:cs="FrankRuehl" w:ascii="FrankRuehl" w:hAnsi="FrankRuehl"/>
            <w:spacing w:val="10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FrankRuehl" w:hAnsi="FrankRuehl" w:eastAsia="Calibri" w:cs="FrankRuehl"/>
            <w:spacing w:val="10"/>
            <w:sz w:val="28"/>
            <w:sz w:val="28"/>
            <w:szCs w:val="28"/>
            <w:rtl w:val="true"/>
          </w:rPr>
          <w:t>מדינת ישראל</w:t>
        </w:r>
        <w:r>
          <w:rPr>
            <w:rStyle w:val="Hyperlink"/>
            <w:rFonts w:eastAsia="Calibri" w:cs="FrankRuehl" w:ascii="FrankRuehl" w:hAnsi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ascii="FrankRuehl" w:hAnsi="FrankRuehl" w:eastAsia="Calibri" w:cs="FrankRuehl"/>
            <w:spacing w:val="10"/>
            <w:sz w:val="28"/>
            <w:sz w:val="28"/>
            <w:szCs w:val="28"/>
            <w:rtl w:val="true"/>
          </w:rPr>
          <w:t>פד</w:t>
        </w:r>
        <w:r>
          <w:rPr>
            <w:rStyle w:val="Hyperlink"/>
            <w:rFonts w:eastAsia="Calibri" w:cs="FrankRuehl" w:ascii="FrankRuehl" w:hAnsi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spacing w:val="10"/>
            <w:sz w:val="28"/>
            <w:sz w:val="28"/>
            <w:szCs w:val="28"/>
            <w:rtl w:val="true"/>
          </w:rPr>
          <w:t>י סג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pacing w:val="10"/>
          <w:sz w:val="28"/>
          <w:szCs w:val="28"/>
        </w:rPr>
        <w:t>2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spacing w:val="10"/>
          <w:sz w:val="28"/>
          <w:szCs w:val="28"/>
        </w:rPr>
        <w:t>742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eastAsia="Calibri" w:cs="FrankRuehl" w:ascii="FrankRuehl" w:hAnsi="FrankRuehl"/>
          <w:spacing w:val="10"/>
          <w:sz w:val="28"/>
          <w:szCs w:val="28"/>
        </w:rPr>
        <w:t>21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לפסק דינה של הנשיאה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כתוארה אז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eastAsia="Calibri" w:cs="Miriam" w:ascii="Miriam" w:hAnsi="Miriam"/>
          <w:spacing w:val="10"/>
          <w:sz w:val="24"/>
          <w:rtl w:val="true"/>
        </w:rPr>
        <w:t xml:space="preserve"> </w:t>
      </w:r>
      <w:r>
        <w:rPr>
          <w:rFonts w:ascii="Miriam" w:hAnsi="Miriam" w:eastAsia="Calibri" w:cs="Miriam"/>
          <w:spacing w:val="10"/>
          <w:sz w:val="24"/>
          <w:sz w:val="24"/>
          <w:rtl w:val="true"/>
        </w:rPr>
        <w:t>ד</w:t>
      </w:r>
      <w:r>
        <w:rPr>
          <w:rFonts w:eastAsia="Calibri"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eastAsia="Calibri" w:cs="Miriam"/>
          <w:spacing w:val="10"/>
          <w:sz w:val="24"/>
          <w:sz w:val="24"/>
          <w:rtl w:val="true"/>
        </w:rPr>
        <w:t>ביניש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pacing w:val="10"/>
          <w:sz w:val="28"/>
          <w:szCs w:val="28"/>
        </w:rPr>
        <w:t>2009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בחינת הדברים לאור נסיבות המקרה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כפי שתוארו לעיל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מעלה כי אין לומר כי אדם סביר מן היישוב יכול היה לצפות כי מתן מכה יחידה באמצעות אמת היד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בפניו של אדם תגרום למותו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eastAsia="Calibri" w:cs="FrankRuehl"/>
          <w:spacing w:val="10"/>
          <w:sz w:val="28"/>
          <w:szCs w:val="28"/>
        </w:rPr>
      </w:pPr>
      <w:r>
        <w:rPr>
          <w:rFonts w:eastAsia="Calibri"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יחד עם זאת יש מקום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333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וזאת על בסיס קביעות העובדה והמהימנות של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 בסיס האמור בהכרעת הדין של בית המשפט קמא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לקבוע כי בנסיבות המקרה המערער צריך היה לצפות את האפשרות כי בשל הכאת המנוח בפניו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גם אם באמת ידו ולא ביד קפוצה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מכת אגרוף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תיגרם לו חבלה חמורה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היסוד הנפשי הדרוש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להרשעה בעבירה לפי </w:t>
      </w:r>
      <w:hyperlink r:id="rId32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333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לחוק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פזיזות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בין באדישות ובין בקלות דעת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33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20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בעניינ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בסיס ממצאי בית המשפט קמא ניתן לקבוע כי התקיימה במערער קלות דעת ביחס לאפשרות גרימת החבלה החמורה למנוח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ולראיה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כתוצאה מהמכה הועפו שיניו התותבות של המנוח מפיו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27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התוצאה היא שהרשעתו של המערער בעבירת ההריגה אינה יכולה לעמוד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תחת זאת יש להרשיעו בעבירה של גרימת חבלה חמורה לפי </w:t>
      </w:r>
      <w:hyperlink r:id="rId34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333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יוער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בעניין </w:t>
      </w:r>
      <w:r>
        <w:rPr>
          <w:rFonts w:ascii="Miriam" w:hAnsi="Miriam" w:cs="Miriam"/>
          <w:spacing w:val="10"/>
          <w:sz w:val="24"/>
          <w:sz w:val="24"/>
          <w:rtl w:val="true"/>
        </w:rPr>
        <w:t>פלוני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הנ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 הכיר בית משפט זה באפשרות להרשיע בעבירה של גרימת חבלה חמורה תחת עבירת ההריגה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גם כאשר תוצאותיה הביאו למותו של קורבן האלימות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שהותקף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28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לאור מסקנתי זו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ולפיה יש להרשיע את המערער בעבירה של גרימת חבלה חמורה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יש מקום להתערב בגזר דינו ולהפחית ממאסרו </w:t>
      </w:r>
      <w:r>
        <w:rPr>
          <w:rFonts w:cs="FrankRuehl" w:ascii="FrankRuehl" w:hAnsi="FrankRuehl"/>
          <w:spacing w:val="10"/>
          <w:sz w:val="28"/>
          <w:szCs w:val="28"/>
        </w:rPr>
        <w:t>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הן בשל העונש המירבי הקבוע לעבירה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שבע שנות מאסר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והערכים המוגנים שבבסיסה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והן בשל העובדה כי מדובר היה במכה יחידה ובהעדר תכנון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Calibri"/>
          <w:szCs w:val="22"/>
        </w:rPr>
      </w:pPr>
      <w:r>
        <w:rPr>
          <w:rFonts w:cs="FrankRuehl" w:ascii="FrankRuehl" w:hAnsi="FrankRuehl"/>
          <w:spacing w:val="10"/>
          <w:sz w:val="28"/>
          <w:szCs w:val="28"/>
        </w:rPr>
        <w:t>29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על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אציע לחבריי כי הערעור על הכרעת הדין יתקבל באופן חלקי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כך שהמערער יזוכה מעבירת ההריגה ותחתיה יורשע בעבירה של גרימת חבלה חמורה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 </w:t>
      </w:r>
      <w:hyperlink r:id="rId35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333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וכי עונש המאסר שנגזר עליו יועמד על </w:t>
      </w:r>
      <w:r>
        <w:rPr>
          <w:rFonts w:cs="FrankRuehl" w:ascii="FrankRuehl" w:hAnsi="FrankRuehl"/>
          <w:spacing w:val="10"/>
          <w:sz w:val="28"/>
          <w:szCs w:val="28"/>
        </w:rPr>
        <w:t>32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יתר רכיבי גזר הדין יעמדו בעינם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Calibri"/>
          <w:szCs w:val="22"/>
        </w:rPr>
      </w:pPr>
      <w:r>
        <w:rPr>
          <w:rFonts w:cs="Calibri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10"/>
          <w:sz w:val="24"/>
          <w:u w:val="single"/>
        </w:rPr>
      </w:pPr>
      <w:r>
        <w:rPr>
          <w:rFonts w:cs="Miriam"/>
          <w:spacing w:val="10"/>
          <w:sz w:val="24"/>
          <w:sz w:val="24"/>
          <w:u w:val="single"/>
          <w:rtl w:val="true"/>
        </w:rPr>
        <w:t>השופט</w:t>
      </w:r>
      <w:r>
        <w:rPr>
          <w:rFonts w:cs="Times New Roman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cs="Miriam"/>
          <w:spacing w:val="10"/>
          <w:sz w:val="24"/>
          <w:sz w:val="24"/>
          <w:u w:val="single"/>
          <w:rtl w:val="true"/>
        </w:rPr>
        <w:t>מ</w:t>
      </w:r>
      <w:r>
        <w:rPr>
          <w:rFonts w:cs="Miriam"/>
          <w:spacing w:val="10"/>
          <w:sz w:val="24"/>
          <w:u w:val="single"/>
          <w:rtl w:val="true"/>
        </w:rPr>
        <w:t xml:space="preserve">' </w:t>
      </w:r>
      <w:r>
        <w:rPr>
          <w:rFonts w:cs="Miriam"/>
          <w:spacing w:val="10"/>
          <w:sz w:val="24"/>
          <w:sz w:val="24"/>
          <w:u w:val="single"/>
          <w:rtl w:val="true"/>
        </w:rPr>
        <w:t>מזוז</w:t>
      </w:r>
      <w:r>
        <w:rPr>
          <w:rFonts w:cs="Miriam"/>
          <w:spacing w:val="10"/>
          <w:sz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  <w:tab/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ג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קרא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ולמסקנותיו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להנמקתו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הריגה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ברשלנות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בהסתמך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י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עמית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6365/12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נ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9.10.2013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פלוני</w:t>
      </w:r>
      <w:r>
        <w:rPr>
          <w:rFonts w:cs="Miriam" w:ascii="Garamond" w:hAnsi="Garamond"/>
          <w:b/>
          <w:sz w:val="24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אגב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Garamond" w:hAnsi="Garamond"/>
          <w:b/>
          <w:sz w:val="24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4"/>
          <w:szCs w:val="28"/>
        </w:rPr>
      </w:pPr>
      <w:r>
        <w:rPr>
          <w:rFonts w:cs="FrankRuehl" w:ascii="Arial TUR" w:hAnsi="Arial TUR"/>
          <w:spacing w:val="10"/>
          <w:sz w:val="24"/>
          <w:szCs w:val="28"/>
          <w:rtl w:val="true"/>
        </w:rPr>
      </w:r>
    </w:p>
    <w:p>
      <w:pPr>
        <w:pStyle w:val="Normal"/>
        <w:spacing w:before="0" w:after="120"/>
        <w:ind w:start="1642" w:end="1282"/>
        <w:jc w:val="both"/>
        <w:rPr>
          <w:rFonts w:ascii="Arial TUR" w:hAnsi="Arial TUR" w:cs="FrankRuehl"/>
          <w:spacing w:val="6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לטעמי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גרם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מוות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ברשלנות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נועדה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בראש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ובראשונה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ללכוד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ברשתה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אנטי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סוציאלית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במהותה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שלחברה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אינטרס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בקיומה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ובהתקיימותה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שבמהלכה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נגרם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מותו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ברשלנות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הדוגמה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המובהקת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נהיגה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הסכנות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האינהרנטיות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הכרוכות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בנהיגה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... </w:t>
      </w:r>
    </w:p>
    <w:p>
      <w:pPr>
        <w:pStyle w:val="Normal"/>
        <w:spacing w:before="0" w:after="120"/>
        <w:ind w:start="1642" w:end="1282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6"/>
          <w:sz w:val="22"/>
          <w:szCs w:val="28"/>
          <w:rtl w:val="true"/>
        </w:rPr>
        <w:tab/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שהורתן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בהתנהגות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אנטי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סוציאלית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מובהקת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ראובן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דוקר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חברו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בסכין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וגורם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למותו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ראובן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יורה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לכיוון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ביתו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פלוני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וגורם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למותו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ראובן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בועט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בראשו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פלוני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סוגי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מקרים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לעיתים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רחוקות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יקבל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ראובן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צפה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לגרימת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מותו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הקורבן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>...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מובהקת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שגרמה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צידוק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הריגה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ונסיבותיו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כוונתי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ההריגה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האכסניה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ההריגה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הפרקטיקה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במקומותינו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</w:p>
    <w:p>
      <w:pPr>
        <w:pStyle w:val="Normal"/>
        <w:spacing w:lineRule="auto" w:line="360"/>
        <w:ind w:start="1642" w:end="1282"/>
        <w:jc w:val="both"/>
        <w:rPr>
          <w:rFonts w:ascii="Century" w:hAnsi="Century" w:cs="FrankRuehl"/>
          <w:spacing w:val="10"/>
          <w:sz w:val="28"/>
          <w:szCs w:val="36"/>
        </w:rPr>
      </w:pPr>
      <w:r>
        <w:rPr>
          <w:rFonts w:cs="FrankRuehl" w:ascii="Century" w:hAnsi="Century"/>
          <w:spacing w:val="10"/>
          <w:sz w:val="28"/>
          <w:szCs w:val="3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חוששני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מציאות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אימפירית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הריגה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1977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פעילות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עבריינית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אנליטית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ההריגה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אנטי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סוציאלית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ביסודות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דיכוטומית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בהתנהגות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סוציאלית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מובהקת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שגרמה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המודעות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ולייחס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הריגה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שלאבחנה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מוטעית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הריגה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ולהיפך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הקפדני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יוכיח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!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12"/>
          <w:szCs w:val="18"/>
        </w:rPr>
      </w:pPr>
      <w:r>
        <w:rPr>
          <w:rFonts w:cs="FrankRuehl" w:ascii="Arial TUR" w:hAnsi="Arial TUR"/>
          <w:spacing w:val="10"/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>
                <w:sz w:val="28"/>
                <w:szCs w:val="34"/>
              </w:rPr>
            </w:pPr>
            <w:r>
              <w:rPr>
                <w:sz w:val="28"/>
                <w:szCs w:val="34"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19038910</w:t>
      </w:r>
      <w:r>
        <w:rPr>
          <w:sz w:val="16"/>
          <w:rtl w:val="true"/>
        </w:rPr>
        <w:t>_</w:t>
      </w:r>
      <w:r>
        <w:rPr>
          <w:sz w:val="16"/>
        </w:rPr>
        <w:t>Q09.docx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54678313-3891/19</w:t>
      </w:r>
    </w:p>
    <w:p>
      <w:pPr>
        <w:pStyle w:val="Ruller381"/>
        <w:ind w:end="0"/>
        <w:jc w:val="start"/>
        <w:rPr>
          <w:szCs w:val="22"/>
        </w:rPr>
      </w:pPr>
      <w:r>
        <w:rPr>
          <w:color w:val="000000"/>
          <w:szCs w:val="22"/>
          <w:rtl w:val="true"/>
        </w:rPr>
        <w:t>נוסח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מסמך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זה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כפוף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לשינויי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ניסוח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ועריכה</w:t>
      </w:r>
    </w:p>
    <w:p>
      <w:pPr>
        <w:pStyle w:val="Ruller381"/>
        <w:ind w:end="0"/>
        <w:jc w:val="start"/>
        <w:rPr>
          <w:szCs w:val="22"/>
        </w:rPr>
      </w:pPr>
      <w:r>
        <w:rPr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3891/19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זפרן זוארץ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overflowPunct w:val="true"/>
      <w:autoSpaceDE w:val="true"/>
      <w:spacing w:lineRule="auto" w:line="257" w:before="0" w:after="160"/>
      <w:textAlignment w:val="auto"/>
    </w:pPr>
    <w:rPr>
      <w:rFonts w:ascii="Garamond" w:hAnsi="Garamond" w:eastAsia="Calibri" w:cs="Arial"/>
      <w:spacing w:val="0"/>
      <w:sz w:val="24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8913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a.2" TargetMode="External"/><Relationship Id="rId5" Type="http://schemas.openxmlformats.org/officeDocument/2006/relationships/hyperlink" Target="http://www.nevo.co.il/law/70301/20.a.2.b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1c" TargetMode="External"/><Relationship Id="rId9" Type="http://schemas.openxmlformats.org/officeDocument/2006/relationships/hyperlink" Target="http://www.nevo.co.il/law/70301/304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case/20789132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98" TargetMode="External"/><Relationship Id="rId15" Type="http://schemas.openxmlformats.org/officeDocument/2006/relationships/hyperlink" Target="http://www.nevo.co.il/case/6247051" TargetMode="External"/><Relationship Id="rId16" Type="http://schemas.openxmlformats.org/officeDocument/2006/relationships/hyperlink" Target="http://www.nevo.co.il/law/70301/40i.a" TargetMode="External"/><Relationship Id="rId17" Type="http://schemas.openxmlformats.org/officeDocument/2006/relationships/hyperlink" Target="http://www.nevo.co.il/law/70301/301c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/20.a.2.b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04" TargetMode="External"/><Relationship Id="rId22" Type="http://schemas.openxmlformats.org/officeDocument/2006/relationships/hyperlink" Target="http://www.nevo.co.il/case/2375130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951880" TargetMode="External"/><Relationship Id="rId25" Type="http://schemas.openxmlformats.org/officeDocument/2006/relationships/hyperlink" Target="http://www.nevo.co.il/case/6158617" TargetMode="External"/><Relationship Id="rId26" Type="http://schemas.openxmlformats.org/officeDocument/2006/relationships/hyperlink" Target="http://www.nevo.co.il/case/5951880" TargetMode="External"/><Relationship Id="rId27" Type="http://schemas.openxmlformats.org/officeDocument/2006/relationships/hyperlink" Target="http://www.nevo.co.il/case/6050305" TargetMode="External"/><Relationship Id="rId28" Type="http://schemas.openxmlformats.org/officeDocument/2006/relationships/hyperlink" Target="http://www.nevo.co.il/law/70301/304" TargetMode="External"/><Relationship Id="rId29" Type="http://schemas.openxmlformats.org/officeDocument/2006/relationships/hyperlink" Target="http://www.nevo.co.il/case/6107574" TargetMode="External"/><Relationship Id="rId30" Type="http://schemas.openxmlformats.org/officeDocument/2006/relationships/hyperlink" Target="http://www.nevo.co.il/case/6162585" TargetMode="External"/><Relationship Id="rId31" Type="http://schemas.openxmlformats.org/officeDocument/2006/relationships/hyperlink" Target="http://www.nevo.co.il/law/70301/333" TargetMode="External"/><Relationship Id="rId32" Type="http://schemas.openxmlformats.org/officeDocument/2006/relationships/hyperlink" Target="http://www.nevo.co.il/law/70301/333" TargetMode="External"/><Relationship Id="rId33" Type="http://schemas.openxmlformats.org/officeDocument/2006/relationships/hyperlink" Target="http://www.nevo.co.il/law/70301/20.a.2" TargetMode="External"/><Relationship Id="rId34" Type="http://schemas.openxmlformats.org/officeDocument/2006/relationships/hyperlink" Target="http://www.nevo.co.il/law/70301/333" TargetMode="External"/><Relationship Id="rId35" Type="http://schemas.openxmlformats.org/officeDocument/2006/relationships/hyperlink" Target="http://www.nevo.co.il/law/70301/333" TargetMode="External"/><Relationship Id="rId36" Type="http://schemas.openxmlformats.org/officeDocument/2006/relationships/hyperlink" Target="http://www.nevo.co.il/case/6247051" TargetMode="External"/><Relationship Id="rId37" Type="http://schemas.openxmlformats.org/officeDocument/2006/relationships/hyperlink" Target="http://www.nevo.co.il/law/70301/301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2020-05-12T13:17:00Z</dcterms:created>
  <dc:creator>h4</dc:creator>
  <dc:description/>
  <cp:keywords/>
  <dc:language>en-IL</dc:language>
  <cp:lastModifiedBy>hofit</cp:lastModifiedBy>
  <cp:lastPrinted>2020-04-05T11:51:00Z</cp:lastPrinted>
  <dcterms:modified xsi:type="dcterms:W3CDTF">2020-05-12T13:17:00Z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מיכאל זפרן זוארץ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20789132:2;6247051:2;23751303;5951880:2;6158617;6050305;6107574;6162585</vt:lpwstr>
  </property>
  <property fmtid="{D5CDD505-2E9C-101B-9397-08002B2CF9AE}" pid="9" name="CITY">
    <vt:lpwstr/>
  </property>
  <property fmtid="{D5CDD505-2E9C-101B-9397-08002B2CF9AE}" pid="10" name="DATE">
    <vt:lpwstr>20200405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מזוז;ג' קרא</vt:lpwstr>
  </property>
  <property fmtid="{D5CDD505-2E9C-101B-9397-08002B2CF9AE}" pid="14" name="LAWLISTTMP1">
    <vt:lpwstr>70301/298:3;040i.a;301c:2;020.a.2.b;333:5;304:2;020.a.2</vt:lpwstr>
  </property>
  <property fmtid="{D5CDD505-2E9C-101B-9397-08002B2CF9AE}" pid="15" name="LAWYER">
    <vt:lpwstr>רחלי זוארץ לוי;עידן שני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מחשבה פלילית</vt:lpwstr>
  </property>
  <property fmtid="{D5CDD505-2E9C-101B-9397-08002B2CF9AE}" pid="41" name="NOSE24">
    <vt:lpwstr>הגנות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1443;1443;1436;1431</vt:lpwstr>
  </property>
  <property fmtid="{D5CDD505-2E9C-101B-9397-08002B2CF9AE}" pid="48" name="NOSE31">
    <vt:lpwstr>גרימת חבלה חמורה</vt:lpwstr>
  </property>
  <property fmtid="{D5CDD505-2E9C-101B-9397-08002B2CF9AE}" pid="49" name="NOSE310">
    <vt:lpwstr/>
  </property>
  <property fmtid="{D5CDD505-2E9C-101B-9397-08002B2CF9AE}" pid="50" name="NOSE32">
    <vt:lpwstr>הריגה</vt:lpwstr>
  </property>
  <property fmtid="{D5CDD505-2E9C-101B-9397-08002B2CF9AE}" pid="51" name="NOSE33">
    <vt:lpwstr>קלות דעת</vt:lpwstr>
  </property>
  <property fmtid="{D5CDD505-2E9C-101B-9397-08002B2CF9AE}" pid="52" name="NOSE34">
    <vt:lpwstr>הגנה עצמית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8782;8816;12613;8671</vt:lpwstr>
  </property>
  <property fmtid="{D5CDD505-2E9C-101B-9397-08002B2CF9AE}" pid="59" name="PADIDATE">
    <vt:lpwstr>20200407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3891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410120200405</vt:lpwstr>
  </property>
  <property fmtid="{D5CDD505-2E9C-101B-9397-08002B2CF9AE}" pid="69" name="TYPE_N_DATE">
    <vt:lpwstr>41020200405</vt:lpwstr>
  </property>
  <property fmtid="{D5CDD505-2E9C-101B-9397-08002B2CF9AE}" pid="70" name="VOLUME">
    <vt:lpwstr/>
  </property>
  <property fmtid="{D5CDD505-2E9C-101B-9397-08002B2CF9AE}" pid="71" name="WORDNUMPAGES">
    <vt:lpwstr>18</vt:lpwstr>
  </property>
</Properties>
</file>