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391/18</w:t>
            </w:r>
            <w:r>
              <w:rPr>
                <w:sz w:val="28"/>
                <w:szCs w:val="28"/>
                <w:rtl w:val="true"/>
              </w:rPr>
              <w:t xml:space="preserve"> </w:t>
            </w:r>
          </w:p>
        </w:tc>
      </w:tr>
      <w:tr>
        <w:trPr>
          <w:trHeight w:val="342" w:hRule="atLeast"/>
        </w:trPr>
        <w:tc>
          <w:tcPr>
            <w:tcW w:w="8501"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392/18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2" w:name="FirstAppellant"/>
            <w:bookmarkEnd w:id="2"/>
            <w:r>
              <w:rPr>
                <w:rtl w:val="true"/>
              </w:rPr>
              <w:t>המבקשים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391/18</w:t>
            </w:r>
            <w:r>
              <w:rPr>
                <w:rtl w:val="true"/>
              </w:rPr>
              <w:t>:</w:t>
            </w:r>
          </w:p>
        </w:tc>
        <w:tc>
          <w:tcPr>
            <w:tcW w:w="5238" w:type="dxa"/>
            <w:tcBorders/>
          </w:tcPr>
          <w:p>
            <w:pPr>
              <w:pStyle w:val="BodyRuller1"/>
              <w:ind w:end="0"/>
              <w:jc w:val="start"/>
              <w:rPr/>
            </w:pPr>
            <w:r>
              <w:rPr/>
              <w:t>1</w:t>
            </w:r>
            <w:r>
              <w:rPr>
                <w:rtl w:val="true"/>
              </w:rPr>
              <w:t xml:space="preserve">. </w:t>
            </w:r>
            <w:r>
              <w:rPr>
                <w:rtl w:val="true"/>
              </w:rPr>
              <w:t>בני</w:t>
            </w:r>
            <w:r>
              <w:rPr>
                <w:rFonts w:cs="Times New Roman"/>
                <w:rtl w:val="true"/>
              </w:rPr>
              <w:t xml:space="preserve"> </w:t>
            </w:r>
            <w:r>
              <w:rPr>
                <w:rtl w:val="true"/>
              </w:rPr>
              <w:t>פאוזי</w:t>
            </w:r>
            <w:r>
              <w:rPr>
                <w:rFonts w:cs="Times New Roman"/>
                <w:rtl w:val="true"/>
              </w:rPr>
              <w:t xml:space="preserve"> </w:t>
            </w:r>
            <w:r>
              <w:rPr>
                <w:rtl w:val="true"/>
              </w:rPr>
              <w:t>שמשום</w:t>
            </w:r>
            <w:r>
              <w:rPr>
                <w:rFonts w:cs="Times New Roman"/>
                <w:rtl w:val="true"/>
              </w:rPr>
              <w:t xml:space="preserve"> </w:t>
            </w:r>
            <w:r>
              <w:rPr>
                <w:rtl w:val="true"/>
              </w:rPr>
              <w:t>(</w:t>
            </w:r>
            <w:r>
              <w:rPr/>
              <w:t>2009</w:t>
            </w:r>
            <w:r>
              <w:rPr>
                <w:rtl w:val="true"/>
              </w:rPr>
              <w:t xml:space="preserve">) </w:t>
            </w:r>
            <w:r>
              <w:rPr>
                <w:rtl w:val="true"/>
              </w:rPr>
              <w:t>בע</w:t>
            </w:r>
            <w:r>
              <w:rPr>
                <w:rtl w:val="true"/>
              </w:rPr>
              <w:t>"</w:t>
            </w:r>
            <w:r>
              <w:rPr>
                <w:rtl w:val="true"/>
              </w:rPr>
              <w:t>מ</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ענאן</w:t>
            </w:r>
            <w:r>
              <w:rPr>
                <w:rFonts w:cs="Times New Roman"/>
                <w:rtl w:val="true"/>
              </w:rPr>
              <w:t xml:space="preserve"> </w:t>
            </w:r>
            <w:r>
              <w:rPr>
                <w:rtl w:val="true"/>
              </w:rPr>
              <w:t>שמשום</w:t>
            </w:r>
          </w:p>
          <w:p>
            <w:pPr>
              <w:pStyle w:val="BodyRuller1"/>
              <w:ind w:end="0"/>
              <w:jc w:val="start"/>
              <w:rPr/>
            </w:pPr>
            <w:r>
              <w:rPr>
                <w:rtl w:val="true"/>
              </w:rPr>
            </w:r>
          </w:p>
        </w:tc>
      </w:tr>
      <w:tr>
        <w:trPr/>
        <w:tc>
          <w:tcPr>
            <w:tcW w:w="3284" w:type="dxa"/>
            <w:tcBorders/>
          </w:tcPr>
          <w:p>
            <w:pPr>
              <w:pStyle w:val="BodyRuller1"/>
              <w:ind w:end="0"/>
              <w:jc w:val="start"/>
              <w:rPr/>
            </w:pPr>
            <w:r>
              <w:rPr>
                <w:rtl w:val="true"/>
              </w:rPr>
              <w:t>המבקשים</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392/18</w:t>
            </w:r>
            <w:r>
              <w:rPr>
                <w:rtl w:val="true"/>
              </w:rPr>
              <w:t>:</w:t>
            </w:r>
          </w:p>
        </w:tc>
        <w:tc>
          <w:tcPr>
            <w:tcW w:w="5238" w:type="dxa"/>
            <w:tcBorders/>
          </w:tcPr>
          <w:p>
            <w:pPr>
              <w:pStyle w:val="BodyRuller1"/>
              <w:ind w:end="0"/>
              <w:jc w:val="start"/>
              <w:rPr/>
            </w:pPr>
            <w:r>
              <w:rPr/>
              <w:t>1</w:t>
            </w:r>
            <w:r>
              <w:rPr>
                <w:rtl w:val="true"/>
              </w:rPr>
              <w:t xml:space="preserve">. </w:t>
            </w:r>
            <w:r>
              <w:rPr>
                <w:rtl w:val="true"/>
              </w:rPr>
              <w:t>אנטואן</w:t>
            </w:r>
            <w:r>
              <w:rPr>
                <w:rFonts w:cs="Times New Roman"/>
                <w:rtl w:val="true"/>
              </w:rPr>
              <w:t xml:space="preserve"> </w:t>
            </w:r>
            <w:r>
              <w:rPr>
                <w:rtl w:val="true"/>
              </w:rPr>
              <w:t>שוקחה</w:t>
            </w:r>
            <w:r>
              <w:rPr>
                <w:rFonts w:cs="Times New Roman"/>
                <w:rtl w:val="true"/>
              </w:rPr>
              <w:t xml:space="preserve"> </w:t>
            </w:r>
            <w:r>
              <w:rPr>
                <w:rtl w:val="true"/>
              </w:rPr>
              <w:t>ובניו</w:t>
            </w:r>
            <w:r>
              <w:rPr>
                <w:rFonts w:cs="Times New Roman"/>
                <w:rtl w:val="true"/>
              </w:rPr>
              <w:t xml:space="preserve"> </w:t>
            </w:r>
            <w:r>
              <w:rPr>
                <w:rtl w:val="true"/>
              </w:rPr>
              <w:t>בע</w:t>
            </w:r>
            <w:r>
              <w:rPr>
                <w:rtl w:val="true"/>
              </w:rPr>
              <w:t>"</w:t>
            </w:r>
            <w:r>
              <w:rPr>
                <w:rtl w:val="true"/>
              </w:rPr>
              <w:t>מ</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גאבי</w:t>
            </w:r>
            <w:r>
              <w:rPr>
                <w:rFonts w:cs="Times New Roman"/>
                <w:rtl w:val="true"/>
              </w:rPr>
              <w:t xml:space="preserve"> </w:t>
            </w:r>
            <w:r>
              <w:rPr>
                <w:rtl w:val="true"/>
              </w:rPr>
              <w:t>שוקחה</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3</w:t>
            </w:r>
            <w:r>
              <w:rPr>
                <w:rtl w:val="true"/>
              </w:rPr>
              <w:t xml:space="preserve">. </w:t>
            </w:r>
            <w:r>
              <w:rPr>
                <w:rtl w:val="true"/>
              </w:rPr>
              <w:t>האני</w:t>
            </w:r>
            <w:r>
              <w:rPr>
                <w:rFonts w:cs="Times New Roman"/>
                <w:rtl w:val="true"/>
              </w:rPr>
              <w:t xml:space="preserve"> </w:t>
            </w:r>
            <w:r>
              <w:rPr>
                <w:rtl w:val="true"/>
              </w:rPr>
              <w:t>שוקחה</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4</w:t>
            </w:r>
            <w:r>
              <w:rPr>
                <w:rtl w:val="true"/>
              </w:rPr>
              <w:t xml:space="preserve">. </w:t>
            </w:r>
            <w:r>
              <w:rPr>
                <w:rtl w:val="true"/>
              </w:rPr>
              <w:t>אומימה</w:t>
            </w:r>
            <w:r>
              <w:rPr>
                <w:rFonts w:cs="Times New Roman"/>
                <w:rtl w:val="true"/>
              </w:rPr>
              <w:t xml:space="preserve"> </w:t>
            </w:r>
            <w:r>
              <w:rPr>
                <w:rtl w:val="true"/>
              </w:rPr>
              <w:t>שוקחה</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המשיבים</w:t>
            </w:r>
            <w:r>
              <w:rPr>
                <w:rtl w:val="true"/>
              </w:rPr>
              <w:t>:</w:t>
            </w:r>
          </w:p>
        </w:tc>
        <w:tc>
          <w:tcPr>
            <w:tcW w:w="5238" w:type="dxa"/>
            <w:tcBorders/>
          </w:tcPr>
          <w:p>
            <w:pPr>
              <w:pStyle w:val="BodyRuller1"/>
              <w:ind w:end="0"/>
              <w:jc w:val="start"/>
              <w:rPr/>
            </w:pPr>
            <w:r>
              <w:rPr/>
              <w:t>1</w:t>
            </w:r>
            <w:r>
              <w:rPr>
                <w:rtl w:val="true"/>
              </w:rPr>
              <w:t xml:space="preserve">. </w:t>
            </w:r>
            <w:r>
              <w:rPr>
                <w:rtl w:val="true"/>
              </w:rPr>
              <w:t>בני</w:t>
            </w:r>
            <w:r>
              <w:rPr>
                <w:rFonts w:cs="Times New Roman"/>
                <w:rtl w:val="true"/>
              </w:rPr>
              <w:t xml:space="preserve"> </w:t>
            </w:r>
            <w:r>
              <w:rPr>
                <w:rtl w:val="true"/>
              </w:rPr>
              <w:t>ג</w:t>
            </w:r>
            <w:r>
              <w:rPr>
                <w:rtl w:val="true"/>
              </w:rPr>
              <w:t>'</w:t>
            </w:r>
            <w:r>
              <w:rPr>
                <w:rtl w:val="true"/>
              </w:rPr>
              <w:t>ורג</w:t>
            </w:r>
            <w:r>
              <w:rPr>
                <w:rtl w:val="true"/>
              </w:rPr>
              <w:t xml:space="preserve">' </w:t>
            </w:r>
            <w:r>
              <w:rPr>
                <w:rtl w:val="true"/>
              </w:rPr>
              <w:t>שוקחה</w:t>
            </w:r>
            <w:r>
              <w:rPr>
                <w:rFonts w:cs="Times New Roman"/>
                <w:rtl w:val="true"/>
              </w:rPr>
              <w:t xml:space="preserve"> </w:t>
            </w:r>
            <w:r>
              <w:rPr>
                <w:rtl w:val="true"/>
              </w:rPr>
              <w:t>בע</w:t>
            </w:r>
            <w:r>
              <w:rPr>
                <w:rtl w:val="true"/>
              </w:rPr>
              <w:t>"</w:t>
            </w:r>
            <w:r>
              <w:rPr>
                <w:rtl w:val="true"/>
              </w:rPr>
              <w:t>מ</w:t>
            </w:r>
          </w:p>
          <w:p>
            <w:pPr>
              <w:pStyle w:val="BodyRuller1"/>
              <w:ind w:end="0"/>
              <w:jc w:val="start"/>
              <w:rPr/>
            </w:pPr>
            <w:r>
              <w:rPr/>
              <w:t>2</w:t>
            </w:r>
            <w:r>
              <w:rPr>
                <w:rtl w:val="true"/>
              </w:rPr>
              <w:t xml:space="preserve">. </w:t>
            </w:r>
            <w:r>
              <w:rPr>
                <w:rtl w:val="true"/>
              </w:rPr>
              <w:t>המרכז</w:t>
            </w:r>
            <w:r>
              <w:rPr>
                <w:rFonts w:cs="Times New Roman"/>
                <w:rtl w:val="true"/>
              </w:rPr>
              <w:t xml:space="preserve"> </w:t>
            </w:r>
            <w:r>
              <w:rPr>
                <w:rtl w:val="true"/>
              </w:rPr>
              <w:t>לגביית</w:t>
            </w:r>
            <w:r>
              <w:rPr>
                <w:rFonts w:cs="Times New Roman"/>
                <w:rtl w:val="true"/>
              </w:rPr>
              <w:t xml:space="preserve"> </w:t>
            </w:r>
            <w:r>
              <w:rPr>
                <w:rtl w:val="true"/>
              </w:rPr>
              <w:t>קנסות</w:t>
            </w:r>
            <w:r>
              <w:rPr>
                <w:rtl w:val="true"/>
              </w:rPr>
              <w:t>,</w:t>
            </w:r>
            <w:r>
              <w:rPr>
                <w:rtl w:val="true"/>
              </w:rPr>
              <w:t xml:space="preserve"> </w:t>
            </w:r>
            <w:r>
              <w:rPr>
                <w:rtl w:val="true"/>
              </w:rPr>
              <w:t>אגרות</w:t>
            </w:r>
            <w:r>
              <w:rPr>
                <w:rFonts w:cs="Times New Roman"/>
                <w:rtl w:val="true"/>
              </w:rPr>
              <w:t xml:space="preserve"> </w:t>
            </w:r>
            <w:r>
              <w:rPr>
                <w:rtl w:val="true"/>
              </w:rPr>
              <w:t>והוצאות</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בקשה</w:t>
            </w:r>
            <w:r>
              <w:rPr>
                <w:rFonts w:cs="Times New Roman"/>
                <w:sz w:val="24"/>
                <w:sz w:val="24"/>
                <w:szCs w:val="24"/>
                <w:rtl w:val="true"/>
              </w:rPr>
              <w:t xml:space="preserve"> </w:t>
            </w:r>
            <w:r>
              <w:rPr>
                <w:sz w:val="24"/>
                <w:sz w:val="24"/>
                <w:szCs w:val="24"/>
                <w:rtl w:val="true"/>
              </w:rPr>
              <w:t>ל</w:t>
            </w:r>
            <w:r>
              <w:rPr>
                <w:sz w:val="24"/>
                <w:sz w:val="24"/>
                <w:szCs w:val="24"/>
                <w:rtl w:val="true"/>
              </w:rPr>
              <w:t>עיכוב</w:t>
            </w:r>
            <w:r>
              <w:rPr>
                <w:rFonts w:cs="Times New Roman"/>
                <w:sz w:val="24"/>
                <w:sz w:val="24"/>
                <w:szCs w:val="24"/>
                <w:rtl w:val="true"/>
              </w:rPr>
              <w:t xml:space="preserve"> </w:t>
            </w:r>
            <w:r>
              <w:rPr>
                <w:sz w:val="24"/>
                <w:sz w:val="24"/>
                <w:szCs w:val="24"/>
                <w:rtl w:val="true"/>
              </w:rPr>
              <w:t>ביצוע</w:t>
            </w:r>
            <w:r>
              <w:rPr>
                <w:rFonts w:cs="Times New Roman"/>
                <w:sz w:val="24"/>
                <w:sz w:val="24"/>
                <w:szCs w:val="24"/>
                <w:rtl w:val="true"/>
              </w:rPr>
              <w:t xml:space="preserve"> </w:t>
            </w:r>
            <w:r>
              <w:rPr>
                <w:sz w:val="24"/>
                <w:sz w:val="24"/>
                <w:szCs w:val="24"/>
                <w:rtl w:val="true"/>
              </w:rPr>
              <w:t>החלטת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וינשטיין</w:t>
            </w:r>
            <w:r>
              <w:rPr>
                <w:sz w:val="24"/>
                <w:szCs w:val="24"/>
                <w:rtl w:val="true"/>
              </w:rPr>
              <w:t xml:space="preserve">), </w:t>
            </w:r>
            <w:r>
              <w:rPr>
                <w:sz w:val="24"/>
                <w:sz w:val="24"/>
                <w:szCs w:val="24"/>
                <w:rtl w:val="true"/>
              </w:rPr>
              <w:t>בת</w:t>
            </w:r>
            <w:r>
              <w:rPr>
                <w:sz w:val="24"/>
                <w:szCs w:val="24"/>
                <w:rtl w:val="true"/>
              </w:rPr>
              <w:t>"</w:t>
            </w:r>
            <w:r>
              <w:rPr>
                <w:sz w:val="24"/>
                <w:sz w:val="24"/>
                <w:szCs w:val="24"/>
                <w:rtl w:val="true"/>
              </w:rPr>
              <w:t>א</w:t>
            </w:r>
            <w:r>
              <w:rPr>
                <w:rFonts w:cs="Times New Roman"/>
                <w:sz w:val="24"/>
                <w:sz w:val="24"/>
                <w:szCs w:val="24"/>
                <w:rtl w:val="true"/>
              </w:rPr>
              <w:t xml:space="preserve"> </w:t>
            </w:r>
            <w:r>
              <w:rPr>
                <w:sz w:val="24"/>
                <w:szCs w:val="24"/>
              </w:rPr>
              <w:t>43343-04-16</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29.11.2017</w:t>
            </w:r>
            <w:r>
              <w:rPr>
                <w:sz w:val="24"/>
                <w:szCs w:val="24"/>
                <w:rtl w:val="true"/>
              </w:rPr>
              <w:t xml:space="preserve"> (</w:t>
            </w:r>
            <w:r>
              <w:rPr>
                <w:sz w:val="24"/>
                <w:sz w:val="24"/>
                <w:szCs w:val="24"/>
                <w:rtl w:val="true"/>
              </w:rPr>
              <w:t>שתוקנה</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13.12.2017</w:t>
            </w:r>
            <w:r>
              <w:rPr>
                <w:sz w:val="24"/>
                <w:szCs w:val="24"/>
                <w:rtl w:val="true"/>
              </w:rPr>
              <w:t>)</w:t>
            </w:r>
          </w:p>
        </w:tc>
      </w:tr>
    </w:tbl>
    <w:p>
      <w:pPr>
        <w:pStyle w:val="Ruller31"/>
        <w:ind w:end="0"/>
        <w:jc w:val="start"/>
        <w:rPr/>
      </w:pPr>
      <w:r>
        <w:rPr>
          <w:rtl w:val="true"/>
        </w:rPr>
      </w:r>
    </w:p>
    <w:tbl>
      <w:tblPr>
        <w:bidiVisual w:val="true"/>
        <w:tblW w:w="8562" w:type="dxa"/>
        <w:jc w:val="end"/>
        <w:tblInd w:w="0" w:type="dxa"/>
        <w:tblLayout w:type="fixed"/>
        <w:tblCellMar>
          <w:top w:w="0" w:type="dxa"/>
          <w:start w:w="108" w:type="dxa"/>
          <w:bottom w:w="0" w:type="dxa"/>
          <w:end w:w="108" w:type="dxa"/>
        </w:tblCellMar>
      </w:tblPr>
      <w:tblGrid>
        <w:gridCol w:w="3284"/>
        <w:gridCol w:w="527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המבקשים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391/18</w:t>
            </w:r>
            <w:r>
              <w:rPr>
                <w:rtl w:val="true"/>
              </w:rPr>
              <w:t>:</w:t>
            </w:r>
          </w:p>
        </w:tc>
        <w:tc>
          <w:tcPr>
            <w:tcW w:w="527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יואל</w:t>
            </w:r>
            <w:r>
              <w:rPr>
                <w:rFonts w:cs="Times New Roman"/>
                <w:rtl w:val="true"/>
              </w:rPr>
              <w:t xml:space="preserve"> </w:t>
            </w:r>
            <w:r>
              <w:rPr>
                <w:rtl w:val="true"/>
              </w:rPr>
              <w:t>פרייליך</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צבי</w:t>
            </w:r>
            <w:r>
              <w:rPr>
                <w:rFonts w:cs="Times New Roman"/>
                <w:rtl w:val="true"/>
              </w:rPr>
              <w:t xml:space="preserve"> </w:t>
            </w:r>
            <w:r>
              <w:rPr>
                <w:rtl w:val="true"/>
              </w:rPr>
              <w:t>ולך</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בני</w:t>
            </w:r>
            <w:r>
              <w:rPr>
                <w:rFonts w:cs="Times New Roman"/>
                <w:rtl w:val="true"/>
              </w:rPr>
              <w:t xml:space="preserve"> </w:t>
            </w:r>
            <w:r>
              <w:rPr>
                <w:rtl w:val="true"/>
              </w:rPr>
              <w:t>אשכנזי</w:t>
            </w:r>
          </w:p>
        </w:tc>
      </w:tr>
      <w:tr>
        <w:trPr/>
        <w:tc>
          <w:tcPr>
            <w:tcW w:w="3284" w:type="dxa"/>
            <w:tcBorders/>
          </w:tcPr>
          <w:p>
            <w:pPr>
              <w:pStyle w:val="BodyRuller1"/>
              <w:snapToGrid w:val="false"/>
              <w:ind w:end="0"/>
              <w:jc w:val="start"/>
              <w:rPr/>
            </w:pPr>
            <w:r>
              <w:rPr>
                <w:rtl w:val="true"/>
              </w:rPr>
            </w:r>
          </w:p>
        </w:tc>
        <w:tc>
          <w:tcPr>
            <w:tcW w:w="5278" w:type="dxa"/>
            <w:tcBorders/>
          </w:tcPr>
          <w:p>
            <w:pPr>
              <w:pStyle w:val="BodyRuller1"/>
              <w:snapToGrid w:val="false"/>
              <w:ind w:end="0"/>
              <w:jc w:val="start"/>
              <w:rPr/>
            </w:pPr>
            <w:r>
              <w:rPr>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המבקשים</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392/18</w:t>
            </w:r>
            <w:r>
              <w:rPr>
                <w:rtl w:val="true"/>
              </w:rPr>
              <w:t>:</w:t>
            </w:r>
          </w:p>
        </w:tc>
        <w:tc>
          <w:tcPr>
            <w:tcW w:w="527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מוחמד</w:t>
            </w:r>
            <w:r>
              <w:rPr>
                <w:rFonts w:cs="Times New Roman"/>
                <w:rtl w:val="true"/>
              </w:rPr>
              <w:t xml:space="preserve"> </w:t>
            </w:r>
            <w:r>
              <w:rPr>
                <w:rtl w:val="true"/>
              </w:rPr>
              <w:t>סבח</w:t>
            </w:r>
          </w:p>
        </w:tc>
      </w:tr>
      <w:tr>
        <w:trPr/>
        <w:tc>
          <w:tcPr>
            <w:tcW w:w="3284" w:type="dxa"/>
            <w:tcBorders/>
          </w:tcPr>
          <w:p>
            <w:pPr>
              <w:pStyle w:val="BodyRuller1"/>
              <w:snapToGrid w:val="false"/>
              <w:ind w:end="0"/>
              <w:jc w:val="start"/>
              <w:rPr/>
            </w:pPr>
            <w:r>
              <w:rPr>
                <w:rtl w:val="true"/>
              </w:rPr>
            </w:r>
          </w:p>
        </w:tc>
        <w:tc>
          <w:tcPr>
            <w:tcW w:w="5278" w:type="dxa"/>
            <w:tcBorders/>
          </w:tcPr>
          <w:p>
            <w:pPr>
              <w:pStyle w:val="BodyRuller1"/>
              <w:snapToGrid w:val="false"/>
              <w:ind w:end="0"/>
              <w:jc w:val="start"/>
              <w:rPr/>
            </w:pPr>
            <w:r>
              <w:rPr>
                <w:rtl w:val="true"/>
              </w:rPr>
            </w:r>
          </w:p>
        </w:tc>
      </w:tr>
      <w:tr>
        <w:trPr/>
        <w:tc>
          <w:tcPr>
            <w:tcW w:w="3284" w:type="dxa"/>
            <w:tcBorders/>
          </w:tcPr>
          <w:p>
            <w:pPr>
              <w:pStyle w:val="BodyRuller1"/>
              <w:ind w:end="0"/>
              <w:jc w:val="start"/>
              <w:rPr/>
            </w:pPr>
            <w:bookmarkStart w:id="3" w:name="FirstLawyer"/>
            <w:bookmarkEnd w:id="3"/>
            <w:r>
              <w:rPr>
                <w:rtl w:val="true"/>
              </w:rPr>
              <w:t>בשם</w:t>
            </w:r>
            <w:r>
              <w:rPr>
                <w:rFonts w:cs="Times New Roman"/>
                <w:rtl w:val="true"/>
              </w:rPr>
              <w:t xml:space="preserve"> </w:t>
            </w:r>
            <w:r>
              <w:rPr>
                <w:rtl w:val="true"/>
              </w:rPr>
              <w:t>המשיבה</w:t>
            </w:r>
            <w:r>
              <w:rPr>
                <w:rFonts w:cs="Times New Roman"/>
                <w:rtl w:val="true"/>
              </w:rPr>
              <w:t xml:space="preserve"> </w:t>
            </w:r>
            <w:r>
              <w:rPr/>
              <w:t>1</w:t>
            </w:r>
            <w:r>
              <w:rPr>
                <w:rtl w:val="true"/>
              </w:rPr>
              <w:t xml:space="preserve">:  </w:t>
            </w:r>
          </w:p>
        </w:tc>
        <w:tc>
          <w:tcPr>
            <w:tcW w:w="527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אהוד</w:t>
            </w:r>
            <w:r>
              <w:rPr>
                <w:rFonts w:cs="Times New Roman"/>
                <w:rtl w:val="true"/>
              </w:rPr>
              <w:t xml:space="preserve"> </w:t>
            </w:r>
            <w:r>
              <w:rPr>
                <w:rtl w:val="true"/>
              </w:rPr>
              <w:t>גבריאלי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הילה</w:t>
            </w:r>
            <w:r>
              <w:rPr>
                <w:rFonts w:cs="Times New Roman"/>
                <w:rtl w:val="true"/>
              </w:rPr>
              <w:t xml:space="preserve"> </w:t>
            </w:r>
            <w:r>
              <w:rPr>
                <w:rtl w:val="true"/>
              </w:rPr>
              <w:t>עוז</w:t>
            </w:r>
            <w:r>
              <w:rPr>
                <w:rFonts w:cs="Times New Roman"/>
                <w:rtl w:val="true"/>
              </w:rPr>
              <w:t xml:space="preserve"> </w:t>
            </w:r>
            <w:r>
              <w:rPr>
                <w:rtl w:val="true"/>
              </w:rPr>
              <w:t>מאיר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ליטוין</w:t>
            </w:r>
          </w:p>
        </w:tc>
      </w:tr>
      <w:tr>
        <w:trPr/>
        <w:tc>
          <w:tcPr>
            <w:tcW w:w="3284" w:type="dxa"/>
            <w:tcBorders/>
          </w:tcPr>
          <w:p>
            <w:pPr>
              <w:pStyle w:val="BodyRuller1"/>
              <w:snapToGrid w:val="false"/>
              <w:ind w:end="0"/>
              <w:jc w:val="start"/>
              <w:rPr/>
            </w:pPr>
            <w:r>
              <w:rPr>
                <w:rtl w:val="true"/>
              </w:rPr>
            </w:r>
          </w:p>
        </w:tc>
        <w:tc>
          <w:tcPr>
            <w:tcW w:w="5278" w:type="dxa"/>
            <w:tcBorders/>
          </w:tcPr>
          <w:p>
            <w:pPr>
              <w:pStyle w:val="BodyRuller1"/>
              <w:snapToGrid w:val="false"/>
              <w:ind w:end="0"/>
              <w:jc w:val="start"/>
              <w:rPr/>
            </w:pPr>
            <w:r>
              <w:rPr>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המשיב</w:t>
            </w:r>
            <w:r>
              <w:rPr>
                <w:rFonts w:cs="Times New Roman"/>
                <w:rtl w:val="true"/>
              </w:rPr>
              <w:t xml:space="preserve"> </w:t>
            </w:r>
            <w:r>
              <w:rPr/>
              <w:t>2</w:t>
            </w:r>
            <w:r>
              <w:rPr>
                <w:rtl w:val="true"/>
              </w:rPr>
              <w:t>:</w:t>
            </w:r>
          </w:p>
        </w:tc>
        <w:tc>
          <w:tcPr>
            <w:tcW w:w="527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עידית</w:t>
            </w:r>
            <w:r>
              <w:rPr>
                <w:rFonts w:cs="Times New Roman"/>
                <w:rtl w:val="true"/>
              </w:rPr>
              <w:t xml:space="preserve"> </w:t>
            </w:r>
            <w:r>
              <w:rPr>
                <w:rtl w:val="true"/>
              </w:rPr>
              <w:t>פרג</w:t>
            </w:r>
            <w:r>
              <w:rPr>
                <w:rtl w:val="true"/>
              </w:rPr>
              <w:t>'</w:t>
            </w:r>
            <w:r>
              <w:rPr>
                <w:rtl w:val="true"/>
              </w:rPr>
              <w:t>ון</w:t>
            </w:r>
          </w:p>
        </w:tc>
      </w:tr>
    </w:tbl>
    <w:p>
      <w:pPr>
        <w:pStyle w:val="Ruller31"/>
        <w:ind w:end="0"/>
        <w:jc w:val="start"/>
        <w:rPr/>
      </w:pPr>
      <w:r>
        <w:rPr>
          <w:rtl w:val="true"/>
        </w:rPr>
      </w:r>
      <w:bookmarkStart w:id="4" w:name="LawTable"/>
      <w:bookmarkStart w:id="5" w:name="LawTable"/>
      <w:bookmarkEnd w:id="5"/>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2">
        <w:r>
          <w:rPr>
            <w:rStyle w:val="Hyperlink"/>
            <w:rFonts w:ascii="FrankRuehl" w:hAnsi="FrankRuehl"/>
            <w:color w:val="0000FF"/>
            <w:spacing w:val="0"/>
            <w:sz w:val="24"/>
            <w:sz w:val="24"/>
            <w:szCs w:val="24"/>
            <w:u w:val="single"/>
            <w:rtl w:val="true"/>
          </w:rPr>
          <w:t>פקודת בזיון בית משפט</w:t>
        </w:r>
      </w:hyperlink>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87</w:t>
        </w:r>
      </w:hyperlink>
    </w:p>
    <w:p>
      <w:pPr>
        <w:pStyle w:val="Ruller31"/>
        <w:spacing w:lineRule="exact" w:line="240" w:before="0" w:after="120"/>
        <w:ind w:hanging="283" w:start="283" w:end="0"/>
        <w:jc w:val="both"/>
        <w:rPr>
          <w:rFonts w:ascii="FrankRuehl" w:hAnsi="FrankRuehl" w:cs="FrankRuehl"/>
          <w:spacing w:val="0"/>
          <w:sz w:val="24"/>
          <w:szCs w:val="24"/>
        </w:rPr>
      </w:pPr>
      <w:hyperlink r:id="rId5">
        <w:r>
          <w:rPr>
            <w:rStyle w:val="Hyperlink"/>
            <w:rFonts w:ascii="FrankRuehl" w:hAnsi="FrankRuehl"/>
            <w:color w:val="0000FF"/>
            <w:spacing w:val="0"/>
            <w:sz w:val="24"/>
            <w:sz w:val="24"/>
            <w:szCs w:val="24"/>
            <w:u w:val="single"/>
            <w:rtl w:val="true"/>
          </w:rPr>
          <w:t xml:space="preserve">חוק בתי המשפט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משולב</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תשמ</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ד</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1984</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75</w:t>
        </w:r>
      </w:hyperlink>
    </w:p>
    <w:p>
      <w:pPr>
        <w:pStyle w:val="Ruller31"/>
        <w:spacing w:lineRule="exact" w:line="240" w:before="0" w:after="120"/>
        <w:ind w:hanging="283" w:start="283" w:end="0"/>
        <w:jc w:val="both"/>
        <w:rPr>
          <w:rFonts w:ascii="FrankRuehl" w:hAnsi="FrankRuehl" w:cs="FrankRuehl"/>
          <w:spacing w:val="0"/>
          <w:sz w:val="24"/>
          <w:szCs w:val="24"/>
        </w:rPr>
      </w:pPr>
      <w:hyperlink r:id="rId7">
        <w:r>
          <w:rPr>
            <w:rStyle w:val="Hyperlink"/>
            <w:rFonts w:ascii="FrankRuehl" w:hAnsi="FrankRuehl"/>
            <w:color w:val="0000FF"/>
            <w:spacing w:val="0"/>
            <w:sz w:val="24"/>
            <w:sz w:val="24"/>
            <w:szCs w:val="24"/>
            <w:u w:val="single"/>
            <w:rtl w:val="true"/>
          </w:rPr>
          <w:t>חוק יישום תכנית ההתנתקות</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תשס</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ה</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2005</w:t>
        </w:r>
      </w:hyperlink>
    </w:p>
    <w:p>
      <w:pPr>
        <w:pStyle w:val="Ruller31"/>
        <w:spacing w:lineRule="exact" w:line="240" w:before="0" w:after="120"/>
        <w:ind w:hanging="283" w:start="283" w:end="0"/>
        <w:jc w:val="both"/>
        <w:rPr>
          <w:rFonts w:ascii="FrankRuehl" w:hAnsi="FrankRuehl" w:cs="FrankRuehl"/>
          <w:spacing w:val="0"/>
          <w:sz w:val="24"/>
          <w:szCs w:val="24"/>
        </w:rPr>
      </w:pPr>
      <w:hyperlink r:id="rId8">
        <w:r>
          <w:rPr>
            <w:rStyle w:val="Hyperlink"/>
            <w:rFonts w:ascii="FrankRuehl" w:hAnsi="FrankRuehl"/>
            <w:color w:val="0000FF"/>
            <w:spacing w:val="0"/>
            <w:sz w:val="24"/>
            <w:sz w:val="24"/>
            <w:szCs w:val="24"/>
            <w:u w:val="single"/>
            <w:rtl w:val="true"/>
          </w:rPr>
          <w:t>חוק המרכז לגביית קנסות</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אגרות והוצאות</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תשנ</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ה</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1995</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u w:val="single"/>
          </w:rPr>
          <w:t>5</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6" w:name="ABSTRACT_START"/>
      <w:bookmarkStart w:id="7" w:name="LawTable_End"/>
      <w:bookmarkEnd w:id="6"/>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ישלמו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כחצי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מיליון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פקודת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בזיון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סיכויי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ומאזן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בקובעו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חריג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המצדיק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כספי</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בתי</w:t>
      </w:r>
      <w:r>
        <w:rPr>
          <w:rFonts w:cs="Times New Roman" w:ascii="Times New Roman" w:hAnsi="Times New Roman"/>
          <w:spacing w:val="0"/>
          <w:szCs w:val="26"/>
          <w:rtl w:val="true"/>
        </w:rPr>
        <w:t>-</w:t>
      </w:r>
      <w:r>
        <w:rPr>
          <w:rFonts w:ascii="Times New Roman" w:hAnsi="Times New Roman" w:cs="Times New Roman"/>
          <w:spacing w:val="0"/>
          <w:szCs w:val="26"/>
          <w:rtl w:val="true"/>
        </w:rPr>
        <w:t>משפט – ביזיון בית</w:t>
      </w:r>
      <w:r>
        <w:rPr>
          <w:rFonts w:cs="Times New Roman" w:ascii="Times New Roman" w:hAnsi="Times New Roman"/>
          <w:spacing w:val="0"/>
          <w:szCs w:val="26"/>
          <w:rtl w:val="true"/>
        </w:rPr>
        <w:t>-</w:t>
      </w:r>
      <w:r>
        <w:rPr>
          <w:rFonts w:ascii="Times New Roman" w:hAnsi="Times New Roman" w:cs="Times New Roman"/>
          <w:spacing w:val="0"/>
          <w:szCs w:val="26"/>
          <w:rtl w:val="true"/>
        </w:rPr>
        <w:t>המשפט – עיכוב ביצוע</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עסקינן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בבקשה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לעיכוב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החלטת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המחוזי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ישלמו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המבקשים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קנס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בסך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510,000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מכוח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פקודת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בזיון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המשפט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הרקע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לבקשות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סכסוך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משפחתי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ועסקי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ארוך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הנוגע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בעיקרו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לשימוש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בתיבה</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שוקחה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במוצרים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המשווקים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ונמכרים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הצדדים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משיבה</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המשיבה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חברה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העוסקת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בייבוא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ושיווק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מוצרי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מזון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נקטה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במספר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הליכים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נגד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המבקשים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בטענה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זכויותיה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במשך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ביזוי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החלטות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וצווי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משפט</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המשפט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העליון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הבקשה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אופיו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הפלילי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בזיון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השיקולים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המנחים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לצורך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הכרעה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בזיון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דומים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המנחים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בהכרעה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אזרחי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נקודת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בהגשת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לעכב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ההחלטה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מערערים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מבקש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להראות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סיכויי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ערעורו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טובים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מאזן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הנוחות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לטובתו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במובן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שפעולה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ההחלטה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טרם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הכרעה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ממשי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החזרת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לקדמותו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יזכה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בערעורו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משיקולים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להיענות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לבקשת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העוסקות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בתשלום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כספי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לרוב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להחזיר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לקדמותו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לסיכויי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מרבית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נדונו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מהראיות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עדיין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מפרים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לומר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ההפרה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זוטי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נשללה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להיעדר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יכולת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בצורה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הרמטית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ערכאת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בקביעות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העובדתיות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הערכאה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במקרים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חריגים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היורד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לשורשו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עניין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דומה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שיהא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להוכיח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בענייננו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מהותית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בהחלטת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כבד</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בשיקולי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מאזן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הנוחות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להטות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הכף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לטובת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בזיון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במהותו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מטרתו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העיקרית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אכיפת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ההחלטה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השיפוטית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שניתנה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במבט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צופה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עתיד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הסכסוך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הצדדים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נמשך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ארוכות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במהלך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הגיעו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הצדדים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להסכמות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שקיבלו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תוקף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חוזרות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ומוכיחות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ההסכמות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מקוימות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קיבלו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הארכות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לקיום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ההסכמים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הועילו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והמשיבה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נותרה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חסרת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פעם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פעם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ימנע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תשלום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כספי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לגביו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להשיב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לקדמותו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יתקבל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מועבר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לקופת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חשש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להשיב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כספי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יזכו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בסופו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בערעורם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הוכחה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תשלום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יביא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לקריסת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המבקשת</w:t>
      </w:r>
      <w:r>
        <w:rPr>
          <w:rFonts w:ascii="Times New Roman" w:hAnsi="Times New Roman" w:cs="Times New Roman"/>
          <w:spacing w:val="0"/>
          <w:szCs w:val="26"/>
          <w:rtl w:val="true"/>
        </w:rPr>
        <w:t xml:space="preserve">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w:t>
      </w:r>
      <w:r>
        <w:rPr>
          <w:rFonts w:cs="Times New Roman" w:ascii="Times New Roman" w:hAnsi="Times New Roman"/>
          <w:spacing w:val="0"/>
          <w:szCs w:val="26"/>
          <w:rtl w:val="true"/>
        </w:rPr>
        <w:t>"</w:t>
      </w:r>
      <w:r>
        <w:rPr>
          <w:rFonts w:ascii="Times New Roman" w:hAnsi="Times New Roman" w:cs="Times New Roman"/>
          <w:spacing w:val="0"/>
          <w:szCs w:val="26"/>
          <w:rtl w:val="true"/>
        </w:rPr>
        <w:t>פ</w:t>
      </w:r>
      <w:r>
        <w:rPr>
          <w:rFonts w:ascii="Times New Roman" w:hAnsi="Times New Roman" w:cs="Times New Roman"/>
          <w:spacing w:val="0"/>
          <w:szCs w:val="26"/>
          <w:rtl w:val="true"/>
        </w:rPr>
        <w:t xml:space="preserve"> </w:t>
      </w:r>
      <w:r>
        <w:rPr>
          <w:rFonts w:cs="Times New Roman" w:ascii="Times New Roman" w:hAnsi="Times New Roman"/>
          <w:spacing w:val="0"/>
          <w:szCs w:val="26"/>
        </w:rPr>
        <w:t>392/18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הנדרשת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לצורך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קבלת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הבקשה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חריג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המצדיק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עיכוב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כספי</w:t>
      </w:r>
      <w:r>
        <w:rPr>
          <w:rFonts w:cs="Times New Roman" w:ascii="Times New Roman" w:hAnsi="Times New Roman"/>
          <w:spacing w:val="0"/>
          <w:szCs w:val="26"/>
          <w:rtl w:val="true"/>
        </w:rPr>
        <w:t xml:space="preserve">. </w:t>
      </w:r>
    </w:p>
    <w:p>
      <w:pPr>
        <w:pStyle w:val="BODYVERDICT"/>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BeginProtocol"/>
      <w:bookmarkStart w:id="10" w:name="secretary"/>
      <w:bookmarkStart w:id="11" w:name="ABSTRACT_END"/>
      <w:bookmarkStart w:id="12" w:name="BeginProtocol"/>
      <w:bookmarkStart w:id="13" w:name="secretary"/>
      <w:bookmarkEnd w:id="11"/>
      <w:bookmarkEnd w:id="12"/>
      <w:bookmarkEnd w:id="13"/>
    </w:p>
    <w:p>
      <w:pPr>
        <w:pStyle w:val="Ruller4"/>
        <w:ind w:end="0"/>
        <w:jc w:val="center"/>
        <w:rPr>
          <w:b/>
          <w:bCs/>
          <w:sz w:val="32"/>
          <w:szCs w:val="32"/>
        </w:rPr>
      </w:pPr>
      <w:bookmarkStart w:id="14" w:name="PsakDin"/>
      <w:bookmarkStart w:id="15" w:name="Writer_Name"/>
      <w:bookmarkEnd w:id="14"/>
      <w:bookmarkEnd w:id="15"/>
      <w:r>
        <w:rPr>
          <w:b/>
          <w:b/>
          <w:bCs/>
          <w:sz w:val="32"/>
          <w:sz w:val="32"/>
          <w:szCs w:val="32"/>
          <w:rtl w:val="true"/>
        </w:rPr>
        <w:t>החלטה</w:t>
      </w:r>
    </w:p>
    <w:p>
      <w:pPr>
        <w:pStyle w:val="Ruller4"/>
        <w:ind w:end="0"/>
        <w:jc w:val="both"/>
        <w:rPr>
          <w:b/>
          <w:bCs/>
          <w:sz w:val="32"/>
          <w:szCs w:val="32"/>
        </w:rPr>
      </w:pPr>
      <w:r>
        <w:rPr>
          <w:b/>
          <w:bCs/>
          <w:sz w:val="32"/>
          <w:szCs w:val="32"/>
          <w:rtl w:val="true"/>
        </w:rPr>
      </w:r>
      <w:bookmarkStart w:id="16" w:name="PsakDin"/>
      <w:bookmarkStart w:id="17" w:name="PsakDin"/>
      <w:bookmarkEnd w:id="17"/>
    </w:p>
    <w:p>
      <w:pPr>
        <w:pStyle w:val="Ruller4"/>
        <w:ind w:end="0"/>
        <w:jc w:val="both"/>
        <w:rPr/>
      </w:pPr>
      <w:r>
        <w:rPr>
          <w:rtl w:val="true"/>
        </w:rPr>
        <w:tab/>
      </w:r>
      <w:r>
        <w:rPr>
          <w:rtl w:val="true"/>
        </w:rPr>
        <w:t>לפנַי</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לעיכוב</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בחיפה</w:t>
      </w:r>
      <w:r>
        <w:rPr>
          <w:rFonts w:eastAsia="Arial TUR;Arial" w:cs="Arial TUR;Arial"/>
          <w:rtl w:val="true"/>
        </w:rPr>
        <w:t xml:space="preserve"> </w:t>
      </w:r>
      <w:r>
        <w:rPr>
          <w:rtl w:val="true"/>
        </w:rPr>
        <w:t>(</w:t>
      </w:r>
      <w:r>
        <w:rPr>
          <w:rtl w:val="true"/>
        </w:rPr>
        <w:t>כב</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וינשטיין</w:t>
      </w:r>
      <w:r>
        <w:rPr>
          <w:rtl w:val="true"/>
        </w:rPr>
        <w:t xml:space="preserve">), </w:t>
      </w:r>
      <w:r>
        <w:rPr>
          <w:rtl w:val="true"/>
        </w:rPr>
        <w:t>בת</w:t>
      </w:r>
      <w:r>
        <w:rPr>
          <w:rtl w:val="true"/>
        </w:rPr>
        <w:t>"</w:t>
      </w:r>
      <w:r>
        <w:rPr>
          <w:rtl w:val="true"/>
        </w:rPr>
        <w:t>א</w:t>
      </w:r>
      <w:r>
        <w:rPr>
          <w:rFonts w:eastAsia="Arial TUR;Arial" w:cs="Arial TUR;Arial"/>
          <w:rtl w:val="true"/>
        </w:rPr>
        <w:t xml:space="preserve"> </w:t>
      </w:r>
      <w:r>
        <w:rPr/>
        <w:t>43343-04-16</w:t>
      </w:r>
      <w:r>
        <w:rPr>
          <w:rtl w:val="true"/>
        </w:rPr>
        <w:t xml:space="preserve">, </w:t>
      </w:r>
      <w:r>
        <w:rPr>
          <w:rtl w:val="true"/>
        </w:rPr>
        <w:t>מיום</w:t>
      </w:r>
      <w:r>
        <w:rPr>
          <w:rFonts w:eastAsia="Arial TUR;Arial" w:cs="Arial TUR;Arial"/>
          <w:rtl w:val="true"/>
        </w:rPr>
        <w:t xml:space="preserve"> </w:t>
      </w:r>
      <w:r>
        <w:rPr/>
        <w:t>29.11.2017</w:t>
      </w:r>
      <w:r>
        <w:rPr>
          <w:rtl w:val="true"/>
        </w:rPr>
        <w:t xml:space="preserve">, </w:t>
      </w:r>
      <w:r>
        <w:rPr>
          <w:rtl w:val="true"/>
        </w:rPr>
        <w:t>שתוקנה</w:t>
      </w:r>
      <w:r>
        <w:rPr>
          <w:rFonts w:eastAsia="Arial TUR;Arial" w:cs="Arial TUR;Arial"/>
          <w:rtl w:val="true"/>
        </w:rPr>
        <w:t xml:space="preserve"> </w:t>
      </w:r>
      <w:r>
        <w:rPr>
          <w:rtl w:val="true"/>
        </w:rPr>
        <w:t>ביום</w:t>
      </w:r>
      <w:r>
        <w:rPr>
          <w:rFonts w:eastAsia="Arial TUR;Arial" w:cs="Arial TUR;Arial"/>
          <w:rtl w:val="true"/>
        </w:rPr>
        <w:t xml:space="preserve"> </w:t>
      </w:r>
      <w:r>
        <w:rPr/>
        <w:t>13.12.2017</w:t>
      </w:r>
      <w:r>
        <w:rPr>
          <w:rtl w:val="true"/>
        </w:rPr>
        <w:t xml:space="preserve">, </w:t>
      </w:r>
      <w:r>
        <w:rPr>
          <w:rtl w:val="true"/>
        </w:rPr>
        <w:t>לפיה</w:t>
      </w:r>
      <w:r>
        <w:rPr>
          <w:rFonts w:eastAsia="Arial TUR;Arial" w:cs="Arial TUR;Arial"/>
          <w:rtl w:val="true"/>
        </w:rPr>
        <w:t xml:space="preserve"> </w:t>
      </w:r>
      <w:r>
        <w:rPr>
          <w:rtl w:val="true"/>
        </w:rPr>
        <w:t>ישלמו</w:t>
      </w:r>
      <w:r>
        <w:rPr>
          <w:rFonts w:eastAsia="Arial TUR;Arial" w:cs="Arial TUR;Arial"/>
          <w:rtl w:val="true"/>
        </w:rPr>
        <w:t xml:space="preserve"> </w:t>
      </w:r>
      <w:r>
        <w:rPr>
          <w:rtl w:val="true"/>
        </w:rPr>
        <w:t>המבקשים</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של</w:t>
      </w:r>
      <w:r>
        <w:rPr>
          <w:rFonts w:eastAsia="Arial TUR;Arial" w:cs="Arial TUR;Arial"/>
          <w:rtl w:val="true"/>
        </w:rPr>
        <w:t xml:space="preserve"> </w:t>
      </w:r>
      <w:r>
        <w:rPr/>
        <w:t>510,000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הוראות</w:t>
      </w:r>
      <w:r>
        <w:rPr>
          <w:rFonts w:eastAsia="Arial TUR;Arial" w:cs="Arial TUR;Arial"/>
          <w:rtl w:val="true"/>
        </w:rPr>
        <w:t xml:space="preserve"> </w:t>
      </w:r>
      <w:hyperlink r:id="rId10">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בזיון</w:t>
        </w:r>
        <w:r>
          <w:rPr>
            <w:rStyle w:val="Hyperlink"/>
            <w:rFonts w:eastAsia="Arial TUR;Arial" w:cs="Arial TUR;Arial"/>
            <w:color w:val="0000FF"/>
            <w:u w:val="single"/>
            <w:rtl w:val="true"/>
          </w:rPr>
          <w:t xml:space="preserve"> </w:t>
        </w:r>
        <w:r>
          <w:rPr>
            <w:rStyle w:val="Hyperlink"/>
            <w:color w:val="0000FF"/>
            <w:u w:val="single"/>
            <w:rtl w:val="true"/>
          </w:rPr>
          <w:t>בית</w:t>
        </w:r>
        <w:r>
          <w:rPr>
            <w:rStyle w:val="Hyperlink"/>
            <w:rFonts w:eastAsia="Arial TUR;Arial" w:cs="Arial TUR;Arial"/>
            <w:color w:val="0000FF"/>
            <w:u w:val="single"/>
            <w:rtl w:val="true"/>
          </w:rPr>
          <w:t xml:space="preserve"> </w:t>
        </w:r>
        <w:r>
          <w:rPr>
            <w:rStyle w:val="Hyperlink"/>
            <w:color w:val="0000FF"/>
            <w:u w:val="single"/>
            <w:rtl w:val="true"/>
          </w:rPr>
          <w:t>משפט</w:t>
        </w:r>
      </w:hyperlink>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הפקודה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לבקשות</w:t>
      </w:r>
    </w:p>
    <w:p>
      <w:pPr>
        <w:pStyle w:val="Ruller41"/>
        <w:numPr>
          <w:ilvl w:val="0"/>
          <w:numId w:val="1"/>
        </w:numPr>
        <w:ind w:end="0"/>
        <w:jc w:val="both"/>
        <w:rPr/>
      </w:pPr>
      <w:r>
        <w:rPr>
          <w:rtl w:val="true"/>
        </w:rPr>
        <w:t xml:space="preserve">בין הצדדים קיים סכסוך משפחתי ועסקי ארוך שנים הנוגע בעיקרו לשימוש בתיבה </w:t>
      </w:r>
      <w:r>
        <w:rPr>
          <w:rtl w:val="true"/>
        </w:rPr>
        <w:t>"</w:t>
      </w:r>
      <w:r>
        <w:rPr>
          <w:rtl w:val="true"/>
        </w:rPr>
        <w:t>שוקחה</w:t>
      </w:r>
      <w:r>
        <w:rPr>
          <w:rtl w:val="true"/>
        </w:rPr>
        <w:t xml:space="preserve">" </w:t>
      </w:r>
      <w:r>
        <w:rPr>
          <w:rtl w:val="true"/>
        </w:rPr>
        <w:t>במוצרים המשווקים ונמכרים על ידי הצדדים</w:t>
      </w:r>
      <w:r>
        <w:rPr>
          <w:rtl w:val="true"/>
        </w:rPr>
        <w:t xml:space="preserve">. </w:t>
      </w:r>
      <w:r>
        <w:rPr>
          <w:rtl w:val="true"/>
        </w:rPr>
        <w:t xml:space="preserve">משיבה </w:t>
      </w:r>
      <w:r>
        <w:rPr/>
        <w:t>1</w:t>
      </w:r>
      <w:r>
        <w:rPr>
          <w:rtl w:val="true"/>
        </w:rPr>
        <w:t xml:space="preserve">, </w:t>
      </w:r>
      <w:r>
        <w:rPr>
          <w:rtl w:val="true"/>
        </w:rPr>
        <w:t>חברת בני ג</w:t>
      </w:r>
      <w:r>
        <w:rPr>
          <w:rtl w:val="true"/>
        </w:rPr>
        <w:t>'</w:t>
      </w:r>
      <w:r>
        <w:rPr>
          <w:rtl w:val="true"/>
        </w:rPr>
        <w:t>ורג</w:t>
      </w:r>
      <w:r>
        <w:rPr>
          <w:rtl w:val="true"/>
        </w:rPr>
        <w:t xml:space="preserve">' </w:t>
      </w:r>
      <w:r>
        <w:rPr>
          <w:rtl w:val="true"/>
        </w:rPr>
        <w:t>שוקחה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המשיבה</w:t>
      </w:r>
      <w:r>
        <w:rPr>
          <w:rtl w:val="true"/>
        </w:rPr>
        <w:t xml:space="preserve">), </w:t>
      </w:r>
      <w:r>
        <w:rPr>
          <w:rtl w:val="true"/>
        </w:rPr>
        <w:t>שהינה חברה העוסקת בייבוא ושיווק מוצרי מזון</w:t>
      </w:r>
      <w:r>
        <w:rPr>
          <w:rtl w:val="true"/>
        </w:rPr>
        <w:t xml:space="preserve">, </w:t>
      </w:r>
      <w:r>
        <w:rPr>
          <w:rtl w:val="true"/>
        </w:rPr>
        <w:t>נקטה במספר הליכים נגד המבקשים בטענה כי הפרו את זכויותיה במשך שנים</w:t>
      </w:r>
      <w:r>
        <w:rPr>
          <w:rtl w:val="true"/>
        </w:rPr>
        <w:t xml:space="preserve">, </w:t>
      </w:r>
      <w:r>
        <w:rPr>
          <w:rtl w:val="true"/>
        </w:rPr>
        <w:t>תוך ביזוי החלטות וצווי בית משפט</w:t>
      </w:r>
      <w:r>
        <w:rPr>
          <w:rtl w:val="true"/>
        </w:rPr>
        <w:t xml:space="preserve">. </w:t>
      </w:r>
      <w:r>
        <w:rPr>
          <w:rtl w:val="true"/>
        </w:rPr>
        <w:t>המבקשים בע</w:t>
      </w:r>
      <w:r>
        <w:rPr>
          <w:rtl w:val="true"/>
        </w:rPr>
        <w:t>"</w:t>
      </w:r>
      <w:r>
        <w:rPr>
          <w:rtl w:val="true"/>
        </w:rPr>
        <w:t xml:space="preserve">פ </w:t>
      </w:r>
      <w:r>
        <w:rPr/>
        <w:t>392/18</w:t>
      </w:r>
      <w:r>
        <w:rPr>
          <w:rtl w:val="true"/>
        </w:rPr>
        <w:t xml:space="preserve">, </w:t>
      </w:r>
      <w:r>
        <w:rPr>
          <w:rtl w:val="true"/>
        </w:rPr>
        <w:t>הם חברת אנטואן שוקחה ובניו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החברה</w:t>
      </w:r>
      <w:r>
        <w:rPr>
          <w:rtl w:val="true"/>
        </w:rPr>
        <w:t xml:space="preserve">), </w:t>
      </w:r>
      <w:r>
        <w:rPr>
          <w:rtl w:val="true"/>
        </w:rPr>
        <w:t>בעל השליטה בה</w:t>
      </w:r>
      <w:r>
        <w:rPr>
          <w:rtl w:val="true"/>
        </w:rPr>
        <w:t xml:space="preserve">, </w:t>
      </w:r>
      <w:r>
        <w:rPr>
          <w:rtl w:val="true"/>
        </w:rPr>
        <w:t>ובני משפחתו אשר לטענת המשיבה משמשים כמנהליה</w:t>
      </w:r>
      <w:r>
        <w:rPr>
          <w:rtl w:val="true"/>
        </w:rPr>
        <w:t xml:space="preserve">. </w:t>
      </w:r>
      <w:r>
        <w:rPr>
          <w:rtl w:val="true"/>
        </w:rPr>
        <w:t>המבקשים ב</w:t>
      </w:r>
      <w:r>
        <w:rPr>
          <w:rtl w:val="true"/>
        </w:rPr>
        <w:t>ע</w:t>
      </w:r>
      <w:r>
        <w:rPr>
          <w:rtl w:val="true"/>
        </w:rPr>
        <w:t>"</w:t>
      </w:r>
      <w:r>
        <w:rPr>
          <w:rtl w:val="true"/>
        </w:rPr>
        <w:t>פ</w:t>
      </w:r>
      <w:r>
        <w:rPr>
          <w:rtl w:val="true"/>
        </w:rPr>
        <w:t xml:space="preserve"> </w:t>
      </w:r>
      <w:r>
        <w:rPr/>
        <w:t>391/18</w:t>
      </w:r>
      <w:r>
        <w:rPr>
          <w:rtl w:val="true"/>
        </w:rPr>
        <w:t xml:space="preserve"> </w:t>
      </w:r>
      <w:r>
        <w:rPr>
          <w:rtl w:val="true"/>
        </w:rPr>
        <w:t xml:space="preserve">הם החברה המפיצה והמשווקת של החברה </w:t>
      </w:r>
      <w:r>
        <w:rPr>
          <w:rtl w:val="true"/>
        </w:rPr>
        <w:t>–</w:t>
      </w:r>
      <w:r>
        <w:rPr>
          <w:rtl w:val="true"/>
        </w:rPr>
        <w:t xml:space="preserve"> בני פאוזי שמשום </w:t>
      </w:r>
      <w:r>
        <w:rPr>
          <w:rtl w:val="true"/>
        </w:rPr>
        <w:t>(</w:t>
      </w:r>
      <w:r>
        <w:rPr/>
        <w:t>2009</w:t>
      </w:r>
      <w:r>
        <w:rPr>
          <w:rtl w:val="true"/>
        </w:rPr>
        <w:t xml:space="preserve">) </w:t>
      </w:r>
      <w:r>
        <w:rPr>
          <w:rtl w:val="true"/>
        </w:rPr>
        <w:t>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המשווקת</w:t>
      </w:r>
      <w:r>
        <w:rPr>
          <w:rtl w:val="true"/>
        </w:rPr>
        <w:t xml:space="preserve">) </w:t>
      </w:r>
      <w:r>
        <w:rPr>
          <w:rtl w:val="true"/>
        </w:rPr>
        <w:t xml:space="preserve">ובעל השליטה בה </w:t>
      </w:r>
      <w:r>
        <w:rPr>
          <w:rtl w:val="true"/>
        </w:rPr>
        <w:t>(</w:t>
      </w:r>
      <w:r>
        <w:rPr>
          <w:rtl w:val="true"/>
        </w:rPr>
        <w:t>להלן</w:t>
      </w:r>
      <w:r>
        <w:rPr>
          <w:rtl w:val="true"/>
        </w:rPr>
        <w:t xml:space="preserve">: </w:t>
      </w:r>
      <w:r>
        <w:rPr>
          <w:rFonts w:ascii="Century" w:hAnsi="Century" w:cs="Miriam"/>
          <w:b/>
          <w:b/>
          <w:spacing w:val="0"/>
          <w:sz w:val="22"/>
          <w:sz w:val="22"/>
          <w:szCs w:val="24"/>
          <w:rtl w:val="true"/>
        </w:rPr>
        <w:t>ענאן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שמשום</w:t>
      </w:r>
      <w:r>
        <w:rPr>
          <w:rtl w:val="true"/>
        </w:rPr>
        <w:t>) (</w:t>
      </w:r>
      <w:r>
        <w:rPr>
          <w:rtl w:val="true"/>
        </w:rPr>
        <w:t>המבקשים בשני ההליכים יקראו להלן ביחד</w:t>
      </w:r>
      <w:r>
        <w:rPr>
          <w:rtl w:val="true"/>
        </w:rPr>
        <w:t xml:space="preserve">: </w:t>
      </w:r>
      <w:r>
        <w:rPr>
          <w:rFonts w:ascii="Century" w:hAnsi="Century" w:cs="Miriam"/>
          <w:b/>
          <w:b/>
          <w:spacing w:val="0"/>
          <w:sz w:val="22"/>
          <w:sz w:val="22"/>
          <w:szCs w:val="24"/>
          <w:rtl w:val="true"/>
        </w:rPr>
        <w:t>המבקשים</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ברקע לבקשה</w:t>
      </w:r>
      <w:r>
        <w:rPr>
          <w:rtl w:val="true"/>
        </w:rPr>
        <w:t xml:space="preserve">, </w:t>
      </w:r>
      <w:r>
        <w:rPr>
          <w:rtl w:val="true"/>
        </w:rPr>
        <w:t xml:space="preserve">תביעה שהגישה המשיבה בשנת </w:t>
      </w:r>
      <w:r>
        <w:rPr/>
        <w:t>2011</w:t>
      </w:r>
      <w:r>
        <w:rPr>
          <w:rtl w:val="true"/>
        </w:rPr>
        <w:t xml:space="preserve"> </w:t>
      </w:r>
      <w:r>
        <w:rPr>
          <w:rtl w:val="true"/>
        </w:rPr>
        <w:t xml:space="preserve">נגד המבקשים </w:t>
      </w:r>
      <w:r>
        <w:rPr>
          <w:rtl w:val="true"/>
        </w:rPr>
        <w:t>–</w:t>
      </w:r>
      <w:r>
        <w:rPr>
          <w:rtl w:val="true"/>
        </w:rPr>
        <w:t xml:space="preserve"> למעט המשווקת</w:t>
      </w:r>
      <w:r>
        <w:rPr>
          <w:rtl w:val="true"/>
        </w:rPr>
        <w:t xml:space="preserve">, </w:t>
      </w:r>
      <w:r>
        <w:rPr>
          <w:rtl w:val="true"/>
        </w:rPr>
        <w:t xml:space="preserve">וכן נגד חברה נוספת שבעל השליטה בה הוא ענאן שמשום </w:t>
      </w:r>
      <w:r>
        <w:rPr>
          <w:rtl w:val="true"/>
        </w:rPr>
        <w:t>(</w:t>
      </w:r>
      <w:r>
        <w:rPr>
          <w:rtl w:val="true"/>
        </w:rPr>
        <w:t>אשר יקראו להלן ביחד</w:t>
      </w:r>
      <w:r>
        <w:rPr>
          <w:rtl w:val="true"/>
        </w:rPr>
        <w:t xml:space="preserve">: </w:t>
      </w:r>
      <w:r>
        <w:rPr>
          <w:rFonts w:ascii="Century" w:hAnsi="Century" w:cs="Miriam"/>
          <w:b/>
          <w:b/>
          <w:spacing w:val="0"/>
          <w:sz w:val="22"/>
          <w:sz w:val="22"/>
          <w:szCs w:val="24"/>
          <w:rtl w:val="true"/>
        </w:rPr>
        <w:t>הנתבעים</w:t>
      </w:r>
      <w:r>
        <w:rPr>
          <w:rtl w:val="true"/>
        </w:rPr>
        <w:t xml:space="preserve">), </w:t>
      </w:r>
      <w:r>
        <w:rPr>
          <w:rtl w:val="true"/>
        </w:rPr>
        <w:t xml:space="preserve">בגין הפרת זכויות המשיבה בסימני מסחר רשומים ומוכרים היטב במוצרי שמן </w:t>
      </w:r>
      <w:r>
        <w:rPr>
          <w:rtl w:val="true"/>
        </w:rPr>
        <w:t>(</w:t>
      </w:r>
      <w:hyperlink r:id="rId11">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24032-02-11</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המשיבה טענה להפרת הסכם</w:t>
      </w:r>
      <w:r>
        <w:rPr>
          <w:rtl w:val="true"/>
        </w:rPr>
        <w:t xml:space="preserve">, </w:t>
      </w:r>
      <w:r>
        <w:rPr>
          <w:rtl w:val="true"/>
        </w:rPr>
        <w:t>תחרות בלתי הוגנת</w:t>
      </w:r>
      <w:r>
        <w:rPr>
          <w:rtl w:val="true"/>
        </w:rPr>
        <w:t xml:space="preserve">, </w:t>
      </w:r>
      <w:r>
        <w:rPr>
          <w:rtl w:val="true"/>
        </w:rPr>
        <w:t>גניבת עין</w:t>
      </w:r>
      <w:r>
        <w:rPr>
          <w:rtl w:val="true"/>
        </w:rPr>
        <w:t xml:space="preserve">, </w:t>
      </w:r>
      <w:r>
        <w:rPr>
          <w:rtl w:val="true"/>
        </w:rPr>
        <w:t>גזל מוניטין</w:t>
      </w:r>
      <w:r>
        <w:rPr>
          <w:rtl w:val="true"/>
        </w:rPr>
        <w:t xml:space="preserve">, </w:t>
      </w:r>
      <w:r>
        <w:rPr>
          <w:rtl w:val="true"/>
        </w:rPr>
        <w:t>הטעיית צרכנים ועשיית עושר ולא במשפט</w:t>
      </w:r>
      <w:r>
        <w:rPr>
          <w:rtl w:val="true"/>
        </w:rPr>
        <w:t xml:space="preserve">. </w:t>
      </w:r>
      <w:r>
        <w:rPr>
          <w:rtl w:val="true"/>
        </w:rPr>
        <w:t xml:space="preserve">התביעה הסתיימה בפשרה שקיבלה תוקף של פסק דין ביום </w:t>
      </w:r>
      <w:r>
        <w:rPr/>
        <w:t>30.6.2011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הסכם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2011</w:t>
      </w:r>
      <w:r>
        <w:rPr>
          <w:rtl w:val="true"/>
        </w:rPr>
        <w:t xml:space="preserve">). </w:t>
      </w:r>
      <w:r>
        <w:rPr>
          <w:rtl w:val="true"/>
        </w:rPr>
        <w:t xml:space="preserve">על פי ההסכם התחייבו הנתבעים להחליף את התווית המוצמדת למוצרי השמן שלהם לתווית חדשה מוסכמת ולעשות שימוש במילה </w:t>
      </w:r>
      <w:r>
        <w:rPr>
          <w:rtl w:val="true"/>
        </w:rPr>
        <w:t>"</w:t>
      </w:r>
      <w:r>
        <w:rPr>
          <w:rtl w:val="true"/>
        </w:rPr>
        <w:t>שוקחה</w:t>
      </w:r>
      <w:r>
        <w:rPr>
          <w:rtl w:val="true"/>
        </w:rPr>
        <w:t xml:space="preserve">" </w:t>
      </w:r>
      <w:r>
        <w:rPr>
          <w:rtl w:val="true"/>
        </w:rPr>
        <w:t xml:space="preserve">אך ורק במסגרת רצף המילים </w:t>
      </w:r>
      <w:r>
        <w:rPr>
          <w:rtl w:val="true"/>
        </w:rPr>
        <w:t>"</w:t>
      </w:r>
      <w:r>
        <w:rPr>
          <w:rtl w:val="true"/>
        </w:rPr>
        <w:t>אנטואן שוקחה ובניו בע</w:t>
      </w:r>
      <w:r>
        <w:rPr>
          <w:rtl w:val="true"/>
        </w:rPr>
        <w:t>"</w:t>
      </w:r>
      <w:r>
        <w:rPr>
          <w:rtl w:val="true"/>
        </w:rPr>
        <w:t>מ</w:t>
      </w:r>
      <w:r>
        <w:rPr>
          <w:rtl w:val="true"/>
        </w:rPr>
        <w:t>" (</w:t>
      </w:r>
      <w:r>
        <w:rPr>
          <w:rtl w:val="true"/>
        </w:rPr>
        <w:t>להלן</w:t>
      </w:r>
      <w:r>
        <w:rPr>
          <w:rtl w:val="true"/>
        </w:rPr>
        <w:t xml:space="preserve">: </w:t>
      </w:r>
      <w:r>
        <w:rPr>
          <w:rFonts w:ascii="Century" w:hAnsi="Century" w:cs="Miriam"/>
          <w:b/>
          <w:b/>
          <w:spacing w:val="0"/>
          <w:sz w:val="22"/>
          <w:sz w:val="22"/>
          <w:szCs w:val="24"/>
          <w:rtl w:val="true"/>
        </w:rPr>
        <w:t>רצף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המילים</w:t>
      </w:r>
      <w:r>
        <w:rPr>
          <w:rtl w:val="true"/>
        </w:rPr>
        <w:t xml:space="preserve">). </w:t>
      </w:r>
      <w:r>
        <w:rPr>
          <w:rtl w:val="true"/>
        </w:rPr>
        <w:t xml:space="preserve">כן הוסכם לגבי גודל המילה </w:t>
      </w:r>
      <w:r>
        <w:rPr>
          <w:rtl w:val="true"/>
        </w:rPr>
        <w:t>"</w:t>
      </w:r>
      <w:r>
        <w:rPr>
          <w:rtl w:val="true"/>
        </w:rPr>
        <w:t>שוקחה</w:t>
      </w:r>
      <w:r>
        <w:rPr>
          <w:rtl w:val="true"/>
        </w:rPr>
        <w:t xml:space="preserve">" </w:t>
      </w:r>
      <w:r>
        <w:rPr>
          <w:rtl w:val="true"/>
        </w:rPr>
        <w:t>בתווית ולגבי הלוגו שיופיע על התווית</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בשל טענות לאי</w:t>
      </w:r>
      <w:r>
        <w:rPr>
          <w:rtl w:val="true"/>
        </w:rPr>
        <w:t>-</w:t>
      </w:r>
      <w:r>
        <w:rPr>
          <w:rtl w:val="true"/>
        </w:rPr>
        <w:t>קיום פסק הדין האמור על ידי הנתבעים</w:t>
      </w:r>
      <w:r>
        <w:rPr>
          <w:rtl w:val="true"/>
        </w:rPr>
        <w:t xml:space="preserve">, </w:t>
      </w:r>
      <w:r>
        <w:rPr>
          <w:rtl w:val="true"/>
        </w:rPr>
        <w:t xml:space="preserve">הגישה המשיבה ביום </w:t>
      </w:r>
      <w:r>
        <w:rPr/>
        <w:t>11.4.2016</w:t>
      </w:r>
      <w:r>
        <w:rPr>
          <w:rtl w:val="true"/>
        </w:rPr>
        <w:t xml:space="preserve"> </w:t>
      </w:r>
      <w:r>
        <w:rPr>
          <w:rtl w:val="true"/>
        </w:rPr>
        <w:t>בקשה נגד הנתבעים לבית המשפט המחוזי על פי הפקודה</w:t>
      </w:r>
      <w:r>
        <w:rPr>
          <w:rtl w:val="true"/>
        </w:rPr>
        <w:t xml:space="preserve">. </w:t>
      </w:r>
      <w:r>
        <w:rPr>
          <w:rtl w:val="true"/>
        </w:rPr>
        <w:t>במסגרת הדיון בבקשה הגיעו הצדדים להסכמות מסוימות באשר לתיקון התוויות והאריזות של מוצרי השמן</w:t>
      </w:r>
      <w:r>
        <w:rPr>
          <w:rtl w:val="true"/>
        </w:rPr>
        <w:t xml:space="preserve">. </w:t>
      </w:r>
      <w:r>
        <w:rPr>
          <w:rtl w:val="true"/>
        </w:rPr>
        <w:t xml:space="preserve">ביום </w:t>
      </w:r>
      <w:r>
        <w:rPr/>
        <w:t>22.5.2016</w:t>
      </w:r>
      <w:r>
        <w:rPr>
          <w:rtl w:val="true"/>
        </w:rPr>
        <w:t xml:space="preserve"> </w:t>
      </w:r>
      <w:r>
        <w:rPr>
          <w:rtl w:val="true"/>
        </w:rPr>
        <w:t>הכריע בית המשפט במחלוקת שנותרה בין הצדדים</w:t>
      </w:r>
      <w:r>
        <w:rPr>
          <w:rtl w:val="true"/>
        </w:rPr>
        <w:t xml:space="preserve">, </w:t>
      </w:r>
      <w:r>
        <w:rPr>
          <w:rtl w:val="true"/>
        </w:rPr>
        <w:t>הנוגעת לשאלה האם הנתבעים רשאים לעשות שימוש ברצף המילים בשפה נוספת מלבד השפה הערבית</w:t>
      </w:r>
      <w:r>
        <w:rPr>
          <w:rtl w:val="true"/>
        </w:rPr>
        <w:t xml:space="preserve">. </w:t>
      </w:r>
      <w:r>
        <w:rPr>
          <w:rtl w:val="true"/>
        </w:rPr>
        <w:t xml:space="preserve">טענת הנתבעים נדחתה ונקבע כי עליהם לתקן את התוויות והאריזות בהתאם תוך שניתנה להם שהות של </w:t>
      </w:r>
      <w:r>
        <w:rPr/>
        <w:t>120</w:t>
      </w:r>
      <w:r>
        <w:rPr>
          <w:rtl w:val="true"/>
        </w:rPr>
        <w:t xml:space="preserve"> </w:t>
      </w:r>
      <w:r>
        <w:rPr>
          <w:rtl w:val="true"/>
        </w:rPr>
        <w:t>ימים לשם כך</w:t>
      </w:r>
      <w:r>
        <w:rPr>
          <w:rtl w:val="true"/>
        </w:rPr>
        <w:t xml:space="preserve">. </w:t>
      </w:r>
      <w:r>
        <w:rPr>
          <w:rtl w:val="true"/>
        </w:rPr>
        <w:t>בנוסף להכרעה במחלוקת האמורה</w:t>
      </w:r>
      <w:r>
        <w:rPr>
          <w:rtl w:val="true"/>
        </w:rPr>
        <w:t xml:space="preserve">, </w:t>
      </w:r>
      <w:r>
        <w:rPr>
          <w:rtl w:val="true"/>
        </w:rPr>
        <w:t>ההסכמות אליהן הגיעו הצדדים קיבלו תוקף של פסק דין</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בנוסף</w:t>
      </w:r>
      <w:r>
        <w:rPr>
          <w:rtl w:val="true"/>
        </w:rPr>
        <w:t xml:space="preserve">, </w:t>
      </w:r>
      <w:r>
        <w:rPr>
          <w:rtl w:val="true"/>
        </w:rPr>
        <w:t xml:space="preserve">בחודש אפריל </w:t>
      </w:r>
      <w:r>
        <w:rPr/>
        <w:t>2016</w:t>
      </w:r>
      <w:r>
        <w:rPr>
          <w:rtl w:val="true"/>
        </w:rPr>
        <w:t xml:space="preserve"> </w:t>
      </w:r>
      <w:r>
        <w:rPr>
          <w:rtl w:val="true"/>
        </w:rPr>
        <w:t xml:space="preserve">הגישה המשיבה כתב תביעה נגד המבקשים </w:t>
      </w:r>
      <w:r>
        <w:rPr>
          <w:rtl w:val="true"/>
        </w:rPr>
        <w:t>(</w:t>
      </w:r>
      <w:r>
        <w:rPr>
          <w:rtl w:val="true"/>
        </w:rPr>
        <w:t xml:space="preserve">ויודגש כי הפעם </w:t>
      </w:r>
      <w:r>
        <w:rPr>
          <w:rtl w:val="true"/>
        </w:rPr>
        <w:t>–</w:t>
      </w:r>
      <w:r>
        <w:rPr>
          <w:rtl w:val="true"/>
        </w:rPr>
        <w:t xml:space="preserve"> המשווקת הייתה ביניהם</w:t>
      </w:r>
      <w:r>
        <w:rPr>
          <w:rtl w:val="true"/>
        </w:rPr>
        <w:t xml:space="preserve">), </w:t>
      </w:r>
      <w:r>
        <w:rPr>
          <w:rtl w:val="true"/>
        </w:rPr>
        <w:t>בגין הפרת סימני מסחר</w:t>
      </w:r>
      <w:r>
        <w:rPr>
          <w:rtl w:val="true"/>
        </w:rPr>
        <w:t xml:space="preserve">, </w:t>
      </w:r>
      <w:r>
        <w:rPr>
          <w:rtl w:val="true"/>
        </w:rPr>
        <w:t>הפרת הסכם</w:t>
      </w:r>
      <w:r>
        <w:rPr>
          <w:rtl w:val="true"/>
        </w:rPr>
        <w:t xml:space="preserve">, </w:t>
      </w:r>
      <w:r>
        <w:rPr>
          <w:rtl w:val="true"/>
        </w:rPr>
        <w:t>תחרות בלתי הוגנת</w:t>
      </w:r>
      <w:r>
        <w:rPr>
          <w:rtl w:val="true"/>
        </w:rPr>
        <w:t xml:space="preserve">, </w:t>
      </w:r>
      <w:r>
        <w:rPr>
          <w:rtl w:val="true"/>
        </w:rPr>
        <w:t>גניבת עין</w:t>
      </w:r>
      <w:r>
        <w:rPr>
          <w:rtl w:val="true"/>
        </w:rPr>
        <w:t xml:space="preserve">, </w:t>
      </w:r>
      <w:r>
        <w:rPr>
          <w:rtl w:val="true"/>
        </w:rPr>
        <w:t>גזל מוניטין</w:t>
      </w:r>
      <w:r>
        <w:rPr>
          <w:rtl w:val="true"/>
        </w:rPr>
        <w:t xml:space="preserve">, </w:t>
      </w:r>
      <w:r>
        <w:rPr>
          <w:rtl w:val="true"/>
        </w:rPr>
        <w:t>הטעיית צרכנים ועשיית עושר ולא במשפט</w:t>
      </w:r>
      <w:r>
        <w:rPr>
          <w:rtl w:val="true"/>
        </w:rPr>
        <w:t xml:space="preserve">, </w:t>
      </w:r>
      <w:r>
        <w:rPr>
          <w:rtl w:val="true"/>
        </w:rPr>
        <w:t xml:space="preserve">על מגוון מוצרים </w:t>
      </w:r>
      <w:r>
        <w:rPr>
          <w:rFonts w:ascii="Century" w:hAnsi="Century" w:cs="Century"/>
          <w:sz w:val="22"/>
          <w:sz w:val="22"/>
          <w:rtl w:val="true"/>
        </w:rPr>
        <w:t>שאינם שמן</w:t>
      </w:r>
      <w:r>
        <w:rPr>
          <w:rtl w:val="true"/>
        </w:rPr>
        <w:t xml:space="preserve">, </w:t>
      </w:r>
      <w:r>
        <w:rPr>
          <w:rtl w:val="true"/>
        </w:rPr>
        <w:t>שיובאו</w:t>
      </w:r>
      <w:r>
        <w:rPr>
          <w:rtl w:val="true"/>
        </w:rPr>
        <w:t xml:space="preserve">, </w:t>
      </w:r>
      <w:r>
        <w:rPr>
          <w:rtl w:val="true"/>
        </w:rPr>
        <w:t xml:space="preserve">נמכרו ושווקו על ידי המבקשים </w:t>
      </w:r>
      <w:r>
        <w:rPr>
          <w:rtl w:val="true"/>
        </w:rPr>
        <w:t>(</w:t>
      </w:r>
      <w:hyperlink r:id="rId12">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43313-04-16</w:t>
        </w:r>
      </w:hyperlink>
      <w:r>
        <w:rPr>
          <w:rtl w:val="true"/>
        </w:rPr>
        <w:t xml:space="preserve">). </w:t>
      </w:r>
      <w:r>
        <w:rPr>
          <w:rtl w:val="true"/>
        </w:rPr>
        <w:t xml:space="preserve">ביום </w:t>
      </w:r>
      <w:r>
        <w:rPr/>
        <w:t>19.6.2016</w:t>
      </w:r>
      <w:r>
        <w:rPr>
          <w:rtl w:val="true"/>
        </w:rPr>
        <w:t xml:space="preserve"> </w:t>
      </w:r>
      <w:r>
        <w:rPr>
          <w:rtl w:val="true"/>
        </w:rPr>
        <w:t>ניתן תוקף של החלטה להסכמות הצדדים</w:t>
      </w:r>
      <w:r>
        <w:rPr>
          <w:rtl w:val="true"/>
        </w:rPr>
        <w:t xml:space="preserve">, </w:t>
      </w:r>
      <w:r>
        <w:rPr>
          <w:rtl w:val="true"/>
        </w:rPr>
        <w:t xml:space="preserve">אשר בעיקרן אישרו את הסכם </w:t>
      </w:r>
      <w:r>
        <w:rPr/>
        <w:t>2011</w:t>
      </w:r>
      <w:r>
        <w:rPr>
          <w:rtl w:val="true"/>
        </w:rPr>
        <w:t xml:space="preserve"> </w:t>
      </w:r>
      <w:r>
        <w:rPr>
          <w:rtl w:val="true"/>
        </w:rPr>
        <w:t>בכפוף למספר תנאים</w:t>
      </w:r>
      <w:r>
        <w:rPr>
          <w:rtl w:val="true"/>
        </w:rPr>
        <w:t xml:space="preserve">, </w:t>
      </w:r>
      <w:r>
        <w:rPr>
          <w:rtl w:val="true"/>
        </w:rPr>
        <w:t>ביניהם האפשרות לעשות שימוש ברצף המילים בשפה נוספת</w:t>
      </w:r>
      <w:r>
        <w:rPr>
          <w:rtl w:val="true"/>
        </w:rPr>
        <w:t xml:space="preserve">. </w:t>
      </w:r>
      <w:r>
        <w:rPr>
          <w:rtl w:val="true"/>
        </w:rPr>
        <w:t xml:space="preserve">למבקשים ניתנה שהות של </w:t>
      </w:r>
      <w:r>
        <w:rPr/>
        <w:t>150</w:t>
      </w:r>
      <w:r>
        <w:rPr>
          <w:rtl w:val="true"/>
        </w:rPr>
        <w:t xml:space="preserve"> </w:t>
      </w:r>
      <w:r>
        <w:rPr>
          <w:rtl w:val="true"/>
        </w:rPr>
        <w:t>ימים לצורך הסרת מוצרי השמן המפרים</w:t>
      </w:r>
      <w:r>
        <w:rPr>
          <w:rtl w:val="true"/>
        </w:rPr>
        <w:t xml:space="preserve">, </w:t>
      </w:r>
      <w:r>
        <w:rPr>
          <w:rtl w:val="true"/>
        </w:rPr>
        <w:t>ו</w:t>
      </w:r>
      <w:r>
        <w:rPr>
          <w:rtl w:val="true"/>
        </w:rPr>
        <w:t>-</w:t>
      </w:r>
      <w:r>
        <w:rPr/>
        <w:t>120</w:t>
      </w:r>
      <w:r>
        <w:rPr>
          <w:rtl w:val="true"/>
        </w:rPr>
        <w:t xml:space="preserve"> </w:t>
      </w:r>
      <w:r>
        <w:rPr>
          <w:rtl w:val="true"/>
        </w:rPr>
        <w:t>ימים להסרת יתר המוצרים המפרים מן המדפים</w:t>
      </w:r>
      <w:r>
        <w:rPr>
          <w:rtl w:val="true"/>
        </w:rPr>
        <w:t xml:space="preserve">. </w:t>
      </w:r>
      <w:r>
        <w:rPr>
          <w:rtl w:val="true"/>
        </w:rPr>
        <w:t xml:space="preserve">ביום </w:t>
      </w:r>
      <w:r>
        <w:rPr/>
        <w:t>10.10.2016</w:t>
      </w:r>
      <w:r>
        <w:rPr>
          <w:rtl w:val="true"/>
        </w:rPr>
        <w:t xml:space="preserve"> </w:t>
      </w:r>
      <w:r>
        <w:rPr>
          <w:rtl w:val="true"/>
        </w:rPr>
        <w:t>הגיעו הצדדים להבנות נוספות ובהמשך</w:t>
      </w:r>
      <w:r>
        <w:rPr>
          <w:rtl w:val="true"/>
        </w:rPr>
        <w:t xml:space="preserve">, </w:t>
      </w:r>
      <w:r>
        <w:rPr>
          <w:rtl w:val="true"/>
        </w:rPr>
        <w:t xml:space="preserve">ביום </w:t>
      </w:r>
      <w:r>
        <w:rPr/>
        <w:t>1.11.2016</w:t>
      </w:r>
      <w:r>
        <w:rPr>
          <w:rtl w:val="true"/>
        </w:rPr>
        <w:t xml:space="preserve"> </w:t>
      </w:r>
      <w:r>
        <w:rPr>
          <w:rtl w:val="true"/>
        </w:rPr>
        <w:t>ניתן תוקף של פסק דין להסכמות בין הצדדים בנוגע לעיצוב המוצרים המיובאים והמשווקים על ידי המבקשים</w:t>
      </w:r>
      <w:r>
        <w:rPr>
          <w:rtl w:val="true"/>
        </w:rPr>
        <w:t xml:space="preserve">, </w:t>
      </w:r>
      <w:r>
        <w:rPr>
          <w:rtl w:val="true"/>
        </w:rPr>
        <w:t xml:space="preserve">כפי שפורטו הן בפרוטוקול מיום </w:t>
      </w:r>
      <w:r>
        <w:rPr/>
        <w:t>19.6.2016</w:t>
      </w:r>
      <w:r>
        <w:rPr>
          <w:rtl w:val="true"/>
        </w:rPr>
        <w:t xml:space="preserve"> </w:t>
      </w:r>
      <w:r>
        <w:rPr>
          <w:rtl w:val="true"/>
        </w:rPr>
        <w:t xml:space="preserve">והן בפרוטוקול מיום </w:t>
      </w:r>
      <w:r>
        <w:rPr/>
        <w:t>10.10.2016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או </w:t>
      </w:r>
      <w:r>
        <w:rPr>
          <w:rFonts w:ascii="Century" w:hAnsi="Century" w:cs="Miriam"/>
          <w:b/>
          <w:b/>
          <w:spacing w:val="0"/>
          <w:sz w:val="22"/>
          <w:sz w:val="22"/>
          <w:szCs w:val="24"/>
          <w:rtl w:val="true"/>
        </w:rPr>
        <w:t>הסכם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2016</w:t>
      </w:r>
      <w:r>
        <w:rPr>
          <w:rtl w:val="true"/>
        </w:rPr>
        <w:t>).</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כל המאמצים האמורים לא הביאו לפתרון הסכסוך</w:t>
      </w:r>
      <w:r>
        <w:rPr>
          <w:rtl w:val="true"/>
        </w:rPr>
        <w:t xml:space="preserve">, </w:t>
      </w:r>
      <w:r>
        <w:rPr>
          <w:rtl w:val="true"/>
        </w:rPr>
        <w:t xml:space="preserve">וביום </w:t>
      </w:r>
      <w:r>
        <w:rPr/>
        <w:t>25.4.2017</w:t>
      </w:r>
      <w:r>
        <w:rPr>
          <w:rtl w:val="true"/>
        </w:rPr>
        <w:t xml:space="preserve"> </w:t>
      </w:r>
      <w:r>
        <w:rPr>
          <w:rtl w:val="true"/>
        </w:rPr>
        <w:t>הגישה המשיבה</w:t>
      </w:r>
      <w:r>
        <w:rPr>
          <w:rtl w:val="true"/>
        </w:rPr>
        <w:t xml:space="preserve">, </w:t>
      </w:r>
      <w:r>
        <w:rPr>
          <w:rtl w:val="true"/>
        </w:rPr>
        <w:t>בפעם השנייה</w:t>
      </w:r>
      <w:r>
        <w:rPr>
          <w:rtl w:val="true"/>
        </w:rPr>
        <w:t xml:space="preserve">, </w:t>
      </w:r>
      <w:r>
        <w:rPr>
          <w:rtl w:val="true"/>
        </w:rPr>
        <w:t>בקשה נגד המבקשים לפי הפקודה במסגרתה נטען כי המבקשים מפרים את פסק הדין ביחס לשלוש סוגיות</w:t>
      </w:r>
      <w:r>
        <w:rPr>
          <w:rtl w:val="true"/>
        </w:rPr>
        <w:t xml:space="preserve">: </w:t>
      </w:r>
      <w:r>
        <w:rPr>
          <w:rtl w:val="true"/>
        </w:rPr>
        <w:t>האחת</w:t>
      </w:r>
      <w:r>
        <w:rPr>
          <w:rtl w:val="true"/>
        </w:rPr>
        <w:t xml:space="preserve">, </w:t>
      </w:r>
      <w:r>
        <w:rPr>
          <w:rtl w:val="true"/>
        </w:rPr>
        <w:t>כי בחנויות השונות עדיין נמכרות אריזות של טובין הנושאות על גביהן את התוויות הישנות</w:t>
      </w:r>
      <w:r>
        <w:rPr>
          <w:rtl w:val="true"/>
        </w:rPr>
        <w:t xml:space="preserve">; </w:t>
      </w:r>
      <w:r>
        <w:rPr>
          <w:rtl w:val="true"/>
        </w:rPr>
        <w:t>השנייה</w:t>
      </w:r>
      <w:r>
        <w:rPr>
          <w:rtl w:val="true"/>
        </w:rPr>
        <w:t xml:space="preserve">, </w:t>
      </w:r>
      <w:r>
        <w:rPr>
          <w:rtl w:val="true"/>
        </w:rPr>
        <w:t xml:space="preserve">כי בחנויות השונות עדיין נמכרות אריזות של טובין הנושאות על גביהן את הכיתוב </w:t>
      </w:r>
      <w:r>
        <w:rPr>
          <w:rtl w:val="true"/>
        </w:rPr>
        <w:t>"</w:t>
      </w:r>
      <w:r>
        <w:rPr>
          <w:rtl w:val="true"/>
        </w:rPr>
        <w:t>א</w:t>
      </w:r>
      <w:r>
        <w:rPr>
          <w:rtl w:val="true"/>
        </w:rPr>
        <w:t xml:space="preserve">. </w:t>
      </w:r>
      <w:r>
        <w:rPr>
          <w:rtl w:val="true"/>
        </w:rPr>
        <w:t>שוקחה</w:t>
      </w:r>
      <w:r>
        <w:rPr>
          <w:rtl w:val="true"/>
        </w:rPr>
        <w:t xml:space="preserve">" </w:t>
      </w:r>
      <w:r>
        <w:rPr>
          <w:rtl w:val="true"/>
        </w:rPr>
        <w:t>וזאת בניגוד לפסק הדין</w:t>
      </w:r>
      <w:r>
        <w:rPr>
          <w:rtl w:val="true"/>
        </w:rPr>
        <w:t xml:space="preserve">; </w:t>
      </w:r>
      <w:r>
        <w:rPr>
          <w:rtl w:val="true"/>
        </w:rPr>
        <w:t>השלישית</w:t>
      </w:r>
      <w:r>
        <w:rPr>
          <w:rtl w:val="true"/>
        </w:rPr>
        <w:t xml:space="preserve">, </w:t>
      </w:r>
      <w:r>
        <w:rPr>
          <w:rtl w:val="true"/>
        </w:rPr>
        <w:t>כי המבקשים החלו לשווק בקבוקי שמן עם תווית חדשה אשר אינה עומדת במגבלות ובתנאים שנקבעו בפסק הדין</w:t>
      </w:r>
      <w:r>
        <w:rPr>
          <w:rtl w:val="true"/>
        </w:rPr>
        <w:t xml:space="preserve">. </w:t>
      </w:r>
      <w:r>
        <w:rPr>
          <w:rtl w:val="true"/>
        </w:rPr>
        <w:t>בית המשפט המחוזי קיבל את בקשת הבזיון ביחס לשלוש הסוגיות</w:t>
      </w:r>
      <w:r>
        <w:rPr>
          <w:rtl w:val="true"/>
        </w:rPr>
        <w:t xml:space="preserve">. </w:t>
      </w:r>
      <w:r>
        <w:rPr>
          <w:rtl w:val="true"/>
        </w:rPr>
        <w:t>ביחס לשתי הסוגיות הראשונות ניתנה</w:t>
      </w:r>
      <w:r>
        <w:rPr>
          <w:rtl w:val="true"/>
        </w:rPr>
        <w:t xml:space="preserve">, </w:t>
      </w:r>
      <w:r>
        <w:rPr>
          <w:rtl w:val="true"/>
        </w:rPr>
        <w:t>בהסכמה</w:t>
      </w:r>
      <w:r>
        <w:rPr>
          <w:rtl w:val="true"/>
        </w:rPr>
        <w:t xml:space="preserve">, </w:t>
      </w:r>
      <w:r>
        <w:rPr>
          <w:rtl w:val="true"/>
        </w:rPr>
        <w:t xml:space="preserve">שהות של </w:t>
      </w:r>
      <w:r>
        <w:rPr/>
        <w:t>14</w:t>
      </w:r>
      <w:r>
        <w:rPr>
          <w:rtl w:val="true"/>
        </w:rPr>
        <w:t xml:space="preserve"> </w:t>
      </w:r>
      <w:r>
        <w:rPr>
          <w:rtl w:val="true"/>
        </w:rPr>
        <w:t>יום לתיקון המצב</w:t>
      </w:r>
      <w:r>
        <w:rPr>
          <w:rtl w:val="true"/>
        </w:rPr>
        <w:t xml:space="preserve">, </w:t>
      </w:r>
      <w:r>
        <w:rPr>
          <w:rtl w:val="true"/>
        </w:rPr>
        <w:t>תוך שנקבע כי ככל שהוראות פסק הדין בעניין זה לא יקוימו</w:t>
      </w:r>
      <w:r>
        <w:rPr>
          <w:rtl w:val="true"/>
        </w:rPr>
        <w:t xml:space="preserve">, </w:t>
      </w:r>
      <w:r>
        <w:rPr>
          <w:rtl w:val="true"/>
        </w:rPr>
        <w:t xml:space="preserve">הרי שהמבקשים יחויבו בקנס על פי הפקודה בסך של </w:t>
      </w:r>
      <w:r>
        <w:rPr/>
        <w:t>2,500</w:t>
      </w:r>
      <w:r>
        <w:rPr>
          <w:rtl w:val="true"/>
        </w:rPr>
        <w:t xml:space="preserve"> </w:t>
      </w:r>
      <w:r>
        <w:rPr>
          <w:rtl w:val="true"/>
        </w:rPr>
        <w:t>ש</w:t>
      </w:r>
      <w:r>
        <w:rPr>
          <w:rtl w:val="true"/>
        </w:rPr>
        <w:t>"</w:t>
      </w:r>
      <w:r>
        <w:rPr>
          <w:rtl w:val="true"/>
        </w:rPr>
        <w:t xml:space="preserve">ח לכל יום בו תימשך ההפרה </w:t>
      </w:r>
      <w:r>
        <w:rPr>
          <w:rtl w:val="true"/>
        </w:rPr>
        <w:t>(</w:t>
      </w:r>
      <w:r>
        <w:rPr>
          <w:rtl w:val="true"/>
        </w:rPr>
        <w:t xml:space="preserve">החלטה מיום </w:t>
      </w:r>
      <w:r>
        <w:rPr/>
        <w:t>10.5.2017</w:t>
      </w:r>
      <w:r>
        <w:rPr>
          <w:rtl w:val="true"/>
        </w:rPr>
        <w:t xml:space="preserve">). </w:t>
      </w:r>
      <w:r>
        <w:rPr>
          <w:rtl w:val="true"/>
        </w:rPr>
        <w:t xml:space="preserve">הסוגיה השלישית הוכרעה בהחלטה נפרדת מיום </w:t>
      </w:r>
      <w:r>
        <w:rPr/>
        <w:t>13.5.2017</w:t>
      </w:r>
      <w:r>
        <w:rPr>
          <w:rtl w:val="true"/>
        </w:rPr>
        <w:t xml:space="preserve"> </w:t>
      </w:r>
      <w:r>
        <w:rPr>
          <w:rtl w:val="true"/>
        </w:rPr>
        <w:t xml:space="preserve">בה נקבע כי על המבקשים לפעול לאלתר לתיקון ההפרות ביחס למוצרי שמן בתוך </w:t>
      </w:r>
      <w:r>
        <w:rPr/>
        <w:t>14</w:t>
      </w:r>
      <w:r>
        <w:rPr>
          <w:rtl w:val="true"/>
        </w:rPr>
        <w:t xml:space="preserve"> </w:t>
      </w:r>
      <w:r>
        <w:rPr>
          <w:rtl w:val="true"/>
        </w:rPr>
        <w:t>יום</w:t>
      </w:r>
      <w:r>
        <w:rPr>
          <w:rtl w:val="true"/>
        </w:rPr>
        <w:t xml:space="preserve">, </w:t>
      </w:r>
      <w:r>
        <w:rPr>
          <w:rtl w:val="true"/>
        </w:rPr>
        <w:t>וכי דו</w:t>
      </w:r>
      <w:r>
        <w:rPr>
          <w:rtl w:val="true"/>
        </w:rPr>
        <w:t>"</w:t>
      </w:r>
      <w:r>
        <w:rPr>
          <w:rtl w:val="true"/>
        </w:rPr>
        <w:t xml:space="preserve">ח על פעולות המבקשים בעניין זה יוגש עד ליום </w:t>
      </w:r>
      <w:r>
        <w:rPr/>
        <w:t>28.5.2017</w:t>
      </w:r>
      <w:r>
        <w:rPr>
          <w:rtl w:val="true"/>
        </w:rPr>
        <w:t xml:space="preserve">. </w:t>
      </w:r>
      <w:r>
        <w:rPr>
          <w:rtl w:val="true"/>
        </w:rPr>
        <w:t xml:space="preserve">עוד נקבע כי ככל שלא יקיימו המבקשים הוראות אלו יחויבו בקנס בסך של </w:t>
      </w:r>
      <w:r>
        <w:rPr/>
        <w:t>2,500</w:t>
      </w:r>
      <w:r>
        <w:rPr>
          <w:rtl w:val="true"/>
        </w:rPr>
        <w:t xml:space="preserve"> </w:t>
      </w:r>
      <w:r>
        <w:rPr>
          <w:rtl w:val="true"/>
        </w:rPr>
        <w:t>ש</w:t>
      </w:r>
      <w:r>
        <w:rPr>
          <w:rtl w:val="true"/>
        </w:rPr>
        <w:t>"</w:t>
      </w:r>
      <w:r>
        <w:rPr>
          <w:rtl w:val="true"/>
        </w:rPr>
        <w:t>ח לכל יום שבו תימשך ההפרה</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על שתי ההחלטות האמורות הגישו המבקשים ערעור לבית משפט זה ויחד עמו בקשה לעיכוב ביצוען</w:t>
      </w:r>
      <w:r>
        <w:rPr>
          <w:rtl w:val="true"/>
        </w:rPr>
        <w:t xml:space="preserve">. </w:t>
      </w:r>
      <w:r>
        <w:rPr>
          <w:rtl w:val="true"/>
        </w:rPr>
        <w:t xml:space="preserve">ביום </w:t>
      </w:r>
      <w:r>
        <w:rPr/>
        <w:t>8.6.2017</w:t>
      </w:r>
      <w:r>
        <w:rPr>
          <w:rtl w:val="true"/>
        </w:rPr>
        <w:t xml:space="preserve"> </w:t>
      </w:r>
      <w:r>
        <w:rPr>
          <w:rtl w:val="true"/>
        </w:rPr>
        <w:t xml:space="preserve">נדחתה בקשתן לעיכוב ביצוע </w:t>
      </w:r>
      <w:r>
        <w:rPr>
          <w:rtl w:val="true"/>
        </w:rPr>
        <w:t>(</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4113/17</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 xml:space="preserve">אך לפנים משורת הדין העניק בית המשפט למשיבים פרק זמן נוסף של </w:t>
      </w:r>
      <w:r>
        <w:rPr/>
        <w:t>30</w:t>
      </w:r>
      <w:r>
        <w:rPr>
          <w:rtl w:val="true"/>
        </w:rPr>
        <w:t xml:space="preserve"> </w:t>
      </w:r>
      <w:r>
        <w:rPr>
          <w:rtl w:val="true"/>
        </w:rPr>
        <w:t xml:space="preserve">יום לקיום פסק הדין </w:t>
      </w:r>
      <w:r>
        <w:rPr>
          <w:rtl w:val="true"/>
        </w:rPr>
        <w:t>(</w:t>
      </w:r>
      <w:r>
        <w:rPr>
          <w:rtl w:val="true"/>
        </w:rPr>
        <w:t xml:space="preserve">כלומר </w:t>
      </w:r>
      <w:r>
        <w:rPr>
          <w:rtl w:val="true"/>
        </w:rPr>
        <w:t>–</w:t>
      </w:r>
      <w:r>
        <w:rPr>
          <w:rtl w:val="true"/>
        </w:rPr>
        <w:t xml:space="preserve"> עד ליום </w:t>
      </w:r>
      <w:r>
        <w:rPr/>
        <w:t>8.7.2017</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בחלוף המועד המוארך</w:t>
      </w:r>
      <w:r>
        <w:rPr>
          <w:rtl w:val="true"/>
        </w:rPr>
        <w:t xml:space="preserve">, </w:t>
      </w:r>
      <w:r>
        <w:rPr>
          <w:rtl w:val="true"/>
        </w:rPr>
        <w:t>הגישה המשיבה את בקשתה השלישית למתן צו על פי הפקודה נגד המבקשים</w:t>
      </w:r>
      <w:r>
        <w:rPr>
          <w:rtl w:val="true"/>
        </w:rPr>
        <w:t xml:space="preserve">, </w:t>
      </w:r>
      <w:r>
        <w:rPr>
          <w:rtl w:val="true"/>
        </w:rPr>
        <w:t>בטענה כי על אף ההחלטות האמורות</w:t>
      </w:r>
      <w:r>
        <w:rPr>
          <w:rtl w:val="true"/>
        </w:rPr>
        <w:t xml:space="preserve">, </w:t>
      </w:r>
      <w:r>
        <w:rPr>
          <w:rtl w:val="true"/>
        </w:rPr>
        <w:t>המבקשים לא פעלו על מנת לקיים את הצווים ולאסוף את המוצרים המפרים ואף לא הגישו כל דו</w:t>
      </w:r>
      <w:r>
        <w:rPr>
          <w:rtl w:val="true"/>
        </w:rPr>
        <w:t>"</w:t>
      </w:r>
      <w:r>
        <w:rPr>
          <w:rtl w:val="true"/>
        </w:rPr>
        <w:t>ח לבית המשפט המחוזי על אודות הפעולות שנקטו כדי לעמוד בהחלטות</w:t>
      </w:r>
      <w:r>
        <w:rPr>
          <w:rtl w:val="true"/>
        </w:rPr>
        <w:t xml:space="preserve">. </w:t>
      </w:r>
      <w:r>
        <w:rPr>
          <w:rtl w:val="true"/>
        </w:rPr>
        <w:t xml:space="preserve">לאחר שמיעת הבקשה קבע בית המשפט כי המבקשים ביזו את הצווים כפי שנקבעו בהחלטות מימים </w:t>
      </w:r>
      <w:r>
        <w:rPr/>
        <w:t>10.5.2017</w:t>
      </w:r>
      <w:r>
        <w:rPr>
          <w:rtl w:val="true"/>
        </w:rPr>
        <w:t xml:space="preserve"> </w:t>
      </w:r>
      <w:r>
        <w:rPr>
          <w:rtl w:val="true"/>
        </w:rPr>
        <w:t>ו</w:t>
      </w:r>
      <w:r>
        <w:rPr>
          <w:rtl w:val="true"/>
        </w:rPr>
        <w:t>-</w:t>
      </w:r>
      <w:r>
        <w:rPr/>
        <w:t>13.5.2017</w:t>
      </w:r>
      <w:r>
        <w:rPr>
          <w:rtl w:val="true"/>
        </w:rPr>
        <w:t xml:space="preserve">, </w:t>
      </w:r>
      <w:r>
        <w:rPr>
          <w:rtl w:val="true"/>
        </w:rPr>
        <w:t>בכך שקיימים עדיין בשוק מוצרים מפרים</w:t>
      </w:r>
      <w:r>
        <w:rPr>
          <w:rtl w:val="true"/>
        </w:rPr>
        <w:t xml:space="preserve">, </w:t>
      </w:r>
      <w:r>
        <w:rPr>
          <w:rtl w:val="true"/>
        </w:rPr>
        <w:t>ובכך שלא הגישו המבקשים דוחות כפי שנקבע</w:t>
      </w:r>
      <w:r>
        <w:rPr>
          <w:rtl w:val="true"/>
        </w:rPr>
        <w:t xml:space="preserve">. </w:t>
      </w:r>
      <w:r>
        <w:rPr>
          <w:rtl w:val="true"/>
        </w:rPr>
        <w:t xml:space="preserve">לפיכך השית בית המשפט המחוזי על המבקשים קנס לפי הפקודה בסך של </w:t>
      </w:r>
      <w:r>
        <w:rPr/>
        <w:t>2,500</w:t>
      </w:r>
      <w:r>
        <w:rPr>
          <w:rtl w:val="true"/>
        </w:rPr>
        <w:t xml:space="preserve"> </w:t>
      </w:r>
      <w:r>
        <w:rPr>
          <w:rtl w:val="true"/>
        </w:rPr>
        <w:t>ש</w:t>
      </w:r>
      <w:r>
        <w:rPr>
          <w:rtl w:val="true"/>
        </w:rPr>
        <w:t>"</w:t>
      </w:r>
      <w:r>
        <w:rPr>
          <w:rtl w:val="true"/>
        </w:rPr>
        <w:t xml:space="preserve">ח ליום </w:t>
      </w:r>
      <w:r>
        <w:rPr>
          <w:rtl w:val="true"/>
        </w:rPr>
        <w:t>–</w:t>
      </w:r>
      <w:r>
        <w:rPr>
          <w:rtl w:val="true"/>
        </w:rPr>
        <w:t xml:space="preserve"> החל מיום </w:t>
      </w:r>
      <w:r>
        <w:rPr/>
        <w:t>9.7.2017</w:t>
      </w:r>
      <w:r>
        <w:rPr>
          <w:rtl w:val="true"/>
        </w:rPr>
        <w:t xml:space="preserve"> </w:t>
      </w:r>
      <w:r>
        <w:rPr>
          <w:rtl w:val="true"/>
        </w:rPr>
        <w:t xml:space="preserve">ועד ליום </w:t>
      </w:r>
      <w:r>
        <w:rPr/>
        <w:t>27.7.2017</w:t>
      </w:r>
      <w:r>
        <w:rPr>
          <w:rtl w:val="true"/>
        </w:rPr>
        <w:t xml:space="preserve"> </w:t>
      </w:r>
      <w:r>
        <w:rPr>
          <w:rtl w:val="true"/>
        </w:rPr>
        <w:t>ביחס לאי</w:t>
      </w:r>
      <w:r>
        <w:rPr>
          <w:rtl w:val="true"/>
        </w:rPr>
        <w:t>-</w:t>
      </w:r>
      <w:r>
        <w:rPr>
          <w:rtl w:val="true"/>
        </w:rPr>
        <w:t xml:space="preserve">איסופם של המוצרים מושא ההחלטה הראשונה מיום </w:t>
      </w:r>
      <w:r>
        <w:rPr/>
        <w:t>10.5.2017</w:t>
      </w:r>
      <w:r>
        <w:rPr>
          <w:rtl w:val="true"/>
        </w:rPr>
        <w:t xml:space="preserve"> (</w:t>
      </w:r>
      <w:r>
        <w:rPr>
          <w:rtl w:val="true"/>
        </w:rPr>
        <w:t>שלל מוצרים</w:t>
      </w:r>
      <w:r>
        <w:rPr>
          <w:rtl w:val="true"/>
        </w:rPr>
        <w:t xml:space="preserve">); </w:t>
      </w:r>
      <w:r>
        <w:rPr>
          <w:rtl w:val="true"/>
        </w:rPr>
        <w:t xml:space="preserve">קנס לפי הפקודה בסך של </w:t>
      </w:r>
      <w:r>
        <w:rPr/>
        <w:t>2,500</w:t>
      </w:r>
      <w:r>
        <w:rPr>
          <w:rtl w:val="true"/>
        </w:rPr>
        <w:t xml:space="preserve"> </w:t>
      </w:r>
      <w:r>
        <w:rPr>
          <w:rtl w:val="true"/>
        </w:rPr>
        <w:t>ש</w:t>
      </w:r>
      <w:r>
        <w:rPr>
          <w:rtl w:val="true"/>
        </w:rPr>
        <w:t>"</w:t>
      </w:r>
      <w:r>
        <w:rPr>
          <w:rtl w:val="true"/>
        </w:rPr>
        <w:t xml:space="preserve">ח ליום </w:t>
      </w:r>
      <w:r>
        <w:rPr>
          <w:rtl w:val="true"/>
        </w:rPr>
        <w:t>–</w:t>
      </w:r>
      <w:r>
        <w:rPr>
          <w:rtl w:val="true"/>
        </w:rPr>
        <w:t xml:space="preserve"> החל מיום </w:t>
      </w:r>
      <w:r>
        <w:rPr/>
        <w:t>9.7.2017</w:t>
      </w:r>
      <w:r>
        <w:rPr>
          <w:rtl w:val="true"/>
        </w:rPr>
        <w:t xml:space="preserve"> </w:t>
      </w:r>
      <w:r>
        <w:rPr>
          <w:rtl w:val="true"/>
        </w:rPr>
        <w:t xml:space="preserve">ועד ליום </w:t>
      </w:r>
      <w:r>
        <w:rPr/>
        <w:t>27.7.2017</w:t>
      </w:r>
      <w:r>
        <w:rPr>
          <w:rtl w:val="true"/>
        </w:rPr>
        <w:t xml:space="preserve"> </w:t>
      </w:r>
      <w:r>
        <w:rPr>
          <w:rtl w:val="true"/>
        </w:rPr>
        <w:t>ביחס לאי</w:t>
      </w:r>
      <w:r>
        <w:rPr>
          <w:rtl w:val="true"/>
        </w:rPr>
        <w:t>-</w:t>
      </w:r>
      <w:r>
        <w:rPr>
          <w:rtl w:val="true"/>
        </w:rPr>
        <w:t xml:space="preserve">איסופם של המוצרים מושא ההחלטה השנייה מיום </w:t>
      </w:r>
      <w:r>
        <w:rPr/>
        <w:t>13.5.2017</w:t>
      </w:r>
      <w:r>
        <w:rPr>
          <w:rtl w:val="true"/>
        </w:rPr>
        <w:t xml:space="preserve"> (</w:t>
      </w:r>
      <w:r>
        <w:rPr>
          <w:rtl w:val="true"/>
        </w:rPr>
        <w:t>מוצרי שמן</w:t>
      </w:r>
      <w:r>
        <w:rPr>
          <w:rtl w:val="true"/>
        </w:rPr>
        <w:t xml:space="preserve">); </w:t>
      </w:r>
      <w:r>
        <w:rPr>
          <w:rtl w:val="true"/>
        </w:rPr>
        <w:t xml:space="preserve">קנס לפי הפקודה בסך של </w:t>
      </w:r>
      <w:r>
        <w:rPr/>
        <w:t>2,500</w:t>
      </w:r>
      <w:r>
        <w:rPr>
          <w:rtl w:val="true"/>
        </w:rPr>
        <w:t xml:space="preserve"> </w:t>
      </w:r>
      <w:r>
        <w:rPr>
          <w:rtl w:val="true"/>
        </w:rPr>
        <w:t>ש</w:t>
      </w:r>
      <w:r>
        <w:rPr>
          <w:rtl w:val="true"/>
        </w:rPr>
        <w:t>"</w:t>
      </w:r>
      <w:r>
        <w:rPr>
          <w:rtl w:val="true"/>
        </w:rPr>
        <w:t xml:space="preserve">ח ליום </w:t>
      </w:r>
      <w:r>
        <w:rPr>
          <w:rtl w:val="true"/>
        </w:rPr>
        <w:t>–</w:t>
      </w:r>
      <w:r>
        <w:rPr>
          <w:rtl w:val="true"/>
        </w:rPr>
        <w:t xml:space="preserve"> החל מיום </w:t>
      </w:r>
      <w:r>
        <w:rPr/>
        <w:t>9.7.2017</w:t>
      </w:r>
      <w:r>
        <w:rPr>
          <w:rtl w:val="true"/>
        </w:rPr>
        <w:t xml:space="preserve"> </w:t>
      </w:r>
      <w:r>
        <w:rPr>
          <w:rtl w:val="true"/>
        </w:rPr>
        <w:t xml:space="preserve">ועד ליום </w:t>
      </w:r>
      <w:r>
        <w:rPr/>
        <w:t>27.7.2017</w:t>
      </w:r>
      <w:r>
        <w:rPr>
          <w:rtl w:val="true"/>
        </w:rPr>
        <w:t xml:space="preserve"> </w:t>
      </w:r>
      <w:r>
        <w:rPr>
          <w:rtl w:val="true"/>
        </w:rPr>
        <w:t>בשל אי</w:t>
      </w:r>
      <w:r>
        <w:rPr>
          <w:rtl w:val="true"/>
        </w:rPr>
        <w:t>-</w:t>
      </w:r>
      <w:r>
        <w:rPr>
          <w:rtl w:val="true"/>
        </w:rPr>
        <w:t xml:space="preserve">הגשת דוחות כפי שנקבע בהחלטה מיום </w:t>
      </w:r>
      <w:r>
        <w:rPr/>
        <w:t>10.5.2017</w:t>
      </w:r>
      <w:r>
        <w:rPr>
          <w:rtl w:val="true"/>
        </w:rPr>
        <w:t xml:space="preserve">; </w:t>
      </w:r>
      <w:r>
        <w:rPr>
          <w:rtl w:val="true"/>
        </w:rPr>
        <w:t xml:space="preserve">קנס לפי הפקודה בסך של </w:t>
      </w:r>
      <w:r>
        <w:rPr/>
        <w:t>2,500</w:t>
      </w:r>
      <w:r>
        <w:rPr>
          <w:rtl w:val="true"/>
        </w:rPr>
        <w:t xml:space="preserve"> </w:t>
      </w:r>
      <w:r>
        <w:rPr>
          <w:rtl w:val="true"/>
        </w:rPr>
        <w:t>ש</w:t>
      </w:r>
      <w:r>
        <w:rPr>
          <w:rtl w:val="true"/>
        </w:rPr>
        <w:t>"</w:t>
      </w:r>
      <w:r>
        <w:rPr>
          <w:rtl w:val="true"/>
        </w:rPr>
        <w:t xml:space="preserve">ח ליום </w:t>
      </w:r>
      <w:r>
        <w:rPr>
          <w:rtl w:val="true"/>
        </w:rPr>
        <w:t>–</w:t>
      </w:r>
      <w:r>
        <w:rPr>
          <w:rtl w:val="true"/>
        </w:rPr>
        <w:t xml:space="preserve"> החל מיום </w:t>
      </w:r>
      <w:r>
        <w:rPr/>
        <w:t>9.7.2017</w:t>
      </w:r>
      <w:r>
        <w:rPr>
          <w:rtl w:val="true"/>
        </w:rPr>
        <w:t xml:space="preserve"> </w:t>
      </w:r>
      <w:r>
        <w:rPr>
          <w:rtl w:val="true"/>
        </w:rPr>
        <w:t xml:space="preserve">ועד ליום </w:t>
      </w:r>
      <w:r>
        <w:rPr/>
        <w:t>27.7.2017</w:t>
      </w:r>
      <w:r>
        <w:rPr>
          <w:rtl w:val="true"/>
        </w:rPr>
        <w:t xml:space="preserve"> </w:t>
      </w:r>
      <w:r>
        <w:rPr>
          <w:rtl w:val="true"/>
        </w:rPr>
        <w:t>בשל אי</w:t>
      </w:r>
      <w:r>
        <w:rPr>
          <w:rtl w:val="true"/>
        </w:rPr>
        <w:t>-</w:t>
      </w:r>
      <w:r>
        <w:rPr>
          <w:rtl w:val="true"/>
        </w:rPr>
        <w:t xml:space="preserve">הגשת דוחות כפי שנקבע בהחלטה מיום </w:t>
      </w:r>
      <w:r>
        <w:rPr/>
        <w:t>13.5.2017</w:t>
      </w:r>
      <w:r>
        <w:rPr>
          <w:rtl w:val="true"/>
        </w:rPr>
        <w:t xml:space="preserve">. </w:t>
      </w:r>
      <w:r>
        <w:rPr>
          <w:rtl w:val="true"/>
        </w:rPr>
        <w:t xml:space="preserve">בנוסף לאמור חויבו המבקשים בהוצאות המשיבה בסך של </w:t>
      </w:r>
      <w:r>
        <w:rPr/>
        <w:t>25,000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ברם</w:t>
      </w:r>
      <w:r>
        <w:rPr>
          <w:rtl w:val="true"/>
        </w:rPr>
        <w:t xml:space="preserve">, </w:t>
      </w:r>
      <w:r>
        <w:rPr>
          <w:rtl w:val="true"/>
        </w:rPr>
        <w:t>משלא תוקנו ההפרות</w:t>
      </w:r>
      <w:r>
        <w:rPr>
          <w:rtl w:val="true"/>
        </w:rPr>
        <w:t xml:space="preserve">, </w:t>
      </w:r>
      <w:r>
        <w:rPr>
          <w:rtl w:val="true"/>
        </w:rPr>
        <w:t xml:space="preserve">ביום </w:t>
      </w:r>
      <w:r>
        <w:rPr/>
        <w:t>14.9.2017</w:t>
      </w:r>
      <w:r>
        <w:rPr>
          <w:rtl w:val="true"/>
        </w:rPr>
        <w:t xml:space="preserve"> </w:t>
      </w:r>
      <w:r>
        <w:rPr>
          <w:rtl w:val="true"/>
        </w:rPr>
        <w:t>הגישה המשיבה בקשה רביעית במספר נגד המבקשים על פי הפקודה</w:t>
      </w:r>
      <w:r>
        <w:rPr>
          <w:rtl w:val="true"/>
        </w:rPr>
        <w:t xml:space="preserve">. </w:t>
      </w:r>
      <w:r>
        <w:rPr>
          <w:rtl w:val="true"/>
        </w:rPr>
        <w:t>נטען כי על אף ההחלטות הקודמות שניתנו על ידי בית המשפט</w:t>
      </w:r>
      <w:r>
        <w:rPr>
          <w:rtl w:val="true"/>
        </w:rPr>
        <w:t xml:space="preserve">, </w:t>
      </w:r>
      <w:r>
        <w:rPr>
          <w:rtl w:val="true"/>
        </w:rPr>
        <w:t>ממשיכים המבקשים להפר את הצווים ומבזים את פסק הדין</w:t>
      </w:r>
      <w:r>
        <w:rPr>
          <w:rtl w:val="true"/>
        </w:rPr>
        <w:t xml:space="preserve">. </w:t>
      </w:r>
      <w:r>
        <w:rPr>
          <w:rtl w:val="true"/>
        </w:rPr>
        <w:t xml:space="preserve">ביום </w:t>
      </w:r>
      <w:r>
        <w:rPr/>
        <w:t>29.11.2017</w:t>
      </w:r>
      <w:r>
        <w:rPr>
          <w:rtl w:val="true"/>
        </w:rPr>
        <w:t xml:space="preserve"> </w:t>
      </w:r>
      <w:r>
        <w:rPr>
          <w:rtl w:val="true"/>
        </w:rPr>
        <w:t xml:space="preserve">נעתר בית המשפט המחוזי לבקשה </w:t>
      </w:r>
      <w:r>
        <w:rPr>
          <w:rtl w:val="true"/>
        </w:rPr>
        <w:t>(</w:t>
      </w:r>
      <w:r>
        <w:rPr>
          <w:rtl w:val="true"/>
        </w:rPr>
        <w:t xml:space="preserve">יצוין כי ההחלטה תוקנה ביום </w:t>
      </w:r>
      <w:r>
        <w:rPr/>
        <w:t>13.12.2017</w:t>
      </w:r>
      <w:r>
        <w:rPr>
          <w:rtl w:val="true"/>
        </w:rPr>
        <w:t xml:space="preserve"> </w:t>
      </w:r>
      <w:r>
        <w:rPr>
          <w:rtl w:val="true"/>
        </w:rPr>
        <w:t>מפני שבמקור הוטל על המבקשים בשוגג כפל קנס</w:t>
      </w:r>
      <w:r>
        <w:rPr>
          <w:rtl w:val="true"/>
        </w:rPr>
        <w:t xml:space="preserve">), </w:t>
      </w:r>
      <w:r>
        <w:rPr>
          <w:rtl w:val="true"/>
        </w:rPr>
        <w:t xml:space="preserve">והוחלט על החמרת הסנקציות שנקבעו בהחלטות מימים </w:t>
      </w:r>
      <w:r>
        <w:rPr/>
        <w:t>10.5.2017</w:t>
      </w:r>
      <w:r>
        <w:rPr>
          <w:rtl w:val="true"/>
        </w:rPr>
        <w:t xml:space="preserve"> </w:t>
      </w:r>
      <w:r>
        <w:rPr>
          <w:rtl w:val="true"/>
        </w:rPr>
        <w:t>ו</w:t>
      </w:r>
      <w:r>
        <w:rPr>
          <w:rtl w:val="true"/>
        </w:rPr>
        <w:t>-</w:t>
      </w:r>
      <w:r>
        <w:rPr/>
        <w:t>13.5.2017</w:t>
      </w:r>
      <w:r>
        <w:rPr>
          <w:rtl w:val="true"/>
        </w:rPr>
        <w:t xml:space="preserve"> </w:t>
      </w:r>
      <w:r>
        <w:rPr>
          <w:rtl w:val="true"/>
        </w:rPr>
        <w:t xml:space="preserve">באופן שעל המבקשים יושת קנס יומי בסך של </w:t>
      </w:r>
      <w:r>
        <w:rPr/>
        <w:t>5,000</w:t>
      </w:r>
      <w:r>
        <w:rPr>
          <w:rtl w:val="true"/>
        </w:rPr>
        <w:t xml:space="preserve"> </w:t>
      </w:r>
      <w:r>
        <w:rPr>
          <w:rtl w:val="true"/>
        </w:rPr>
        <w:t>ש</w:t>
      </w:r>
      <w:r>
        <w:rPr>
          <w:rtl w:val="true"/>
        </w:rPr>
        <w:t>"</w:t>
      </w:r>
      <w:r>
        <w:rPr>
          <w:rtl w:val="true"/>
        </w:rPr>
        <w:t xml:space="preserve">ח </w:t>
      </w:r>
      <w:r>
        <w:rPr>
          <w:rtl w:val="true"/>
        </w:rPr>
        <w:t>(</w:t>
      </w:r>
      <w:r>
        <w:rPr>
          <w:rtl w:val="true"/>
        </w:rPr>
        <w:t>באופן כולל הן על מוצרי השמן והן על יתר המוצרים</w:t>
      </w:r>
      <w:r>
        <w:rPr>
          <w:rtl w:val="true"/>
        </w:rPr>
        <w:t xml:space="preserve">) </w:t>
      </w:r>
      <w:r>
        <w:rPr>
          <w:rtl w:val="true"/>
        </w:rPr>
        <w:t xml:space="preserve">החל מיום </w:t>
      </w:r>
      <w:r>
        <w:rPr/>
        <w:t>28.7.2017</w:t>
      </w:r>
      <w:r>
        <w:rPr>
          <w:rtl w:val="true"/>
        </w:rPr>
        <w:t xml:space="preserve"> </w:t>
      </w:r>
      <w:r>
        <w:rPr>
          <w:rtl w:val="true"/>
        </w:rPr>
        <w:t xml:space="preserve">ועד ליום </w:t>
      </w:r>
      <w:r>
        <w:rPr/>
        <w:t>6.11.2017</w:t>
      </w:r>
      <w:r>
        <w:rPr>
          <w:rtl w:val="true"/>
        </w:rPr>
        <w:t xml:space="preserve">. </w:t>
      </w:r>
      <w:r>
        <w:rPr>
          <w:rtl w:val="true"/>
        </w:rPr>
        <w:t xml:space="preserve">זאת בנוסף לחיוב המבקשים בהוצאות המשיבה בסך של </w:t>
      </w:r>
      <w:r>
        <w:rPr/>
        <w:t>50,000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על החלטה זו</w:t>
      </w:r>
      <w:r>
        <w:rPr>
          <w:rtl w:val="true"/>
        </w:rPr>
        <w:t xml:space="preserve">, </w:t>
      </w:r>
      <w:r>
        <w:rPr>
          <w:rtl w:val="true"/>
        </w:rPr>
        <w:t xml:space="preserve">המחייבת את המבקשים בקנס העומד על סך של </w:t>
      </w:r>
      <w:r>
        <w:rPr/>
        <w:t>510,000</w:t>
      </w:r>
      <w:r>
        <w:rPr>
          <w:rtl w:val="true"/>
        </w:rPr>
        <w:t xml:space="preserve"> </w:t>
      </w:r>
      <w:r>
        <w:rPr>
          <w:rtl w:val="true"/>
        </w:rPr>
        <w:t>ש</w:t>
      </w:r>
      <w:r>
        <w:rPr>
          <w:rtl w:val="true"/>
        </w:rPr>
        <w:t>"</w:t>
      </w:r>
      <w:r>
        <w:rPr>
          <w:rtl w:val="true"/>
        </w:rPr>
        <w:t>ח</w:t>
      </w:r>
      <w:r>
        <w:rPr>
          <w:rtl w:val="true"/>
        </w:rPr>
        <w:t xml:space="preserve">, </w:t>
      </w:r>
      <w:r>
        <w:rPr>
          <w:rtl w:val="true"/>
        </w:rPr>
        <w:t>הגישו המבקשים ערעור לבית משפט זה ויחד עמו בקשה לעיכוב ביצוע</w:t>
      </w:r>
      <w:r>
        <w:rPr>
          <w:rtl w:val="true"/>
        </w:rPr>
        <w:t xml:space="preserve">, </w:t>
      </w:r>
      <w:r>
        <w:rPr>
          <w:rtl w:val="true"/>
        </w:rPr>
        <w:t>המונחת לפנַי</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המבקשים</w:t>
      </w:r>
      <w:r>
        <w:rPr>
          <w:rFonts w:ascii="Century" w:hAnsi="Century" w:eastAsia="Century" w:cs="Century"/>
          <w:b/>
          <w:b/>
          <w:spacing w:val="0"/>
          <w:szCs w:val="24"/>
          <w:rtl w:val="true"/>
        </w:rPr>
        <w:t xml:space="preserve"> </w:t>
      </w:r>
    </w:p>
    <w:p>
      <w:pPr>
        <w:pStyle w:val="Ruller41"/>
        <w:numPr>
          <w:ilvl w:val="0"/>
          <w:numId w:val="1"/>
        </w:numPr>
        <w:ind w:end="0"/>
        <w:jc w:val="both"/>
        <w:rPr/>
      </w:pPr>
      <w:r>
        <w:rPr>
          <w:rtl w:val="true"/>
        </w:rPr>
        <w:t xml:space="preserve">המבקשים עותרים לפני בית המשפט שיעשה שימוש בסמכויותיו לפי </w:t>
      </w:r>
      <w:hyperlink r:id="rId14">
        <w:r>
          <w:rPr>
            <w:rStyle w:val="Hyperlink"/>
            <w:color w:val="0000FF"/>
            <w:u w:val="single"/>
            <w:rtl w:val="true"/>
          </w:rPr>
          <w:t>סעיף</w:t>
        </w:r>
        <w:r>
          <w:rPr>
            <w:rStyle w:val="Hyperlink"/>
            <w:color w:val="0000FF"/>
            <w:u w:val="single"/>
            <w:rtl w:val="true"/>
          </w:rPr>
          <w:t xml:space="preserve"> </w:t>
        </w:r>
        <w:r>
          <w:rPr>
            <w:rStyle w:val="Hyperlink"/>
            <w:color w:val="0000FF"/>
            <w:u w:val="single"/>
          </w:rPr>
          <w:t>87</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hyperlink r:id="rId16">
        <w:r>
          <w:rPr>
            <w:rStyle w:val="Hyperlink"/>
            <w:color w:val="0000FF"/>
            <w:u w:val="single"/>
            <w:rtl w:val="true"/>
          </w:rPr>
          <w:t>וסעיף</w:t>
        </w:r>
        <w:r>
          <w:rPr>
            <w:rStyle w:val="Hyperlink"/>
            <w:color w:val="0000FF"/>
            <w:u w:val="single"/>
            <w:rtl w:val="true"/>
          </w:rPr>
          <w:t xml:space="preserve"> </w:t>
        </w:r>
        <w:r>
          <w:rPr>
            <w:rStyle w:val="Hyperlink"/>
            <w:color w:val="0000FF"/>
            <w:u w:val="single"/>
          </w:rPr>
          <w:t>75</w:t>
        </w:r>
      </w:hyperlink>
      <w:r>
        <w:rPr>
          <w:rtl w:val="true"/>
        </w:rPr>
        <w:t xml:space="preserve"> </w:t>
      </w:r>
      <w:r>
        <w:rPr>
          <w:rtl w:val="true"/>
        </w:rPr>
        <w:t>ל</w:t>
      </w:r>
      <w:hyperlink r:id="rId1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ד</w:t>
      </w:r>
      <w:r>
        <w:rPr>
          <w:rtl w:val="true"/>
        </w:rPr>
        <w:t>-</w:t>
      </w:r>
      <w:r>
        <w:rPr/>
        <w:t>1984</w:t>
      </w:r>
      <w:r>
        <w:rPr>
          <w:rtl w:val="true"/>
        </w:rPr>
        <w:t xml:space="preserve">, </w:t>
      </w:r>
      <w:r>
        <w:rPr>
          <w:rtl w:val="true"/>
        </w:rPr>
        <w:t xml:space="preserve">ולהורות על דחיית המועד לביצוע העונש אשר נקבע בהחלטה מיום </w:t>
      </w:r>
      <w:r>
        <w:rPr/>
        <w:t>29.11.2017</w:t>
      </w:r>
      <w:r>
        <w:rPr>
          <w:rtl w:val="true"/>
        </w:rPr>
        <w:t xml:space="preserve">, </w:t>
      </w:r>
      <w:r>
        <w:rPr>
          <w:rtl w:val="true"/>
        </w:rPr>
        <w:t xml:space="preserve">ואשר תוקן ביום </w:t>
      </w:r>
      <w:r>
        <w:rPr/>
        <w:t>13.12.2017</w:t>
      </w:r>
      <w:r>
        <w:rPr>
          <w:rtl w:val="true"/>
        </w:rPr>
        <w:t xml:space="preserve">. </w:t>
      </w:r>
      <w:r>
        <w:rPr>
          <w:rtl w:val="true"/>
        </w:rPr>
        <w:t>זאת לאור סיכויי הערעור הגבוהים והנזק הבלתי הפיך שייגרם להם מתשלום הקנס הגבוה</w:t>
      </w:r>
      <w:r>
        <w:rPr>
          <w:rtl w:val="true"/>
        </w:rPr>
        <w:t>.</w:t>
      </w:r>
    </w:p>
    <w:p>
      <w:pPr>
        <w:pStyle w:val="Ruller4"/>
        <w:ind w:end="0"/>
        <w:jc w:val="both"/>
        <w:rPr/>
      </w:pPr>
      <w:r>
        <w:rPr>
          <w:rtl w:val="true"/>
        </w:rPr>
      </w:r>
    </w:p>
    <w:p>
      <w:pPr>
        <w:pStyle w:val="Ruller41"/>
        <w:numPr>
          <w:ilvl w:val="0"/>
          <w:numId w:val="1"/>
        </w:numPr>
        <w:ind w:end="0"/>
        <w:jc w:val="both"/>
        <w:rPr/>
      </w:pPr>
      <w:r>
        <w:rPr>
          <w:rtl w:val="true"/>
        </w:rPr>
        <w:t>לטענת המבקשים בע</w:t>
      </w:r>
      <w:r>
        <w:rPr>
          <w:rtl w:val="true"/>
        </w:rPr>
        <w:t>"</w:t>
      </w:r>
      <w:r>
        <w:rPr>
          <w:rtl w:val="true"/>
        </w:rPr>
        <w:t xml:space="preserve">פ </w:t>
      </w:r>
      <w:r>
        <w:rPr/>
        <w:t>392/18</w:t>
      </w:r>
      <w:r>
        <w:rPr>
          <w:rtl w:val="true"/>
        </w:rPr>
        <w:t xml:space="preserve">, </w:t>
      </w:r>
      <w:r>
        <w:rPr>
          <w:rtl w:val="true"/>
        </w:rPr>
        <w:t>החברה נקטה בכל האמצעים האפשריים על מנת לאסוף ולהסיר את המוצרים בעלי התווית הישנה</w:t>
      </w:r>
      <w:r>
        <w:rPr>
          <w:rtl w:val="true"/>
        </w:rPr>
        <w:t xml:space="preserve">, </w:t>
      </w:r>
      <w:r>
        <w:rPr>
          <w:rtl w:val="true"/>
        </w:rPr>
        <w:t>והוכיחה בראיות משמעותיות ורבות את המאמצים העילאיים שנעשו על ידה בכדי לקיים את הוראות פסק הדין</w:t>
      </w:r>
      <w:r>
        <w:rPr>
          <w:rtl w:val="true"/>
        </w:rPr>
        <w:t xml:space="preserve">. </w:t>
      </w:r>
      <w:r>
        <w:rPr>
          <w:rtl w:val="true"/>
        </w:rPr>
        <w:t>כך</w:t>
      </w:r>
      <w:r>
        <w:rPr>
          <w:rtl w:val="true"/>
        </w:rPr>
        <w:t xml:space="preserve">, </w:t>
      </w:r>
      <w:r>
        <w:rPr>
          <w:rtl w:val="true"/>
        </w:rPr>
        <w:t>החברה הציגה ראיות להיקף עצום של נקודות מכירה ברחבי הארץ בהן הוסרו מהמדפים המוצרים המפרים</w:t>
      </w:r>
      <w:r>
        <w:rPr>
          <w:rtl w:val="true"/>
        </w:rPr>
        <w:t xml:space="preserve">, </w:t>
      </w:r>
      <w:r>
        <w:rPr>
          <w:rtl w:val="true"/>
        </w:rPr>
        <w:t>תוך שהוקצו לצורך המלאכה כ</w:t>
      </w:r>
      <w:r>
        <w:rPr>
          <w:rtl w:val="true"/>
        </w:rPr>
        <w:t>-</w:t>
      </w:r>
      <w:r>
        <w:rPr/>
        <w:t>30</w:t>
      </w:r>
      <w:r>
        <w:rPr>
          <w:rtl w:val="true"/>
        </w:rPr>
        <w:t xml:space="preserve"> </w:t>
      </w:r>
      <w:r>
        <w:rPr>
          <w:rtl w:val="true"/>
        </w:rPr>
        <w:t>עובדים</w:t>
      </w:r>
      <w:r>
        <w:rPr>
          <w:rtl w:val="true"/>
        </w:rPr>
        <w:t xml:space="preserve">. </w:t>
      </w:r>
      <w:r>
        <w:rPr>
          <w:rtl w:val="true"/>
        </w:rPr>
        <w:t>אלא שחרף המאמצים כאמור</w:t>
      </w:r>
      <w:r>
        <w:rPr>
          <w:rtl w:val="true"/>
        </w:rPr>
        <w:t xml:space="preserve">, </w:t>
      </w:r>
      <w:r>
        <w:rPr>
          <w:rtl w:val="true"/>
        </w:rPr>
        <w:t>הטיל בית המשפט המחוזי על החברה עונש חריג וחסר פרופורציות ביחס להפרה המיוחסת לה</w:t>
      </w:r>
      <w:r>
        <w:rPr>
          <w:rtl w:val="true"/>
        </w:rPr>
        <w:t xml:space="preserve">. </w:t>
      </w:r>
      <w:r>
        <w:rPr>
          <w:rtl w:val="true"/>
        </w:rPr>
        <w:t xml:space="preserve">באשר ליכולתה לשלם את הקנס נטען כי תוצאות פעולותיה של החברה מסתכמות ברווח של </w:t>
      </w:r>
      <w:r>
        <w:rPr/>
        <w:t>22,430</w:t>
      </w:r>
      <w:r>
        <w:rPr>
          <w:rtl w:val="true"/>
        </w:rPr>
        <w:t xml:space="preserve"> </w:t>
      </w:r>
      <w:r>
        <w:rPr>
          <w:rtl w:val="true"/>
        </w:rPr>
        <w:t>ש</w:t>
      </w:r>
      <w:r>
        <w:rPr>
          <w:rtl w:val="true"/>
        </w:rPr>
        <w:t>"</w:t>
      </w:r>
      <w:r>
        <w:rPr>
          <w:rtl w:val="true"/>
        </w:rPr>
        <w:t xml:space="preserve">ח בלבד לתקופה שבין </w:t>
      </w:r>
      <w:r>
        <w:rPr/>
        <w:t>1.1.2017-30.11.2017</w:t>
      </w:r>
      <w:r>
        <w:rPr>
          <w:rtl w:val="true"/>
        </w:rPr>
        <w:t xml:space="preserve">, </w:t>
      </w:r>
      <w:r>
        <w:rPr>
          <w:rtl w:val="true"/>
        </w:rPr>
        <w:t>ועל כן תשלום הסכום האמור לא יאפשר לחברה להמשיך ולפעול כעסק חי ויביא הלכה למעשה לקריסתה</w:t>
      </w:r>
      <w:r>
        <w:rPr>
          <w:rtl w:val="true"/>
        </w:rPr>
        <w:t>.</w:t>
      </w:r>
    </w:p>
    <w:p>
      <w:pPr>
        <w:pStyle w:val="Ruller4"/>
        <w:ind w:end="0"/>
        <w:jc w:val="both"/>
        <w:rPr/>
      </w:pPr>
      <w:r>
        <w:rPr>
          <w:rtl w:val="true"/>
        </w:rPr>
      </w:r>
    </w:p>
    <w:p>
      <w:pPr>
        <w:pStyle w:val="Ruller41"/>
        <w:numPr>
          <w:ilvl w:val="0"/>
          <w:numId w:val="1"/>
        </w:numPr>
        <w:ind w:end="0"/>
        <w:jc w:val="both"/>
        <w:rPr/>
      </w:pPr>
      <w:r>
        <w:rPr>
          <w:rtl w:val="true"/>
        </w:rPr>
        <w:t xml:space="preserve">עוד טוענת החברה כי הסכם </w:t>
      </w:r>
      <w:r>
        <w:rPr/>
        <w:t>2016</w:t>
      </w:r>
      <w:r>
        <w:rPr>
          <w:rtl w:val="true"/>
        </w:rPr>
        <w:t xml:space="preserve"> </w:t>
      </w:r>
      <w:r>
        <w:rPr>
          <w:rtl w:val="true"/>
        </w:rPr>
        <w:t xml:space="preserve">אינו קובע באופן מפורש כי על המבקשים לבצע </w:t>
      </w:r>
      <w:r>
        <w:rPr>
          <w:rtl w:val="true"/>
        </w:rPr>
        <w:t>"</w:t>
      </w:r>
      <w:r>
        <w:rPr/>
        <w:t>recall</w:t>
      </w:r>
      <w:r>
        <w:rPr>
          <w:rtl w:val="true"/>
        </w:rPr>
        <w:t xml:space="preserve">" </w:t>
      </w:r>
      <w:r>
        <w:rPr>
          <w:rtl w:val="true"/>
        </w:rPr>
        <w:t>של הסחורה</w:t>
      </w:r>
      <w:r>
        <w:rPr>
          <w:rtl w:val="true"/>
        </w:rPr>
        <w:t xml:space="preserve">, </w:t>
      </w:r>
      <w:r>
        <w:rPr>
          <w:rtl w:val="true"/>
        </w:rPr>
        <w:t>כלומר</w:t>
      </w:r>
      <w:r>
        <w:rPr>
          <w:rtl w:val="true"/>
        </w:rPr>
        <w:t xml:space="preserve">, </w:t>
      </w:r>
      <w:r>
        <w:rPr>
          <w:rtl w:val="true"/>
        </w:rPr>
        <w:t>התחייבות לפעול באופן לוגיסטי ומאורגן למשיכה אקטיבית של כל הסחורה הישנה מהחנויות</w:t>
      </w:r>
      <w:r>
        <w:rPr>
          <w:rtl w:val="true"/>
        </w:rPr>
        <w:t xml:space="preserve">. </w:t>
      </w:r>
      <w:r>
        <w:rPr>
          <w:rtl w:val="true"/>
        </w:rPr>
        <w:t>נטען כי החברה אינה יכולה לאתר כל מוצר הנושא את התווית הישנה מאחר ובין היתר</w:t>
      </w:r>
      <w:r>
        <w:rPr>
          <w:rtl w:val="true"/>
        </w:rPr>
        <w:t xml:space="preserve">: </w:t>
      </w:r>
      <w:r>
        <w:rPr>
          <w:rtl w:val="true"/>
        </w:rPr>
        <w:t xml:space="preserve">אין תיעוד מאורגן ומפורט לסחורה </w:t>
      </w:r>
      <w:r>
        <w:rPr>
          <w:rtl w:val="true"/>
        </w:rPr>
        <w:t>"</w:t>
      </w:r>
      <w:r>
        <w:rPr>
          <w:rtl w:val="true"/>
        </w:rPr>
        <w:t>הישנה</w:t>
      </w:r>
      <w:r>
        <w:rPr>
          <w:rtl w:val="true"/>
        </w:rPr>
        <w:t xml:space="preserve">" </w:t>
      </w:r>
      <w:r>
        <w:rPr>
          <w:rtl w:val="true"/>
        </w:rPr>
        <w:t>הקיימת על אלפי המדפים</w:t>
      </w:r>
      <w:r>
        <w:rPr>
          <w:rtl w:val="true"/>
        </w:rPr>
        <w:t>; "</w:t>
      </w:r>
      <w:r>
        <w:rPr>
          <w:rtl w:val="true"/>
        </w:rPr>
        <w:t>אנשי השטח</w:t>
      </w:r>
      <w:r>
        <w:rPr>
          <w:rtl w:val="true"/>
        </w:rPr>
        <w:t xml:space="preserve">" </w:t>
      </w:r>
      <w:r>
        <w:rPr>
          <w:rtl w:val="true"/>
        </w:rPr>
        <w:t xml:space="preserve">אינם יודעים להבחין בין הסחורה </w:t>
      </w:r>
      <w:r>
        <w:rPr>
          <w:rtl w:val="true"/>
        </w:rPr>
        <w:t>"</w:t>
      </w:r>
      <w:r>
        <w:rPr>
          <w:rtl w:val="true"/>
        </w:rPr>
        <w:t>הישנה</w:t>
      </w:r>
      <w:r>
        <w:rPr>
          <w:rtl w:val="true"/>
        </w:rPr>
        <w:t xml:space="preserve">" </w:t>
      </w:r>
      <w:r>
        <w:rPr>
          <w:rtl w:val="true"/>
        </w:rPr>
        <w:t>ל</w:t>
      </w:r>
      <w:r>
        <w:rPr>
          <w:rtl w:val="true"/>
        </w:rPr>
        <w:t>"</w:t>
      </w:r>
      <w:r>
        <w:rPr>
          <w:rtl w:val="true"/>
        </w:rPr>
        <w:t>חדשה</w:t>
      </w:r>
      <w:r>
        <w:rPr>
          <w:rtl w:val="true"/>
        </w:rPr>
        <w:t>"; "</w:t>
      </w:r>
      <w:r>
        <w:rPr>
          <w:rtl w:val="true"/>
        </w:rPr>
        <w:t>בשוק</w:t>
      </w:r>
      <w:r>
        <w:rPr>
          <w:rtl w:val="true"/>
        </w:rPr>
        <w:t xml:space="preserve">" </w:t>
      </w:r>
      <w:r>
        <w:rPr>
          <w:rtl w:val="true"/>
        </w:rPr>
        <w:t>קיימות אלפי נקודות מכירה</w:t>
      </w:r>
      <w:r>
        <w:rPr>
          <w:rtl w:val="true"/>
        </w:rPr>
        <w:t xml:space="preserve">, </w:t>
      </w:r>
      <w:r>
        <w:rPr>
          <w:rtl w:val="true"/>
        </w:rPr>
        <w:t>חלקן מהוות יד שלישית לסחורה ששווקה בעוד שלחברה אין כל ידיעה בדבר הימצאות המוצרים בנקודות אלה</w:t>
      </w:r>
      <w:r>
        <w:rPr>
          <w:rtl w:val="true"/>
        </w:rPr>
        <w:t xml:space="preserve">. </w:t>
      </w:r>
      <w:r>
        <w:rPr>
          <w:rtl w:val="true"/>
        </w:rPr>
        <w:t>על סמך העובדה כי איסוף הרמטי ומוחלט אינו אפשרי</w:t>
      </w:r>
      <w:r>
        <w:rPr>
          <w:rtl w:val="true"/>
        </w:rPr>
        <w:t xml:space="preserve">, </w:t>
      </w:r>
      <w:r>
        <w:rPr>
          <w:rtl w:val="true"/>
        </w:rPr>
        <w:t>בית המשפט המחוזי אף קבע כי על המבקשים להשתדל לפעול להסרת המוצרים מן המדפים וכי אין הם מתחייבים לתוצאה אליה יגיעו</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עוד הוסיפה החברה כי בית המשפט המחוזי התעלם מכך שהוא עצמו ביקש לראות אך מאמצים לביצוע פסק הדין</w:t>
      </w:r>
      <w:r>
        <w:rPr>
          <w:rtl w:val="true"/>
        </w:rPr>
        <w:t xml:space="preserve">, </w:t>
      </w:r>
      <w:r>
        <w:rPr>
          <w:rtl w:val="true"/>
        </w:rPr>
        <w:t>ולא הורה בהכרח על הסרה מוחלטת של כלל הטובין</w:t>
      </w:r>
      <w:r>
        <w:rPr>
          <w:rtl w:val="true"/>
        </w:rPr>
        <w:t xml:space="preserve">, </w:t>
      </w:r>
      <w:r>
        <w:rPr>
          <w:rtl w:val="true"/>
        </w:rPr>
        <w:t>תוך שהבהיר כי יש להשקיע את מירב המאמצים באיתור התוויות הישנות בסניפים הגדולים</w:t>
      </w:r>
      <w:r>
        <w:rPr>
          <w:rtl w:val="true"/>
        </w:rPr>
        <w:t xml:space="preserve">. </w:t>
      </w:r>
      <w:r>
        <w:rPr>
          <w:rtl w:val="true"/>
        </w:rPr>
        <w:t xml:space="preserve">עוד נטען כי המשיבה הבהירה שאין בכוונתה לפעול נגד הימצאותם של מוצרים </w:t>
      </w:r>
      <w:r>
        <w:rPr>
          <w:rtl w:val="true"/>
        </w:rPr>
        <w:t>"</w:t>
      </w:r>
      <w:r>
        <w:rPr>
          <w:rtl w:val="true"/>
        </w:rPr>
        <w:t>במדפים נידחים</w:t>
      </w:r>
      <w:r>
        <w:rPr>
          <w:rtl w:val="true"/>
        </w:rPr>
        <w:t xml:space="preserve">". </w:t>
      </w:r>
      <w:r>
        <w:rPr>
          <w:rtl w:val="true"/>
        </w:rPr>
        <w:t>ואולם</w:t>
      </w:r>
      <w:r>
        <w:rPr>
          <w:rtl w:val="true"/>
        </w:rPr>
        <w:t xml:space="preserve">, </w:t>
      </w:r>
      <w:r>
        <w:rPr>
          <w:rtl w:val="true"/>
        </w:rPr>
        <w:t>על אף שאכן בוצעו מאמצים רבים</w:t>
      </w:r>
      <w:r>
        <w:rPr>
          <w:rtl w:val="true"/>
        </w:rPr>
        <w:t xml:space="preserve">, </w:t>
      </w:r>
      <w:r>
        <w:rPr>
          <w:rtl w:val="true"/>
        </w:rPr>
        <w:t>המשיכה המשיבה לעמוד על בקשתה לבזיון</w:t>
      </w:r>
      <w:r>
        <w:rPr>
          <w:rtl w:val="true"/>
        </w:rPr>
        <w:t xml:space="preserve">, </w:t>
      </w:r>
      <w:r>
        <w:rPr>
          <w:rtl w:val="true"/>
        </w:rPr>
        <w:t>מאחר ולשיטתה נמצאו תוויות ישנות ב</w:t>
      </w:r>
      <w:r>
        <w:rPr>
          <w:rtl w:val="true"/>
        </w:rPr>
        <w:t>-</w:t>
      </w:r>
      <w:r>
        <w:rPr/>
        <w:t>2</w:t>
      </w:r>
      <w:r>
        <w:rPr>
          <w:rtl w:val="true"/>
        </w:rPr>
        <w:t xml:space="preserve"> </w:t>
      </w:r>
      <w:r>
        <w:rPr>
          <w:rtl w:val="true"/>
        </w:rPr>
        <w:t>סניפים של רשתות מרכולים</w:t>
      </w:r>
      <w:r>
        <w:rPr>
          <w:rtl w:val="true"/>
        </w:rPr>
        <w:t xml:space="preserve">, </w:t>
      </w:r>
      <w:r>
        <w:rPr>
          <w:rtl w:val="true"/>
        </w:rPr>
        <w:t>וב</w:t>
      </w:r>
      <w:r>
        <w:rPr>
          <w:rtl w:val="true"/>
        </w:rPr>
        <w:t>-</w:t>
      </w:r>
      <w:r>
        <w:rPr/>
        <w:t>14</w:t>
      </w:r>
      <w:r>
        <w:rPr>
          <w:rtl w:val="true"/>
        </w:rPr>
        <w:t xml:space="preserve"> </w:t>
      </w:r>
      <w:r>
        <w:rPr>
          <w:rtl w:val="true"/>
        </w:rPr>
        <w:t>נקודות מכירה קטנות נוספות</w:t>
      </w:r>
      <w:r>
        <w:rPr>
          <w:rtl w:val="true"/>
        </w:rPr>
        <w:t xml:space="preserve">. </w:t>
      </w:r>
      <w:r>
        <w:rPr>
          <w:rtl w:val="true"/>
        </w:rPr>
        <w:t>על כן נטען כי המשיבה עמדה בצורה דווקנית ו</w:t>
      </w:r>
      <w:r>
        <w:rPr>
          <w:rtl w:val="true"/>
        </w:rPr>
        <w:t>"</w:t>
      </w:r>
      <w:r>
        <w:rPr>
          <w:rtl w:val="true"/>
        </w:rPr>
        <w:t>סתמית</w:t>
      </w:r>
      <w:r>
        <w:rPr>
          <w:rtl w:val="true"/>
        </w:rPr>
        <w:t xml:space="preserve">" </w:t>
      </w:r>
      <w:r>
        <w:rPr>
          <w:rtl w:val="true"/>
        </w:rPr>
        <w:t>על בקשתה לבזיון</w:t>
      </w:r>
      <w:r>
        <w:rPr>
          <w:rtl w:val="true"/>
        </w:rPr>
        <w:t xml:space="preserve">, </w:t>
      </w:r>
      <w:r>
        <w:rPr>
          <w:rtl w:val="true"/>
        </w:rPr>
        <w:t>וזאת בניגוד להצהרותיה והתחייבויותיה במסגרת הדיון</w:t>
      </w:r>
      <w:r>
        <w:rPr>
          <w:rtl w:val="true"/>
        </w:rPr>
        <w:t>.</w:t>
      </w:r>
    </w:p>
    <w:p>
      <w:pPr>
        <w:pStyle w:val="Ruller4"/>
        <w:ind w:end="0"/>
        <w:jc w:val="both"/>
        <w:rPr/>
      </w:pPr>
      <w:r>
        <w:rPr>
          <w:rtl w:val="true"/>
        </w:rPr>
      </w:r>
    </w:p>
    <w:p>
      <w:pPr>
        <w:pStyle w:val="Ruller41"/>
        <w:numPr>
          <w:ilvl w:val="0"/>
          <w:numId w:val="1"/>
        </w:numPr>
        <w:ind w:end="0"/>
        <w:jc w:val="both"/>
        <w:rPr/>
      </w:pPr>
      <w:r>
        <w:rPr>
          <w:rtl w:val="true"/>
        </w:rPr>
        <w:t>לטענת המשווקת</w:t>
      </w:r>
      <w:r>
        <w:rPr>
          <w:rtl w:val="true"/>
        </w:rPr>
        <w:t xml:space="preserve">, </w:t>
      </w:r>
      <w:r>
        <w:rPr>
          <w:rtl w:val="true"/>
        </w:rPr>
        <w:t xml:space="preserve">מאחר והיא לא הוגדרה כצד לבקשת הבזיון שבמסגרתה ניתן פסק הדין </w:t>
      </w:r>
      <w:r>
        <w:rPr>
          <w:rtl w:val="true"/>
        </w:rPr>
        <w:t>–</w:t>
      </w:r>
      <w:r>
        <w:rPr>
          <w:rtl w:val="true"/>
        </w:rPr>
        <w:t xml:space="preserve"> לא ניתן היה לחייבה בשום סעד</w:t>
      </w:r>
      <w:r>
        <w:rPr>
          <w:rtl w:val="true"/>
        </w:rPr>
        <w:t xml:space="preserve">. </w:t>
      </w:r>
      <w:r>
        <w:rPr>
          <w:rtl w:val="true"/>
        </w:rPr>
        <w:t>פסק הדין הטיל חובות המצויים באחריותה של החברה בלבד</w:t>
      </w:r>
      <w:r>
        <w:rPr>
          <w:rtl w:val="true"/>
        </w:rPr>
        <w:t xml:space="preserve">, </w:t>
      </w:r>
      <w:r>
        <w:rPr>
          <w:rtl w:val="true"/>
        </w:rPr>
        <w:t>שאין בידי המשווקת לקיימם</w:t>
      </w:r>
      <w:r>
        <w:rPr>
          <w:rtl w:val="true"/>
        </w:rPr>
        <w:t xml:space="preserve">. </w:t>
      </w:r>
      <w:r>
        <w:rPr>
          <w:rtl w:val="true"/>
        </w:rPr>
        <w:t>החברה היא היצרן הבלעדי של המוצרים המפרים ומי שמפיקה את התוויות שעל גביהם</w:t>
      </w:r>
      <w:r>
        <w:rPr>
          <w:rtl w:val="true"/>
        </w:rPr>
        <w:t xml:space="preserve">, </w:t>
      </w:r>
      <w:r>
        <w:rPr>
          <w:rtl w:val="true"/>
        </w:rPr>
        <w:t>ועל כן היא הגורם היחיד שיכול לבצע את השינויים הנדרשים בתוויות</w:t>
      </w:r>
      <w:r>
        <w:rPr>
          <w:rtl w:val="true"/>
        </w:rPr>
        <w:t xml:space="preserve">. </w:t>
      </w:r>
      <w:r>
        <w:rPr>
          <w:rtl w:val="true"/>
        </w:rPr>
        <w:t>המשווקת אינה צד להסכם אשר נכרת בין החברה לבין המשיבה ואין לה כל שליטה על ייצור המוצרים ועל התוויות הנישאות עליהם</w:t>
      </w:r>
      <w:r>
        <w:rPr>
          <w:rtl w:val="true"/>
        </w:rPr>
        <w:t xml:space="preserve">. </w:t>
      </w:r>
      <w:r>
        <w:rPr>
          <w:rtl w:val="true"/>
        </w:rPr>
        <w:t>הלכה היא כי לא ניתן להטיל עונש מכוח הפקודה במקום שבו אכיפת פסק הדין איננה אפשרית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לגופו של עניין טוענת המשווקת כי פסק הדין למעשה קוים ואין כל טעם בהטלת עונש על פי הפקודה</w:t>
      </w:r>
      <w:r>
        <w:rPr>
          <w:rtl w:val="true"/>
        </w:rPr>
        <w:t xml:space="preserve">. </w:t>
      </w:r>
      <w:r>
        <w:rPr>
          <w:rtl w:val="true"/>
        </w:rPr>
        <w:t xml:space="preserve">במסגרת הדיון מיום </w:t>
      </w:r>
      <w:r>
        <w:rPr/>
        <w:t>2.10.2017</w:t>
      </w:r>
      <w:r>
        <w:rPr>
          <w:rtl w:val="true"/>
        </w:rPr>
        <w:t xml:space="preserve"> </w:t>
      </w:r>
      <w:r>
        <w:rPr>
          <w:rtl w:val="true"/>
        </w:rPr>
        <w:t>בית המשפט ביקש לראות שננקטים מירב המאמצים להסרת המוצרים מהרשתות הגדולות בלבד</w:t>
      </w:r>
      <w:r>
        <w:rPr>
          <w:rtl w:val="true"/>
        </w:rPr>
        <w:t xml:space="preserve">. </w:t>
      </w:r>
      <w:r>
        <w:rPr>
          <w:rtl w:val="true"/>
        </w:rPr>
        <w:t>פסק הדין אינו מבהיר מדוע הראיות הרבות שהוצגו ולפיהן בוצעה סריקה בכ</w:t>
      </w:r>
      <w:r>
        <w:rPr>
          <w:rtl w:val="true"/>
        </w:rPr>
        <w:t>-</w:t>
      </w:r>
      <w:r>
        <w:rPr/>
        <w:t>400</w:t>
      </w:r>
      <w:r>
        <w:rPr>
          <w:rtl w:val="true"/>
        </w:rPr>
        <w:t xml:space="preserve"> </w:t>
      </w:r>
      <w:r>
        <w:rPr>
          <w:rtl w:val="true"/>
        </w:rPr>
        <w:t>נקודות מכירה ברחבי הארץ</w:t>
      </w:r>
      <w:r>
        <w:rPr>
          <w:rtl w:val="true"/>
        </w:rPr>
        <w:t xml:space="preserve">, </w:t>
      </w:r>
      <w:r>
        <w:rPr>
          <w:rtl w:val="true"/>
        </w:rPr>
        <w:t xml:space="preserve">ביניהן </w:t>
      </w:r>
      <w:r>
        <w:rPr/>
        <w:t>275</w:t>
      </w:r>
      <w:r>
        <w:rPr>
          <w:rtl w:val="true"/>
        </w:rPr>
        <w:t xml:space="preserve"> </w:t>
      </w:r>
      <w:r>
        <w:rPr>
          <w:rtl w:val="true"/>
        </w:rPr>
        <w:t>סניפים של רשתות גדולות</w:t>
      </w:r>
      <w:r>
        <w:rPr>
          <w:rtl w:val="true"/>
        </w:rPr>
        <w:t xml:space="preserve">, </w:t>
      </w:r>
      <w:r>
        <w:rPr>
          <w:rtl w:val="true"/>
        </w:rPr>
        <w:t>אינן מצביעות על קיום פסק הדין</w:t>
      </w:r>
      <w:r>
        <w:rPr>
          <w:rtl w:val="true"/>
        </w:rPr>
        <w:t xml:space="preserve">. </w:t>
      </w:r>
      <w:r>
        <w:rPr>
          <w:rtl w:val="true"/>
        </w:rPr>
        <w:t>בנוסף</w:t>
      </w:r>
      <w:r>
        <w:rPr>
          <w:rtl w:val="true"/>
        </w:rPr>
        <w:t xml:space="preserve">, </w:t>
      </w:r>
      <w:r>
        <w:rPr>
          <w:rtl w:val="true"/>
        </w:rPr>
        <w:t xml:space="preserve">אף אם היה מקום להטיל על המבקשים קנס </w:t>
      </w:r>
      <w:r>
        <w:rPr>
          <w:rtl w:val="true"/>
        </w:rPr>
        <w:t>–</w:t>
      </w:r>
      <w:r>
        <w:rPr>
          <w:rtl w:val="true"/>
        </w:rPr>
        <w:t xml:space="preserve"> הוא חושב באופן שגוי ובלתי מידתי</w:t>
      </w:r>
      <w:r>
        <w:rPr>
          <w:rtl w:val="true"/>
        </w:rPr>
        <w:t xml:space="preserve">. </w:t>
      </w:r>
      <w:r>
        <w:rPr>
          <w:rtl w:val="true"/>
        </w:rPr>
        <w:t>בית המשפט כלל לא לקח בחשבון את העובדה שאכן בוצעו פעולות רבות לצורך קיום ההסכמות בין הצדדים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עוד נטען כי תשלום הקנס יסב למשווקת נזק כלכלי בלתי הפיך</w:t>
      </w:r>
      <w:r>
        <w:rPr>
          <w:rtl w:val="true"/>
        </w:rPr>
        <w:t xml:space="preserve">, </w:t>
      </w:r>
      <w:r>
        <w:rPr>
          <w:rtl w:val="true"/>
        </w:rPr>
        <w:t>מבלי שתהיה לה יכולת לפנות לחברה</w:t>
      </w:r>
      <w:r>
        <w:rPr>
          <w:rtl w:val="true"/>
        </w:rPr>
        <w:t xml:space="preserve">, </w:t>
      </w:r>
      <w:r>
        <w:rPr>
          <w:rtl w:val="true"/>
        </w:rPr>
        <w:t>האחראית הבלעדית על הדבקת התוויות</w:t>
      </w:r>
      <w:r>
        <w:rPr>
          <w:rtl w:val="true"/>
        </w:rPr>
        <w:t xml:space="preserve">, </w:t>
      </w:r>
      <w:r>
        <w:rPr>
          <w:rtl w:val="true"/>
        </w:rPr>
        <w:t>מאחר שמצבה הכלכלי לא יאפשר לה להשיב את התשלום</w:t>
      </w:r>
      <w:r>
        <w:rPr>
          <w:rtl w:val="true"/>
        </w:rPr>
        <w:t xml:space="preserve">. </w:t>
      </w:r>
      <w:r>
        <w:rPr>
          <w:rtl w:val="true"/>
        </w:rPr>
        <w:t>על כן</w:t>
      </w:r>
      <w:r>
        <w:rPr>
          <w:rtl w:val="true"/>
        </w:rPr>
        <w:t xml:space="preserve">, </w:t>
      </w:r>
      <w:r>
        <w:rPr>
          <w:rtl w:val="true"/>
        </w:rPr>
        <w:t xml:space="preserve">אם ייאלצו המבקשים לשלם את הקנס כבר עתה </w:t>
      </w:r>
      <w:r>
        <w:rPr>
          <w:rtl w:val="true"/>
        </w:rPr>
        <w:t>–</w:t>
      </w:r>
      <w:r>
        <w:rPr>
          <w:rtl w:val="true"/>
        </w:rPr>
        <w:t xml:space="preserve"> המשווקת תישא למעשה בתשלום הקנס לבדה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תגובת</w:t>
      </w:r>
      <w:r>
        <w:rPr>
          <w:rFonts w:ascii="Century" w:hAnsi="Century" w:eastAsia="Century" w:cs="Century"/>
          <w:b/>
          <w:b/>
          <w:spacing w:val="0"/>
          <w:szCs w:val="24"/>
          <w:rtl w:val="true"/>
        </w:rPr>
        <w:t xml:space="preserve"> </w:t>
      </w:r>
      <w:r>
        <w:rPr>
          <w:rFonts w:ascii="Century" w:hAnsi="Century" w:cs="Miriam"/>
          <w:b/>
          <w:b/>
          <w:spacing w:val="0"/>
          <w:szCs w:val="24"/>
          <w:rtl w:val="true"/>
        </w:rPr>
        <w:t>המשיבים</w:t>
      </w:r>
    </w:p>
    <w:p>
      <w:pPr>
        <w:pStyle w:val="Ruller41"/>
        <w:numPr>
          <w:ilvl w:val="0"/>
          <w:numId w:val="1"/>
        </w:numPr>
        <w:ind w:end="0"/>
        <w:jc w:val="both"/>
        <w:rPr/>
      </w:pPr>
      <w:r>
        <w:rPr>
          <w:rtl w:val="true"/>
        </w:rPr>
        <w:t>לטענת המשיבה</w:t>
      </w:r>
      <w:r>
        <w:rPr>
          <w:rtl w:val="true"/>
        </w:rPr>
        <w:t xml:space="preserve">, </w:t>
      </w:r>
      <w:r>
        <w:rPr>
          <w:rtl w:val="true"/>
        </w:rPr>
        <w:t>בתגובתה לדו</w:t>
      </w:r>
      <w:r>
        <w:rPr>
          <w:rtl w:val="true"/>
        </w:rPr>
        <w:t>"</w:t>
      </w:r>
      <w:r>
        <w:rPr>
          <w:rtl w:val="true"/>
        </w:rPr>
        <w:t xml:space="preserve">ח המסכם שהוגש לבית המשפט המחוזי ביום </w:t>
      </w:r>
      <w:r>
        <w:rPr/>
        <w:t>20.10.2017</w:t>
      </w:r>
      <w:r>
        <w:rPr>
          <w:rtl w:val="true"/>
        </w:rPr>
        <w:t xml:space="preserve"> </w:t>
      </w:r>
      <w:r>
        <w:rPr>
          <w:rtl w:val="true"/>
        </w:rPr>
        <w:t>על ידי המבקשים</w:t>
      </w:r>
      <w:r>
        <w:rPr>
          <w:rtl w:val="true"/>
        </w:rPr>
        <w:t xml:space="preserve">, </w:t>
      </w:r>
      <w:r>
        <w:rPr>
          <w:rtl w:val="true"/>
        </w:rPr>
        <w:t xml:space="preserve">היא הראתה כי קיימים </w:t>
      </w:r>
      <w:r>
        <w:rPr/>
        <w:t>16</w:t>
      </w:r>
      <w:r>
        <w:rPr>
          <w:rtl w:val="true"/>
        </w:rPr>
        <w:t xml:space="preserve"> </w:t>
      </w:r>
      <w:r>
        <w:rPr>
          <w:rtl w:val="true"/>
        </w:rPr>
        <w:t>סניפים המלאים בסחורה מפרה</w:t>
      </w:r>
      <w:r>
        <w:rPr>
          <w:rtl w:val="true"/>
        </w:rPr>
        <w:t xml:space="preserve">. </w:t>
      </w:r>
      <w:r>
        <w:rPr>
          <w:rtl w:val="true"/>
        </w:rPr>
        <w:t>זאת</w:t>
      </w:r>
      <w:r>
        <w:rPr>
          <w:rtl w:val="true"/>
        </w:rPr>
        <w:t xml:space="preserve">, </w:t>
      </w:r>
      <w:r>
        <w:rPr>
          <w:rtl w:val="true"/>
        </w:rPr>
        <w:t>בעוד מחצית מן הסניפים האמורים הוצגו על ידי המבקשים כסניפים שאין בהם מוצרים מפרים</w:t>
      </w:r>
      <w:r>
        <w:rPr>
          <w:rtl w:val="true"/>
        </w:rPr>
        <w:t xml:space="preserve">. </w:t>
      </w:r>
      <w:r>
        <w:rPr>
          <w:rtl w:val="true"/>
        </w:rPr>
        <w:t xml:space="preserve">גם טענת המבקשים לפיה בהסכם </w:t>
      </w:r>
      <w:r>
        <w:rPr/>
        <w:t>2016</w:t>
      </w:r>
      <w:r>
        <w:rPr>
          <w:rtl w:val="true"/>
        </w:rPr>
        <w:t xml:space="preserve"> </w:t>
      </w:r>
      <w:r>
        <w:rPr>
          <w:rtl w:val="true"/>
        </w:rPr>
        <w:t>לא נכללה התחייבות אקטיבית לאיסוף המוצרים הינה חסרת בסיס</w:t>
      </w:r>
      <w:r>
        <w:rPr>
          <w:rtl w:val="true"/>
        </w:rPr>
        <w:t xml:space="preserve">. </w:t>
      </w:r>
      <w:r>
        <w:rPr>
          <w:rtl w:val="true"/>
        </w:rPr>
        <w:t xml:space="preserve">במסגרת ההסכמה שפורטה בפרוטוקול הדיון מיום </w:t>
      </w:r>
      <w:r>
        <w:rPr/>
        <w:t>19.6.2016</w:t>
      </w:r>
      <w:r>
        <w:rPr>
          <w:rtl w:val="true"/>
        </w:rPr>
        <w:t xml:space="preserve">, </w:t>
      </w:r>
      <w:r>
        <w:rPr>
          <w:rtl w:val="true"/>
        </w:rPr>
        <w:t>אשר קיבלה תוקף של פסק דין</w:t>
      </w:r>
      <w:r>
        <w:rPr>
          <w:rtl w:val="true"/>
        </w:rPr>
        <w:t xml:space="preserve">, </w:t>
      </w:r>
      <w:r>
        <w:rPr>
          <w:rtl w:val="true"/>
        </w:rPr>
        <w:t xml:space="preserve">נקבע במפורש כי מוצרים הנושאים תוויות שאינן תואמות את ההסכם יוסרו מן המדפים בתוך </w:t>
      </w:r>
      <w:r>
        <w:rPr/>
        <w:t>120</w:t>
      </w:r>
      <w:r>
        <w:rPr>
          <w:rtl w:val="true"/>
        </w:rPr>
        <w:t xml:space="preserve"> </w:t>
      </w:r>
      <w:r>
        <w:rPr>
          <w:rtl w:val="true"/>
        </w:rPr>
        <w:t xml:space="preserve">ימים </w:t>
      </w:r>
      <w:r>
        <w:rPr>
          <w:rtl w:val="true"/>
        </w:rPr>
        <w:t>(</w:t>
      </w:r>
      <w:r>
        <w:rPr>
          <w:rtl w:val="true"/>
        </w:rPr>
        <w:t xml:space="preserve">עבור מוצרי שמן ניתנה ארכה מסוימת ונקבע כי הם יוסרו מן המדפים בתוך </w:t>
      </w:r>
      <w:r>
        <w:rPr/>
        <w:t>150</w:t>
      </w:r>
      <w:r>
        <w:rPr>
          <w:rtl w:val="true"/>
        </w:rPr>
        <w:t xml:space="preserve"> </w:t>
      </w:r>
      <w:r>
        <w:rPr>
          <w:rtl w:val="true"/>
        </w:rPr>
        <w:t>ימים</w:t>
      </w:r>
      <w:r>
        <w:rPr>
          <w:rtl w:val="true"/>
        </w:rPr>
        <w:t xml:space="preserve">). </w:t>
      </w:r>
      <w:r>
        <w:rPr>
          <w:rtl w:val="true"/>
        </w:rPr>
        <w:t>על כן</w:t>
      </w:r>
      <w:r>
        <w:rPr>
          <w:rtl w:val="true"/>
        </w:rPr>
        <w:t xml:space="preserve">, </w:t>
      </w:r>
      <w:r>
        <w:rPr>
          <w:rtl w:val="true"/>
        </w:rPr>
        <w:t xml:space="preserve">לא ברור כיצד הסיקו המבקשים כי הם לקחו על עצמם אך </w:t>
      </w:r>
      <w:r>
        <w:rPr>
          <w:rtl w:val="true"/>
        </w:rPr>
        <w:t>"</w:t>
      </w:r>
      <w:r>
        <w:rPr>
          <w:rtl w:val="true"/>
        </w:rPr>
        <w:t>התחייבות השתדלותית</w:t>
      </w:r>
      <w:r>
        <w:rPr>
          <w:rtl w:val="true"/>
        </w:rPr>
        <w:t xml:space="preserve">" </w:t>
      </w:r>
      <w:r>
        <w:rPr>
          <w:rtl w:val="true"/>
        </w:rPr>
        <w:t>לקיום פסק הדין</w:t>
      </w:r>
      <w:r>
        <w:rPr>
          <w:rtl w:val="true"/>
        </w:rPr>
        <w:t xml:space="preserve">. </w:t>
      </w:r>
      <w:r>
        <w:rPr>
          <w:rtl w:val="true"/>
        </w:rPr>
        <w:t>בנוסף</w:t>
      </w:r>
      <w:r>
        <w:rPr>
          <w:rtl w:val="true"/>
        </w:rPr>
        <w:t xml:space="preserve">, </w:t>
      </w:r>
      <w:r>
        <w:rPr>
          <w:rtl w:val="true"/>
        </w:rPr>
        <w:t>גם לאחר שקיבלו המבקשים כמעט שלושה שבועות נוספים לקיום פסק הדין</w:t>
      </w:r>
      <w:r>
        <w:rPr>
          <w:rtl w:val="true"/>
        </w:rPr>
        <w:t xml:space="preserve">, </w:t>
      </w:r>
      <w:r>
        <w:rPr>
          <w:rtl w:val="true"/>
        </w:rPr>
        <w:t>המשיבה מצאה ראיות נוספות לכך שהוראות פסק הדין לא קוימו</w:t>
      </w:r>
      <w:r>
        <w:rPr>
          <w:rtl w:val="true"/>
        </w:rPr>
        <w:t xml:space="preserve">, </w:t>
      </w:r>
      <w:r>
        <w:rPr>
          <w:rtl w:val="true"/>
        </w:rPr>
        <w:t>וזאת למרות שהמבקשים טענו לפני בית המשפט שקיימו אותן</w:t>
      </w:r>
      <w:r>
        <w:rPr>
          <w:rtl w:val="true"/>
        </w:rPr>
        <w:t xml:space="preserve">. </w:t>
      </w:r>
      <w:r>
        <w:rPr>
          <w:rtl w:val="true"/>
        </w:rPr>
        <w:t>המבקשים אמנם טענו כי מדובר בהפרה זניחה</w:t>
      </w:r>
      <w:r>
        <w:rPr>
          <w:rtl w:val="true"/>
        </w:rPr>
        <w:t xml:space="preserve">, </w:t>
      </w:r>
      <w:r>
        <w:rPr>
          <w:rtl w:val="true"/>
        </w:rPr>
        <w:t>אלא שבמדפים נמצאה סחורה רבה</w:t>
      </w:r>
      <w:r>
        <w:rPr>
          <w:rtl w:val="true"/>
        </w:rPr>
        <w:t xml:space="preserve">, </w:t>
      </w:r>
      <w:r>
        <w:rPr>
          <w:rtl w:val="true"/>
        </w:rPr>
        <w:t>ונמצאה סחורה כאמור גם במקומות שבהם נטען כי ההפרות תוקנו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באשר לטענת המשווקת לפיה היא אינה צד לבקשת הבזיון</w:t>
      </w:r>
      <w:r>
        <w:rPr>
          <w:rtl w:val="true"/>
        </w:rPr>
        <w:t xml:space="preserve">, </w:t>
      </w:r>
      <w:r>
        <w:rPr>
          <w:rtl w:val="true"/>
        </w:rPr>
        <w:t xml:space="preserve">נטען כי היא אכן נגרעה מכותרת הבקשה לבזיון שהוגשה בשנת </w:t>
      </w:r>
      <w:r>
        <w:rPr/>
        <w:t>2017</w:t>
      </w:r>
      <w:r>
        <w:rPr>
          <w:rtl w:val="true"/>
        </w:rPr>
        <w:t xml:space="preserve"> </w:t>
      </w:r>
      <w:r>
        <w:rPr>
          <w:rtl w:val="true"/>
        </w:rPr>
        <w:t>אך זאת רק בשל טעות סופר</w:t>
      </w:r>
      <w:r>
        <w:rPr>
          <w:rtl w:val="true"/>
        </w:rPr>
        <w:t xml:space="preserve">. </w:t>
      </w:r>
      <w:r>
        <w:rPr>
          <w:rtl w:val="true"/>
        </w:rPr>
        <w:t>כך או כך</w:t>
      </w:r>
      <w:r>
        <w:rPr>
          <w:rtl w:val="true"/>
        </w:rPr>
        <w:t xml:space="preserve">, </w:t>
      </w:r>
      <w:r>
        <w:rPr>
          <w:rtl w:val="true"/>
        </w:rPr>
        <w:t xml:space="preserve">המשווקת היא </w:t>
      </w:r>
      <w:r>
        <w:rPr>
          <w:rtl w:val="true"/>
        </w:rPr>
        <w:t>"</w:t>
      </w:r>
      <w:r>
        <w:rPr>
          <w:rtl w:val="true"/>
        </w:rPr>
        <w:t>זר קרוב</w:t>
      </w:r>
      <w:r>
        <w:rPr>
          <w:rtl w:val="true"/>
        </w:rPr>
        <w:t xml:space="preserve">" </w:t>
      </w:r>
      <w:r>
        <w:rPr>
          <w:rtl w:val="true"/>
        </w:rPr>
        <w:t>שיש להחיל עליו בזיון אזרחי של צווי פסק הדין שלא קוימו</w:t>
      </w:r>
      <w:r>
        <w:rPr>
          <w:rtl w:val="true"/>
        </w:rPr>
        <w:t xml:space="preserve">, </w:t>
      </w:r>
      <w:r>
        <w:rPr>
          <w:rtl w:val="true"/>
        </w:rPr>
        <w:t>שכן מעשיה ומחדליה הם המביאים להפרת הצו</w:t>
      </w:r>
      <w:r>
        <w:rPr>
          <w:rtl w:val="true"/>
        </w:rPr>
        <w:t xml:space="preserve">. </w:t>
      </w:r>
      <w:r>
        <w:rPr>
          <w:rtl w:val="true"/>
        </w:rPr>
        <w:t xml:space="preserve">אין כל ספק כי בעל השליטה בה </w:t>
      </w:r>
      <w:r>
        <w:rPr>
          <w:rtl w:val="true"/>
        </w:rPr>
        <w:t>(</w:t>
      </w:r>
      <w:r>
        <w:rPr>
          <w:rtl w:val="true"/>
        </w:rPr>
        <w:t xml:space="preserve">מבקש </w:t>
      </w:r>
      <w:r>
        <w:rPr/>
        <w:t>2</w:t>
      </w:r>
      <w:r>
        <w:rPr>
          <w:rtl w:val="true"/>
        </w:rPr>
        <w:t xml:space="preserve"> </w:t>
      </w:r>
      <w:r>
        <w:rPr>
          <w:rtl w:val="true"/>
        </w:rPr>
        <w:t>ב</w:t>
      </w:r>
      <w:r>
        <w:rPr>
          <w:rtl w:val="true"/>
        </w:rPr>
        <w:t>ע</w:t>
      </w:r>
      <w:r>
        <w:rPr>
          <w:rtl w:val="true"/>
        </w:rPr>
        <w:t>"</w:t>
      </w:r>
      <w:r>
        <w:rPr>
          <w:rtl w:val="true"/>
        </w:rPr>
        <w:t>פ</w:t>
      </w:r>
      <w:r>
        <w:rPr>
          <w:rtl w:val="true"/>
        </w:rPr>
        <w:t xml:space="preserve"> </w:t>
      </w:r>
      <w:r>
        <w:rPr/>
        <w:t>391/18</w:t>
      </w:r>
      <w:r>
        <w:rPr>
          <w:rtl w:val="true"/>
        </w:rPr>
        <w:t xml:space="preserve">) </w:t>
      </w:r>
      <w:r>
        <w:rPr>
          <w:rtl w:val="true"/>
        </w:rPr>
        <w:t>היה צד להליכים שהתנהלו בין הצדדים</w:t>
      </w:r>
      <w:r>
        <w:rPr>
          <w:rtl w:val="true"/>
        </w:rPr>
        <w:t xml:space="preserve">, </w:t>
      </w:r>
      <w:r>
        <w:rPr>
          <w:rtl w:val="true"/>
        </w:rPr>
        <w:t xml:space="preserve">הן בתובענה משנת </w:t>
      </w:r>
      <w:r>
        <w:rPr/>
        <w:t>2011</w:t>
      </w:r>
      <w:r>
        <w:rPr>
          <w:rtl w:val="true"/>
        </w:rPr>
        <w:t xml:space="preserve"> </w:t>
      </w:r>
      <w:r>
        <w:rPr>
          <w:rtl w:val="true"/>
        </w:rPr>
        <w:t xml:space="preserve">והן בתובענה משנת </w:t>
      </w:r>
      <w:r>
        <w:rPr/>
        <w:t>2016</w:t>
      </w:r>
      <w:r>
        <w:rPr>
          <w:rtl w:val="true"/>
        </w:rPr>
        <w:t xml:space="preserve">. </w:t>
      </w:r>
      <w:r>
        <w:rPr>
          <w:rtl w:val="true"/>
        </w:rPr>
        <w:t>די בכך לצורך קישורה כ</w:t>
      </w:r>
      <w:r>
        <w:rPr>
          <w:rtl w:val="true"/>
        </w:rPr>
        <w:t>"</w:t>
      </w:r>
      <w:r>
        <w:rPr>
          <w:rtl w:val="true"/>
        </w:rPr>
        <w:t>זר</w:t>
      </w:r>
      <w:r>
        <w:rPr>
          <w:rtl w:val="true"/>
        </w:rPr>
        <w:t xml:space="preserve">" </w:t>
      </w:r>
      <w:r>
        <w:rPr>
          <w:rtl w:val="true"/>
        </w:rPr>
        <w:t>שנקיטת אמצעים כלפיו נעשית לא כדי להביא אותו לקיום הצו</w:t>
      </w:r>
      <w:r>
        <w:rPr>
          <w:rtl w:val="true"/>
        </w:rPr>
        <w:t xml:space="preserve">, </w:t>
      </w:r>
      <w:r>
        <w:rPr>
          <w:rtl w:val="true"/>
        </w:rPr>
        <w:t>אלא כדי להביא אדם אחר לקיומו</w:t>
      </w:r>
      <w:r>
        <w:rPr>
          <w:rtl w:val="true"/>
        </w:rPr>
        <w:t xml:space="preserve">. </w:t>
      </w:r>
      <w:r>
        <w:rPr>
          <w:rtl w:val="true"/>
        </w:rPr>
        <w:t>בנוסף</w:t>
      </w:r>
      <w:r>
        <w:rPr>
          <w:rtl w:val="true"/>
        </w:rPr>
        <w:t xml:space="preserve">, </w:t>
      </w:r>
      <w:r>
        <w:rPr>
          <w:rtl w:val="true"/>
        </w:rPr>
        <w:t>אין ספק כי מבחינה מהותית המשווקת היא בעלת הדין הנכונה</w:t>
      </w:r>
      <w:r>
        <w:rPr>
          <w:rtl w:val="true"/>
        </w:rPr>
        <w:t xml:space="preserve">: </w:t>
      </w:r>
      <w:r>
        <w:rPr>
          <w:rtl w:val="true"/>
        </w:rPr>
        <w:t>ראשית</w:t>
      </w:r>
      <w:r>
        <w:rPr>
          <w:rtl w:val="true"/>
        </w:rPr>
        <w:t xml:space="preserve">, </w:t>
      </w:r>
      <w:r>
        <w:rPr>
          <w:rtl w:val="true"/>
        </w:rPr>
        <w:t>חלק מהמוצרים המפרים יוצרו עבורה ושווקו על ידה</w:t>
      </w:r>
      <w:r>
        <w:rPr>
          <w:rtl w:val="true"/>
        </w:rPr>
        <w:t xml:space="preserve">, </w:t>
      </w:r>
      <w:r>
        <w:rPr>
          <w:rtl w:val="true"/>
        </w:rPr>
        <w:t>ללא התערבות החברה</w:t>
      </w:r>
      <w:r>
        <w:rPr>
          <w:rtl w:val="true"/>
        </w:rPr>
        <w:t xml:space="preserve">. </w:t>
      </w:r>
      <w:r>
        <w:rPr>
          <w:rtl w:val="true"/>
        </w:rPr>
        <w:t>שנית</w:t>
      </w:r>
      <w:r>
        <w:rPr>
          <w:rtl w:val="true"/>
        </w:rPr>
        <w:t xml:space="preserve">, </w:t>
      </w:r>
      <w:r>
        <w:rPr>
          <w:rtl w:val="true"/>
        </w:rPr>
        <w:t>רק למשווקת יכולת האיסוף מהשוק</w:t>
      </w:r>
      <w:r>
        <w:rPr>
          <w:rtl w:val="true"/>
        </w:rPr>
        <w:t xml:space="preserve">, </w:t>
      </w:r>
      <w:r>
        <w:rPr>
          <w:rtl w:val="true"/>
        </w:rPr>
        <w:t>כמשווקת בלעדית</w:t>
      </w:r>
      <w:r>
        <w:rPr>
          <w:rtl w:val="true"/>
        </w:rPr>
        <w:t xml:space="preserve">. </w:t>
      </w:r>
      <w:r>
        <w:rPr>
          <w:rtl w:val="true"/>
        </w:rPr>
        <w:t>הטענה לפיה למשווקת אין יכולת לקיים את פסק הדין הינה טענה אבסורדית</w:t>
      </w:r>
      <w:r>
        <w:rPr>
          <w:rtl w:val="true"/>
        </w:rPr>
        <w:t xml:space="preserve">, </w:t>
      </w:r>
      <w:r>
        <w:rPr>
          <w:rtl w:val="true"/>
        </w:rPr>
        <w:t>שמקומה אולי במסגרת הערעור על פסק הדין</w:t>
      </w:r>
      <w:r>
        <w:rPr>
          <w:rtl w:val="true"/>
        </w:rPr>
        <w:t xml:space="preserve">, </w:t>
      </w:r>
      <w:r>
        <w:rPr>
          <w:rtl w:val="true"/>
        </w:rPr>
        <w:t>אך לא להליך שעניינו הפרת הצווים</w:t>
      </w:r>
      <w:r>
        <w:rPr>
          <w:rtl w:val="true"/>
        </w:rPr>
        <w:t xml:space="preserve">. </w:t>
      </w:r>
      <w:r>
        <w:rPr>
          <w:rtl w:val="true"/>
        </w:rPr>
        <w:t>הצווים שהופרו עסקו באיסוף סחורה מהשוק</w:t>
      </w:r>
      <w:r>
        <w:rPr>
          <w:rtl w:val="true"/>
        </w:rPr>
        <w:t xml:space="preserve">, </w:t>
      </w:r>
      <w:r>
        <w:rPr>
          <w:rtl w:val="true"/>
        </w:rPr>
        <w:t>לאחר שהופצה על ידי המשווקת</w:t>
      </w:r>
      <w:r>
        <w:rPr>
          <w:rtl w:val="true"/>
        </w:rPr>
        <w:t xml:space="preserve">. </w:t>
      </w:r>
      <w:r>
        <w:rPr>
          <w:rtl w:val="true"/>
        </w:rPr>
        <w:t>בידי המשווקת ובעל השליטה בה היכולת להפסיק להפר את צווי בית המשפט ולסייע לחברה לקיימם</w:t>
      </w:r>
      <w:r>
        <w:rPr>
          <w:rtl w:val="true"/>
        </w:rPr>
        <w:t xml:space="preserve">. </w:t>
      </w:r>
    </w:p>
    <w:p>
      <w:pPr>
        <w:pStyle w:val="Ruller4"/>
        <w:ind w:end="0"/>
        <w:jc w:val="both"/>
        <w:rPr/>
      </w:pPr>
      <w:r>
        <w:rPr>
          <w:rtl w:val="true"/>
        </w:rPr>
      </w:r>
    </w:p>
    <w:p>
      <w:pPr>
        <w:pStyle w:val="Ruller41"/>
        <w:numPr>
          <w:ilvl w:val="0"/>
          <w:numId w:val="1"/>
        </w:numPr>
        <w:ind w:end="0"/>
        <w:jc w:val="both"/>
        <w:rPr/>
      </w:pPr>
      <w:r>
        <w:rPr>
          <w:rFonts w:eastAsia="Garamond"/>
          <w:rtl w:val="true"/>
        </w:rPr>
        <w:t xml:space="preserve"> </w:t>
      </w:r>
      <w:r>
        <w:rPr>
          <w:rtl w:val="true"/>
        </w:rPr>
        <w:t>מעבר לכך שסיכויי הערעור קלושים</w:t>
      </w:r>
      <w:r>
        <w:rPr>
          <w:rtl w:val="true"/>
        </w:rPr>
        <w:t xml:space="preserve">, </w:t>
      </w:r>
      <w:r>
        <w:rPr>
          <w:rtl w:val="true"/>
        </w:rPr>
        <w:t>נטען בנוסף כי מאזן הנוחות נוטה לטובת המשיבה</w:t>
      </w:r>
      <w:r>
        <w:rPr>
          <w:rtl w:val="true"/>
        </w:rPr>
        <w:t xml:space="preserve">. </w:t>
      </w:r>
      <w:r>
        <w:rPr>
          <w:rtl w:val="true"/>
        </w:rPr>
        <w:t>מצבה הכלכלי הרעוע של החברה לא הוכח כדבעי ואף אין כל חשש שנזקם של המבקשים יהיה בלתי הפיך</w:t>
      </w:r>
      <w:r>
        <w:rPr>
          <w:rtl w:val="true"/>
        </w:rPr>
        <w:t xml:space="preserve">, </w:t>
      </w:r>
      <w:r>
        <w:rPr>
          <w:rtl w:val="true"/>
        </w:rPr>
        <w:t>שכן אם אכן תיהפך ההחלטה מושא הערעור הם יוכלו לקבל את כספם בחזרה מהמדינה בנקל</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 xml:space="preserve">גם משיב </w:t>
      </w:r>
      <w:r>
        <w:rPr/>
        <w:t>2</w:t>
      </w:r>
      <w:r>
        <w:rPr>
          <w:rtl w:val="true"/>
        </w:rPr>
        <w:t xml:space="preserve">, </w:t>
      </w:r>
      <w:r>
        <w:rPr>
          <w:rtl w:val="true"/>
        </w:rPr>
        <w:t>המרכז לגביית קנסות</w:t>
      </w:r>
      <w:r>
        <w:rPr>
          <w:rtl w:val="true"/>
        </w:rPr>
        <w:t xml:space="preserve">, </w:t>
      </w:r>
      <w:r>
        <w:rPr>
          <w:rtl w:val="true"/>
        </w:rPr>
        <w:t>אגרות והוצאות</w:t>
      </w:r>
      <w:r>
        <w:rPr>
          <w:rtl w:val="true"/>
        </w:rPr>
        <w:t xml:space="preserve">, </w:t>
      </w:r>
      <w:r>
        <w:rPr>
          <w:rtl w:val="true"/>
        </w:rPr>
        <w:t>הצטרף לעמדה כי אין לקבל את הבקשה</w:t>
      </w:r>
      <w:r>
        <w:rPr>
          <w:rtl w:val="true"/>
        </w:rPr>
        <w:t xml:space="preserve">. </w:t>
      </w:r>
      <w:r>
        <w:rPr>
          <w:rtl w:val="true"/>
        </w:rPr>
        <w:t>כן ציין כי לא התבססה הטענה כי תשלום הקנס יגרום לחברה לנזק בלתי הפיך אשר אין ביכולתה לעמוד בו</w:t>
      </w:r>
      <w:r>
        <w:rPr>
          <w:rtl w:val="true"/>
        </w:rPr>
        <w:t xml:space="preserve">. </w:t>
      </w:r>
      <w:r>
        <w:rPr>
          <w:rtl w:val="true"/>
        </w:rPr>
        <w:t>עוד הוער כי שמורה למבקשים הזכות לפנות למרכז בבקשה לפריסת הקנס לתשלומים</w:t>
      </w:r>
      <w:r>
        <w:rPr>
          <w:rtl w:val="true"/>
        </w:rPr>
        <w:t xml:space="preserve">. </w:t>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1"/>
        </w:numPr>
        <w:ind w:end="0"/>
        <w:jc w:val="both"/>
        <w:rPr/>
      </w:pPr>
      <w:r>
        <w:rPr>
          <w:rtl w:val="true"/>
        </w:rPr>
        <w:t>לאחר שעיינתי בהחלטת בית המשפט המחוזי מושא הערעור</w:t>
      </w:r>
      <w:r>
        <w:rPr>
          <w:rtl w:val="true"/>
        </w:rPr>
        <w:t xml:space="preserve">, </w:t>
      </w:r>
      <w:r>
        <w:rPr>
          <w:rtl w:val="true"/>
        </w:rPr>
        <w:t>בשורת ההחלטות ופסקי הדין שניתנו בכלל ההליכים שהתנהלו בין הצדדים לאורך השנים</w:t>
      </w:r>
      <w:r>
        <w:rPr>
          <w:rtl w:val="true"/>
        </w:rPr>
        <w:t xml:space="preserve">, </w:t>
      </w:r>
      <w:r>
        <w:rPr>
          <w:rtl w:val="true"/>
        </w:rPr>
        <w:t>בבקשות על נספחיהן ובתגובות המשיבים</w:t>
      </w:r>
      <w:r>
        <w:rPr>
          <w:rtl w:val="true"/>
        </w:rPr>
        <w:t xml:space="preserve">, </w:t>
      </w:r>
      <w:r>
        <w:rPr>
          <w:rtl w:val="true"/>
        </w:rPr>
        <w:t>מצאתי כי דין הבקשות להידחות</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על אף אופיו הפלילי של הליך בזיון בית המשפט</w:t>
      </w:r>
      <w:r>
        <w:rPr>
          <w:rtl w:val="true"/>
        </w:rPr>
        <w:t xml:space="preserve">, </w:t>
      </w:r>
      <w:r>
        <w:rPr>
          <w:rtl w:val="true"/>
        </w:rPr>
        <w:t>הלכה היא כי השיקולים המנחים לצורך הכרעה בבקשה לעיכוב ביצוע החלטת בזיון בית משפט</w:t>
      </w:r>
      <w:r>
        <w:rPr>
          <w:rtl w:val="true"/>
        </w:rPr>
        <w:t xml:space="preserve">, </w:t>
      </w:r>
      <w:r>
        <w:rPr>
          <w:rtl w:val="true"/>
        </w:rPr>
        <w:t xml:space="preserve">דומים לאלו המנחים בהכרעה בבקשה לעיכוב ביצוע פסק דין אזרחי </w:t>
      </w:r>
      <w:r>
        <w:rPr>
          <w:rtl w:val="true"/>
        </w:rPr>
        <w:t>(</w:t>
      </w:r>
      <w:hyperlink r:id="rId18">
        <w:bookmarkStart w:id="18" w:name="Text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7029/11</w:t>
        </w:r>
      </w:hyperlink>
      <w:r>
        <w:rPr>
          <w:rFonts w:cs="Century" w:ascii="Century" w:hAnsi="Century"/>
          <w:sz w:val="22"/>
          <w:rtl w:val="true"/>
        </w:rPr>
        <w:t xml:space="preserve"> </w:t>
      </w:r>
      <w:r>
        <w:rPr>
          <w:rFonts w:ascii="Century" w:hAnsi="Century" w:cs="Miriam"/>
          <w:b/>
          <w:b/>
          <w:spacing w:val="0"/>
          <w:sz w:val="22"/>
          <w:sz w:val="22"/>
          <w:szCs w:val="24"/>
          <w:rtl w:val="true"/>
        </w:rPr>
        <w:t>ועדת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הזכאות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hyperlink r:id="rId19">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יישום</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תכנית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ההתנתקות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חגור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תעשיות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bookmarkEnd w:id="18"/>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8.1.2011</w:t>
      </w:r>
      <w:r>
        <w:rPr>
          <w:rFonts w:cs="Century" w:ascii="Century" w:hAnsi="Century"/>
          <w:sz w:val="22"/>
          <w:rtl w:val="true"/>
        </w:rPr>
        <w:t>)</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4113/17</w:t>
        </w:r>
      </w:hyperlink>
      <w:r>
        <w:rPr>
          <w:rtl w:val="true"/>
        </w:rPr>
        <w:t xml:space="preserve"> </w:t>
      </w:r>
      <w:r>
        <w:rPr>
          <w:rFonts w:ascii="Century" w:hAnsi="Century" w:cs="Miriam"/>
          <w:b/>
          <w:b/>
          <w:spacing w:val="0"/>
          <w:sz w:val="22"/>
          <w:sz w:val="22"/>
          <w:szCs w:val="24"/>
          <w:rtl w:val="true"/>
        </w:rPr>
        <w:t>אנטואן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ורג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שוקחה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8.6.2017</w:t>
      </w:r>
      <w:r>
        <w:rPr>
          <w:rtl w:val="true"/>
        </w:rPr>
        <w:t xml:space="preserve">)). </w:t>
      </w:r>
      <w:r>
        <w:rPr>
          <w:rtl w:val="true"/>
        </w:rPr>
        <w:t>על כן וכידוע</w:t>
      </w:r>
      <w:r>
        <w:rPr>
          <w:rtl w:val="true"/>
        </w:rPr>
        <w:t xml:space="preserve">, </w:t>
      </w:r>
      <w:r>
        <w:rPr>
          <w:rtl w:val="true"/>
        </w:rPr>
        <w:t>נקודת המוצא לדיון בבקשה לעיכוב ביצוע הינה כי אין בהגשת ערעור כדי לעכב את ביצוע ההחלטה עליה מערערים</w:t>
      </w:r>
      <w:r>
        <w:rPr>
          <w:rtl w:val="true"/>
        </w:rPr>
        <w:t xml:space="preserve">. </w:t>
      </w:r>
      <w:r>
        <w:rPr>
          <w:rtl w:val="true"/>
        </w:rPr>
        <w:t>על מבקש עיכוב הביצוע להראות כי סיכויי ערעורו טובים וכי מאזן הנוחות נוטה לטובתו</w:t>
      </w:r>
      <w:r>
        <w:rPr>
          <w:rtl w:val="true"/>
        </w:rPr>
        <w:t xml:space="preserve">, </w:t>
      </w:r>
      <w:r>
        <w:rPr>
          <w:rtl w:val="true"/>
        </w:rPr>
        <w:t>במובן זה שפעולה על פי ההחלטה טרם הכרעה בערעור תקשה באופן ממשי על החזרת המצב לקדמותו</w:t>
      </w:r>
      <w:r>
        <w:rPr>
          <w:rtl w:val="true"/>
        </w:rPr>
        <w:t xml:space="preserve">, </w:t>
      </w:r>
      <w:r>
        <w:rPr>
          <w:rtl w:val="true"/>
        </w:rPr>
        <w:t>אם יזכה המבקש בערעורו</w:t>
      </w:r>
      <w:r>
        <w:rPr>
          <w:rtl w:val="true"/>
        </w:rPr>
        <w:t xml:space="preserve">. </w:t>
      </w:r>
      <w:r>
        <w:rPr>
          <w:rtl w:val="true"/>
        </w:rPr>
        <w:t>משיקולים אלו</w:t>
      </w:r>
      <w:r>
        <w:rPr>
          <w:rtl w:val="true"/>
        </w:rPr>
        <w:t xml:space="preserve">, </w:t>
      </w:r>
      <w:r>
        <w:rPr>
          <w:rtl w:val="true"/>
        </w:rPr>
        <w:t>בית המשפט אינו נוטה להיענות לבקשת עיכוב ביצוע העוסקות בתשלום כספי</w:t>
      </w:r>
      <w:r>
        <w:rPr>
          <w:rtl w:val="true"/>
        </w:rPr>
        <w:t xml:space="preserve">, </w:t>
      </w:r>
      <w:r>
        <w:rPr>
          <w:rtl w:val="true"/>
        </w:rPr>
        <w:t xml:space="preserve">שהרי לרוב ניתן יהיה להחזיר את המצב לקדמותו </w:t>
      </w:r>
      <w:r>
        <w:rPr>
          <w:rtl w:val="true"/>
        </w:rPr>
        <w:t>(</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8451/10</w:t>
        </w:r>
      </w:hyperlink>
      <w:r>
        <w:rPr>
          <w:rtl w:val="true"/>
        </w:rPr>
        <w:t xml:space="preserve"> </w:t>
      </w:r>
      <w:r>
        <w:rPr>
          <w:rFonts w:ascii="Century" w:hAnsi="Century" w:cs="Miriam"/>
          <w:b/>
          <w:b/>
          <w:spacing w:val="0"/>
          <w:sz w:val="22"/>
          <w:sz w:val="22"/>
          <w:szCs w:val="24"/>
          <w:rtl w:val="true"/>
        </w:rPr>
        <w:t>איינשטיין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ייבוא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ייצוא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בינלאומי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tl w:val="true"/>
        </w:rPr>
        <w:t xml:space="preserve"> </w:t>
      </w:r>
      <w:r>
        <w:rPr>
          <w:i/>
          <w:iCs/>
        </w:rPr>
        <w:t>Colgata Palmolive Company</w:t>
      </w:r>
      <w:r>
        <w:rPr>
          <w:i/>
          <w:iCs/>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2.1.2011</w:t>
      </w:r>
      <w:r>
        <w:rPr>
          <w:rtl w:val="true"/>
        </w:rPr>
        <w:t xml:space="preserve">)). </w:t>
      </w:r>
    </w:p>
    <w:p>
      <w:pPr>
        <w:pStyle w:val="Ruller4"/>
        <w:ind w:end="0"/>
        <w:jc w:val="both"/>
        <w:rPr/>
      </w:pPr>
      <w:r>
        <w:rPr>
          <w:rtl w:val="true"/>
        </w:rPr>
      </w:r>
    </w:p>
    <w:p>
      <w:pPr>
        <w:pStyle w:val="Ruller41"/>
        <w:numPr>
          <w:ilvl w:val="0"/>
          <w:numId w:val="1"/>
        </w:numPr>
        <w:ind w:end="0"/>
        <w:jc w:val="both"/>
        <w:rPr>
          <w:rFonts w:ascii="Century" w:hAnsi="Century" w:cs="Century"/>
          <w:sz w:val="22"/>
        </w:rPr>
      </w:pPr>
      <w:r>
        <w:rPr>
          <w:rtl w:val="true"/>
        </w:rPr>
        <w:t>מבלי להרחיב בדבר סיכויי הערעור</w:t>
      </w:r>
      <w:r>
        <w:rPr>
          <w:rtl w:val="true"/>
        </w:rPr>
        <w:t xml:space="preserve">, </w:t>
      </w:r>
      <w:r>
        <w:rPr>
          <w:rtl w:val="true"/>
        </w:rPr>
        <w:t>אציין בקצרה כי מרבית טענות המבקשים נדונו לפני בית המשפט המחוזי</w:t>
      </w:r>
      <w:r>
        <w:rPr>
          <w:rtl w:val="true"/>
        </w:rPr>
        <w:t xml:space="preserve">, </w:t>
      </w:r>
      <w:r>
        <w:rPr>
          <w:rtl w:val="true"/>
        </w:rPr>
        <w:t xml:space="preserve">אשר קבע כי מן הראיות שהוצגו בפניו עולה בבירור כי המבקשים עדיין מפרים את פסק הדין בכך שמוצרים הנושאים תוויות המפרות את ההסכמות שגובשו בין הצדדים וקיבלו תוקף של פסק דין </w:t>
      </w:r>
      <w:r>
        <w:rPr>
          <w:rtl w:val="true"/>
        </w:rPr>
        <w:t>–</w:t>
      </w:r>
      <w:r>
        <w:rPr>
          <w:rtl w:val="true"/>
        </w:rPr>
        <w:t xml:space="preserve"> קיימים עדיין בשוק ונמכרים ברשתות השיווק והמכירה</w:t>
      </w:r>
      <w:r>
        <w:rPr>
          <w:rtl w:val="true"/>
        </w:rPr>
        <w:t xml:space="preserve">. </w:t>
      </w:r>
      <w:r>
        <w:rPr>
          <w:rtl w:val="true"/>
        </w:rPr>
        <w:t>בנוסף</w:t>
      </w:r>
      <w:r>
        <w:rPr>
          <w:rtl w:val="true"/>
        </w:rPr>
        <w:t xml:space="preserve">, </w:t>
      </w:r>
      <w:r>
        <w:rPr>
          <w:rtl w:val="true"/>
        </w:rPr>
        <w:t xml:space="preserve">באשר לטענת המבקשים לפיה ההפרה הנטענת הינה </w:t>
      </w:r>
      <w:r>
        <w:rPr>
          <w:rtl w:val="true"/>
        </w:rPr>
        <w:t>"</w:t>
      </w:r>
      <w:r>
        <w:rPr>
          <w:rtl w:val="true"/>
        </w:rPr>
        <w:t>הפרה זניחה</w:t>
      </w:r>
      <w:r>
        <w:rPr>
          <w:rtl w:val="true"/>
        </w:rPr>
        <w:t xml:space="preserve">", </w:t>
      </w:r>
      <w:r>
        <w:rPr>
          <w:rtl w:val="true"/>
        </w:rPr>
        <w:t>קבע בית המשפט כי בנסיבות העובדתיות שהובאו לפניו לא ניתן לומר כי היקף נקודות המכירה שהמשיבה חוזרת ומוצאת בהם מוצרים המפרים את פסק הדין</w:t>
      </w:r>
      <w:r>
        <w:rPr>
          <w:rtl w:val="true"/>
        </w:rPr>
        <w:t xml:space="preserve">, </w:t>
      </w:r>
      <w:r>
        <w:rPr>
          <w:rtl w:val="true"/>
        </w:rPr>
        <w:t>כמו גם כמות המוצרים המפרים המצויה בהן</w:t>
      </w:r>
      <w:r>
        <w:rPr>
          <w:rtl w:val="true"/>
        </w:rPr>
        <w:t xml:space="preserve">, </w:t>
      </w:r>
      <w:r>
        <w:rPr>
          <w:rtl w:val="true"/>
        </w:rPr>
        <w:t xml:space="preserve">עולה כדי </w:t>
      </w:r>
      <w:r>
        <w:rPr>
          <w:rtl w:val="true"/>
        </w:rPr>
        <w:t>"</w:t>
      </w:r>
      <w:r>
        <w:rPr>
          <w:rtl w:val="true"/>
        </w:rPr>
        <w:t>זוטי דברים</w:t>
      </w:r>
      <w:r>
        <w:rPr>
          <w:rtl w:val="true"/>
        </w:rPr>
        <w:t xml:space="preserve">". </w:t>
      </w:r>
      <w:r>
        <w:rPr>
          <w:rtl w:val="true"/>
        </w:rPr>
        <w:t xml:space="preserve">עוד נשללה טענת המבקשים באשר להיעדר יכולת לקיים את פסק הדין </w:t>
      </w:r>
      <w:r>
        <w:rPr>
          <w:rtl w:val="true"/>
        </w:rPr>
        <w:t>"</w:t>
      </w:r>
      <w:r>
        <w:rPr>
          <w:rtl w:val="true"/>
        </w:rPr>
        <w:t>בצורה הרמטית</w:t>
      </w:r>
      <w:r>
        <w:rPr>
          <w:rtl w:val="true"/>
        </w:rPr>
        <w:t xml:space="preserve">" </w:t>
      </w:r>
      <w:r>
        <w:rPr>
          <w:rtl w:val="true"/>
        </w:rPr>
        <w:t>ואף נקבע כי טענה שכזו אינה עולה בקנה אחד עם החובות המוטלת על פי דין על גורמים דוגמת המבקשים</w:t>
      </w:r>
      <w:r>
        <w:rPr>
          <w:rtl w:val="true"/>
        </w:rPr>
        <w:t xml:space="preserve">, </w:t>
      </w:r>
      <w:r>
        <w:rPr>
          <w:rtl w:val="true"/>
        </w:rPr>
        <w:t>העוסקים בייבוא</w:t>
      </w:r>
      <w:r>
        <w:rPr>
          <w:rtl w:val="true"/>
        </w:rPr>
        <w:t xml:space="preserve">, </w:t>
      </w:r>
      <w:r>
        <w:rPr>
          <w:rtl w:val="true"/>
        </w:rPr>
        <w:t>שיווק והפצה של מוצרי מזון</w:t>
      </w:r>
      <w:r>
        <w:rPr>
          <w:rtl w:val="true"/>
        </w:rPr>
        <w:t xml:space="preserve">. </w:t>
      </w:r>
      <w:r>
        <w:rPr>
          <w:rtl w:val="true"/>
        </w:rPr>
        <w:t>כידוע</w:t>
      </w:r>
      <w:r>
        <w:rPr>
          <w:rtl w:val="true"/>
        </w:rPr>
        <w:t xml:space="preserve">, </w:t>
      </w:r>
      <w:r>
        <w:rPr>
          <w:rtl w:val="true"/>
        </w:rPr>
        <w:t>אין ערכאת הערעור נוטה להתערב בקביעותיה העובדתיות של הערכאה הדיונית</w:t>
      </w:r>
      <w:r>
        <w:rPr>
          <w:rtl w:val="true"/>
        </w:rPr>
        <w:t xml:space="preserve">, </w:t>
      </w:r>
      <w:r>
        <w:rPr>
          <w:rtl w:val="true"/>
        </w:rPr>
        <w:t xml:space="preserve">אלא במקרים חריגים בהם נפל פגם היורד לשורשו של עניין </w:t>
      </w:r>
      <w:r>
        <w:rPr>
          <w:rtl w:val="true"/>
        </w:rPr>
        <w:t>(</w:t>
      </w:r>
      <w:hyperlink r:id="rId2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1872/16</w:t>
        </w:r>
      </w:hyperlink>
      <w:r>
        <w:rPr>
          <w:rFonts w:cs="Century" w:ascii="Century" w:hAnsi="Century"/>
          <w:sz w:val="22"/>
          <w:rtl w:val="true"/>
        </w:rPr>
        <w:t xml:space="preserve"> </w:t>
      </w:r>
      <w:r>
        <w:rPr>
          <w:rFonts w:ascii="Century" w:hAnsi="Century" w:cs="Miriam"/>
          <w:b/>
          <w:b/>
          <w:spacing w:val="0"/>
          <w:sz w:val="22"/>
          <w:sz w:val="22"/>
          <w:szCs w:val="24"/>
          <w:rtl w:val="true"/>
        </w:rPr>
        <w:t>דז</w:t>
      </w:r>
      <w:r>
        <w:rPr>
          <w:rFonts w:cs="Miriam" w:ascii="Century" w:hAnsi="Century"/>
          <w:b/>
          <w:spacing w:val="0"/>
          <w:sz w:val="22"/>
          <w:szCs w:val="24"/>
          <w:rtl w:val="true"/>
        </w:rPr>
        <w:t>'</w:t>
      </w:r>
      <w:r>
        <w:rPr>
          <w:rFonts w:ascii="Century" w:hAnsi="Century" w:cs="Miriam"/>
          <w:b/>
          <w:b/>
          <w:spacing w:val="0"/>
          <w:sz w:val="22"/>
          <w:sz w:val="22"/>
          <w:szCs w:val="24"/>
          <w:rtl w:val="true"/>
        </w:rPr>
        <w:t>לדטי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18.5.2017</w:t>
      </w:r>
      <w:r>
        <w:rPr>
          <w:rFonts w:cs="Century" w:ascii="Century" w:hAnsi="Century"/>
          <w:sz w:val="22"/>
          <w:rtl w:val="true"/>
        </w:rPr>
        <w:t>);</w:t>
      </w:r>
      <w:r>
        <w:rPr>
          <w:rFonts w:cs="FrankRuehl" w:ascii="FrankRuehl" w:hAnsi="FrankRuehl"/>
          <w:b/>
          <w:bCs/>
          <w:color w:val="000000"/>
          <w:sz w:val="28"/>
          <w:rtl w:val="true"/>
        </w:rPr>
        <w:t xml:space="preserve"> </w:t>
      </w:r>
      <w:hyperlink r:id="rId2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8345/15</w:t>
        </w:r>
      </w:hyperlink>
      <w:r>
        <w:rPr>
          <w:rFonts w:cs="Century" w:ascii="Century" w:hAnsi="Century"/>
          <w:sz w:val="22"/>
          <w:rtl w:val="true"/>
        </w:rPr>
        <w:t xml:space="preserve"> </w:t>
      </w:r>
      <w:r>
        <w:rPr>
          <w:rFonts w:ascii="Century" w:hAnsi="Century" w:cs="Miriam"/>
          <w:b/>
          <w:b/>
          <w:spacing w:val="0"/>
          <w:sz w:val="22"/>
          <w:sz w:val="22"/>
          <w:szCs w:val="24"/>
          <w:rtl w:val="true"/>
        </w:rPr>
        <w:t>אוחנה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19.9.2017</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מבלי להביע עמדה לכאן או לכאן</w:t>
      </w:r>
      <w:r>
        <w:rPr>
          <w:rFonts w:cs="Century" w:ascii="Century" w:hAnsi="Century"/>
          <w:sz w:val="22"/>
          <w:rtl w:val="true"/>
        </w:rPr>
        <w:t xml:space="preserve">, </w:t>
      </w:r>
      <w:r>
        <w:rPr>
          <w:rFonts w:ascii="Century" w:hAnsi="Century" w:cs="Century"/>
          <w:sz w:val="22"/>
          <w:sz w:val="22"/>
          <w:rtl w:val="true"/>
        </w:rPr>
        <w:t>דומני כי הנטל שיהא על המבקשים להוכיח כי בענייננו אכן נפלה טעות מהותית בהחלטת בית המשפט המחוזי</w:t>
      </w:r>
      <w:r>
        <w:rPr>
          <w:rFonts w:cs="Century" w:ascii="Century" w:hAnsi="Century"/>
          <w:sz w:val="22"/>
          <w:rtl w:val="true"/>
        </w:rPr>
        <w:t xml:space="preserve">, </w:t>
      </w:r>
      <w:r>
        <w:rPr>
          <w:rFonts w:ascii="Century" w:hAnsi="Century" w:cs="Century"/>
          <w:sz w:val="22"/>
          <w:sz w:val="22"/>
          <w:rtl w:val="true"/>
        </w:rPr>
        <w:t>הינו נטל כבד</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end="0"/>
        <w:jc w:val="both"/>
        <w:rPr/>
      </w:pPr>
      <w:r>
        <w:rPr>
          <w:rtl w:val="true"/>
        </w:rPr>
        <w:t>בנוסף</w:t>
      </w:r>
      <w:r>
        <w:rPr>
          <w:rtl w:val="true"/>
        </w:rPr>
        <w:t xml:space="preserve">, </w:t>
      </w:r>
      <w:r>
        <w:rPr>
          <w:rtl w:val="true"/>
        </w:rPr>
        <w:t xml:space="preserve">וזה העיקר </w:t>
      </w:r>
      <w:r>
        <w:rPr>
          <w:rtl w:val="true"/>
        </w:rPr>
        <w:t>–</w:t>
      </w:r>
      <w:r>
        <w:rPr>
          <w:rtl w:val="true"/>
        </w:rPr>
        <w:t xml:space="preserve"> לא שוכנעתי כי יש בשיקולי מאזן הנוחות כדי להטות את הכף לטובת המבקשים</w:t>
      </w:r>
      <w:r>
        <w:rPr>
          <w:rtl w:val="true"/>
        </w:rPr>
        <w:t xml:space="preserve">. </w:t>
      </w:r>
      <w:r>
        <w:rPr>
          <w:rtl w:val="true"/>
        </w:rPr>
        <w:t>מושכלות יסוד הם</w:t>
      </w:r>
      <w:r>
        <w:rPr>
          <w:rtl w:val="true"/>
        </w:rPr>
        <w:t xml:space="preserve">, </w:t>
      </w:r>
      <w:r>
        <w:rPr>
          <w:rtl w:val="true"/>
        </w:rPr>
        <w:t>כי הליך בזיון בית משפט אינו הליך עונשי במהותו</w:t>
      </w:r>
      <w:r>
        <w:rPr>
          <w:rtl w:val="true"/>
        </w:rPr>
        <w:t xml:space="preserve">, </w:t>
      </w:r>
      <w:r>
        <w:rPr>
          <w:rtl w:val="true"/>
        </w:rPr>
        <w:t xml:space="preserve">אלא מטרתו העיקרית היא אכיפת ההחלטה השיפוטית שניתנה במבט צופה עתיד </w:t>
      </w:r>
      <w:r>
        <w:rPr>
          <w:rtl w:val="true"/>
        </w:rPr>
        <w:t>(</w:t>
      </w:r>
      <w:hyperlink r:id="rId2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517/06</w:t>
        </w:r>
      </w:hyperlink>
      <w:r>
        <w:rPr>
          <w:rFonts w:cs="Century" w:ascii="Century" w:hAnsi="Century"/>
          <w:sz w:val="22"/>
          <w:rtl w:val="true"/>
        </w:rPr>
        <w:t xml:space="preserve"> </w:t>
      </w:r>
      <w:r>
        <w:rPr>
          <w:rFonts w:ascii="Century" w:hAnsi="Century" w:cs="Miriam"/>
          <w:b/>
          <w:b/>
          <w:spacing w:val="0"/>
          <w:sz w:val="22"/>
          <w:sz w:val="22"/>
          <w:szCs w:val="24"/>
          <w:rtl w:val="true"/>
        </w:rPr>
        <w:t>מנור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Century" w:ascii="Century" w:hAnsi="Century"/>
          <w:sz w:val="22"/>
          <w:rtl w:val="true"/>
        </w:rPr>
        <w:t xml:space="preserve"> </w:t>
      </w:r>
      <w:r>
        <w:rPr>
          <w:i/>
          <w:iCs/>
        </w:rPr>
        <w:t>KPMG Inc</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24.7.2007</w:t>
      </w:r>
      <w:r>
        <w:rPr>
          <w:rtl w:val="true"/>
        </w:rPr>
        <w:t xml:space="preserve">)). </w:t>
      </w:r>
      <w:r>
        <w:rPr>
          <w:rtl w:val="true"/>
        </w:rPr>
        <w:t>כמפורט לעיל</w:t>
      </w:r>
      <w:r>
        <w:rPr>
          <w:rtl w:val="true"/>
        </w:rPr>
        <w:t xml:space="preserve">, </w:t>
      </w:r>
      <w:r>
        <w:rPr>
          <w:rtl w:val="true"/>
        </w:rPr>
        <w:t>הסכסוך בין הצדדים נמשך מזה שנים ארוכות</w:t>
      </w:r>
      <w:r>
        <w:rPr>
          <w:rtl w:val="true"/>
        </w:rPr>
        <w:t xml:space="preserve">. </w:t>
      </w:r>
      <w:r>
        <w:rPr>
          <w:rtl w:val="true"/>
        </w:rPr>
        <w:t>במהלך השנים הגיעו הצדדים לא אחת להסכמות</w:t>
      </w:r>
      <w:r>
        <w:rPr>
          <w:rtl w:val="true"/>
        </w:rPr>
        <w:t xml:space="preserve">, </w:t>
      </w:r>
      <w:r>
        <w:rPr>
          <w:rtl w:val="true"/>
        </w:rPr>
        <w:t>אשר קיבלו אף תוקף של פסק דין</w:t>
      </w:r>
      <w:r>
        <w:rPr>
          <w:rtl w:val="true"/>
        </w:rPr>
        <w:t xml:space="preserve">. </w:t>
      </w:r>
      <w:r>
        <w:rPr>
          <w:rtl w:val="true"/>
        </w:rPr>
        <w:t>ואולם</w:t>
      </w:r>
      <w:r>
        <w:rPr>
          <w:rtl w:val="true"/>
        </w:rPr>
        <w:t xml:space="preserve">, </w:t>
      </w:r>
      <w:r>
        <w:rPr>
          <w:rtl w:val="true"/>
        </w:rPr>
        <w:t>המשיבות חוזרות ומוכיחות לבית המשפט כי ההסכמות אינן מקוימות על ידי המבקשים</w:t>
      </w:r>
      <w:r>
        <w:rPr>
          <w:rtl w:val="true"/>
        </w:rPr>
        <w:t xml:space="preserve">. </w:t>
      </w:r>
      <w:r>
        <w:rPr>
          <w:rtl w:val="true"/>
        </w:rPr>
        <w:t>כך</w:t>
      </w:r>
      <w:r>
        <w:rPr>
          <w:rtl w:val="true"/>
        </w:rPr>
        <w:t xml:space="preserve">, </w:t>
      </w:r>
      <w:r>
        <w:rPr>
          <w:rtl w:val="true"/>
        </w:rPr>
        <w:t>ההחלטה מושא בקשה זו עוסקת בבקשתה הרביעית של המשיבה על פי הפקודה</w:t>
      </w:r>
      <w:r>
        <w:rPr>
          <w:rtl w:val="true"/>
        </w:rPr>
        <w:t xml:space="preserve">, </w:t>
      </w:r>
      <w:r>
        <w:rPr>
          <w:rtl w:val="true"/>
        </w:rPr>
        <w:t>כאשר גם שלוש הבקשות הקודמות לה התקבלו על ידי בית המשפט המחוזי</w:t>
      </w:r>
      <w:r>
        <w:rPr>
          <w:rtl w:val="true"/>
        </w:rPr>
        <w:t xml:space="preserve">, </w:t>
      </w:r>
      <w:r>
        <w:rPr>
          <w:rtl w:val="true"/>
        </w:rPr>
        <w:t>שאף חייב את המבקשים בקנסות שונים</w:t>
      </w:r>
      <w:r>
        <w:rPr>
          <w:rtl w:val="true"/>
        </w:rPr>
        <w:t xml:space="preserve">. </w:t>
      </w:r>
      <w:r>
        <w:rPr>
          <w:rtl w:val="true"/>
        </w:rPr>
        <w:t>המבקשים קיבלו הארכות רבות לקיום ההסכמים בהם התחייבו</w:t>
      </w:r>
      <w:r>
        <w:rPr>
          <w:rtl w:val="true"/>
        </w:rPr>
        <w:t xml:space="preserve">, </w:t>
      </w:r>
      <w:r>
        <w:rPr>
          <w:rtl w:val="true"/>
        </w:rPr>
        <w:t>אלא שנקבע כי כל אלו לא הועילו והמשיבה נותרה חסרת אונים פעם אחר פעם</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זאת ועוד</w:t>
      </w:r>
      <w:r>
        <w:rPr>
          <w:rtl w:val="true"/>
        </w:rPr>
        <w:t xml:space="preserve">. </w:t>
      </w:r>
      <w:r>
        <w:rPr>
          <w:rtl w:val="true"/>
        </w:rPr>
        <w:t>כידוע</w:t>
      </w:r>
      <w:r>
        <w:rPr>
          <w:rtl w:val="true"/>
        </w:rPr>
        <w:t xml:space="preserve">, </w:t>
      </w:r>
      <w:r>
        <w:rPr>
          <w:rtl w:val="true"/>
        </w:rPr>
        <w:t xml:space="preserve">הלכה היא כי בית המשפט ימנע מעיכוב ביצועו של תשלום קנס </w:t>
      </w:r>
      <w:r>
        <w:rPr>
          <w:rtl w:val="true"/>
        </w:rPr>
        <w:t>(</w:t>
      </w:r>
      <w:r>
        <w:rPr>
          <w:rtl w:val="true"/>
        </w:rPr>
        <w:t>או כל חיוב כספי</w:t>
      </w:r>
      <w:r>
        <w:rPr>
          <w:rtl w:val="true"/>
        </w:rPr>
        <w:t xml:space="preserve">) </w:t>
      </w:r>
      <w:r>
        <w:rPr>
          <w:rtl w:val="true"/>
        </w:rPr>
        <w:t xml:space="preserve">אשר לגביו ניתן להשיב את המצב לקדמותו אם יתקבל הערעור </w:t>
      </w:r>
      <w:r>
        <w:rPr>
          <w:rtl w:val="true"/>
        </w:rPr>
        <w:t>(</w:t>
      </w:r>
      <w:r>
        <w:rPr>
          <w:rtl w:val="true"/>
        </w:rPr>
        <w:t>ראו למשל</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5957/12</w:t>
        </w:r>
      </w:hyperlink>
      <w:r>
        <w:rPr>
          <w:rtl w:val="true"/>
        </w:rPr>
        <w:t xml:space="preserve"> </w:t>
      </w:r>
      <w:r>
        <w:rPr>
          <w:rFonts w:ascii="Century" w:hAnsi="Century" w:cs="Miriam"/>
          <w:b/>
          <w:b/>
          <w:spacing w:val="0"/>
          <w:sz w:val="22"/>
          <w:sz w:val="22"/>
          <w:szCs w:val="24"/>
          <w:rtl w:val="true"/>
        </w:rPr>
        <w:t>רביזדה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2.1.2013</w:t>
      </w:r>
      <w:r>
        <w:rPr>
          <w:rtl w:val="true"/>
        </w:rPr>
        <w:t>);</w:t>
      </w:r>
      <w:r>
        <w:rPr>
          <w:rFonts w:cs="FrankRuehl" w:ascii="FrankRuehl" w:hAnsi="FrankRuehl"/>
          <w:color w:val="000000"/>
          <w:sz w:val="28"/>
          <w:rtl w:val="true"/>
        </w:rPr>
        <w:t xml:space="preserve"> </w:t>
      </w:r>
      <w:hyperlink r:id="rId26">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4812/15</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עיריית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עזבון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w:t>
      </w:r>
      <w:r>
        <w:rPr>
          <w:rFonts w:cs="Miriam" w:ascii="Century" w:hAnsi="Century"/>
          <w:b/>
          <w:spacing w:val="0"/>
          <w:sz w:val="22"/>
          <w:szCs w:val="24"/>
          <w:rtl w:val="true"/>
        </w:rPr>
        <w:t>"</w:t>
      </w:r>
      <w:r>
        <w:rPr>
          <w:rFonts w:ascii="Century" w:hAnsi="Century" w:cs="Miriam"/>
          <w:b/>
          <w:b/>
          <w:spacing w:val="0"/>
          <w:sz w:val="22"/>
          <w:sz w:val="22"/>
          <w:szCs w:val="24"/>
          <w:rtl w:val="true"/>
        </w:rPr>
        <w:t>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30.8.2015</w:t>
      </w:r>
      <w:r>
        <w:rPr>
          <w:rtl w:val="true"/>
        </w:rPr>
        <w:t xml:space="preserve">); </w:t>
      </w:r>
      <w:hyperlink r:id="rId2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6658/05</w:t>
        </w:r>
      </w:hyperlink>
      <w:r>
        <w:rPr>
          <w:rFonts w:cs="Century" w:ascii="Century" w:hAnsi="Century"/>
          <w:sz w:val="22"/>
          <w:rtl w:val="true"/>
        </w:rPr>
        <w:t xml:space="preserve">‏ </w:t>
      </w:r>
      <w:r>
        <w:rPr>
          <w:rFonts w:ascii="Century" w:hAnsi="Century" w:cs="Miriam"/>
          <w:b/>
          <w:b/>
          <w:spacing w:val="0"/>
          <w:sz w:val="22"/>
          <w:sz w:val="22"/>
          <w:szCs w:val="24"/>
          <w:rtl w:val="true"/>
        </w:rPr>
        <w:t>פרידמן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קבוצת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אופיר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2.10.2005</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בעניינו כאמור מועבר הקנס לקופת המדינה</w:t>
      </w:r>
      <w:r>
        <w:rPr>
          <w:rtl w:val="true"/>
        </w:rPr>
        <w:t xml:space="preserve">. </w:t>
      </w:r>
      <w:r>
        <w:rPr>
          <w:rtl w:val="true"/>
        </w:rPr>
        <w:t>במקרים מסוג זה אין חשש כי המדינה לא תוכל להשיב למבקשים את כספי הקנס אם יזכו בסופו של יום בערעורם</w:t>
      </w:r>
      <w:r>
        <w:rPr>
          <w:rtl w:val="true"/>
        </w:rPr>
        <w:t xml:space="preserve">. </w:t>
      </w:r>
      <w:r>
        <w:rPr>
          <w:rtl w:val="true"/>
        </w:rPr>
        <w:t>גם לא מצאתי כי טענת החברה לפיה תשלום הקנס יביא הלכה למעשה לקריסתה הוכחה ברמה הנדרשת לצורך קבלת הבקשה</w:t>
      </w:r>
      <w:r>
        <w:rPr>
          <w:rtl w:val="true"/>
        </w:rPr>
        <w:t xml:space="preserve">. </w:t>
      </w:r>
      <w:r>
        <w:rPr>
          <w:rtl w:val="true"/>
        </w:rPr>
        <w:t xml:space="preserve">לעניין זה יש להדגיש כי פתוחה הדלת בפני מי מהמבקשים לפנות למרכז לגביית קנסות בבקשה לפי </w:t>
      </w:r>
      <w:hyperlink r:id="rId28">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r>
          <w:rPr>
            <w:rStyle w:val="Hyperlink"/>
            <w:color w:val="0000FF"/>
            <w:u w:val="single"/>
            <w:rtl w:val="true"/>
          </w:rPr>
          <w:t>ב</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המרכז</w:t>
        </w:r>
        <w:r>
          <w:rPr>
            <w:rStyle w:val="Hyperlink"/>
            <w:color w:val="0000FF"/>
            <w:u w:val="single"/>
            <w:rtl w:val="true"/>
          </w:rPr>
          <w:t xml:space="preserve"> </w:t>
        </w:r>
        <w:r>
          <w:rPr>
            <w:rStyle w:val="Hyperlink"/>
            <w:color w:val="0000FF"/>
            <w:u w:val="single"/>
            <w:rtl w:val="true"/>
          </w:rPr>
          <w:t>לגביית</w:t>
        </w:r>
        <w:r>
          <w:rPr>
            <w:rStyle w:val="Hyperlink"/>
            <w:color w:val="0000FF"/>
            <w:u w:val="single"/>
            <w:rtl w:val="true"/>
          </w:rPr>
          <w:t xml:space="preserve"> </w:t>
        </w:r>
        <w:r>
          <w:rPr>
            <w:rStyle w:val="Hyperlink"/>
            <w:color w:val="0000FF"/>
            <w:u w:val="single"/>
            <w:rtl w:val="true"/>
          </w:rPr>
          <w:t>קנסות</w:t>
        </w:r>
        <w:r>
          <w:rPr>
            <w:rStyle w:val="Hyperlink"/>
            <w:color w:val="0000FF"/>
            <w:u w:val="single"/>
            <w:rtl w:val="true"/>
          </w:rPr>
          <w:t xml:space="preserve">, </w:t>
        </w:r>
        <w:r>
          <w:rPr>
            <w:rStyle w:val="Hyperlink"/>
            <w:color w:val="0000FF"/>
            <w:u w:val="single"/>
            <w:rtl w:val="true"/>
          </w:rPr>
          <w:t>אגרות</w:t>
        </w:r>
        <w:r>
          <w:rPr>
            <w:rStyle w:val="Hyperlink"/>
            <w:color w:val="0000FF"/>
            <w:u w:val="single"/>
            <w:rtl w:val="true"/>
          </w:rPr>
          <w:t xml:space="preserve"> </w:t>
        </w:r>
        <w:r>
          <w:rPr>
            <w:rStyle w:val="Hyperlink"/>
            <w:color w:val="0000FF"/>
            <w:u w:val="single"/>
            <w:rtl w:val="true"/>
          </w:rPr>
          <w:t>והוצאות</w:t>
        </w:r>
      </w:hyperlink>
      <w:r>
        <w:rPr>
          <w:rtl w:val="true"/>
        </w:rPr>
        <w:t xml:space="preserve">, </w:t>
      </w:r>
      <w:r>
        <w:rPr>
          <w:rtl w:val="true"/>
        </w:rPr>
        <w:t>התשנ</w:t>
      </w:r>
      <w:r>
        <w:rPr>
          <w:rtl w:val="true"/>
        </w:rPr>
        <w:t>"</w:t>
      </w:r>
      <w:r>
        <w:rPr>
          <w:rtl w:val="true"/>
        </w:rPr>
        <w:t>ה</w:t>
      </w:r>
      <w:r>
        <w:rPr>
          <w:rtl w:val="true"/>
        </w:rPr>
        <w:t>-</w:t>
      </w:r>
      <w:r>
        <w:rPr/>
        <w:t>1995</w:t>
      </w:r>
      <w:r>
        <w:rPr>
          <w:rtl w:val="true"/>
        </w:rPr>
        <w:t xml:space="preserve">, </w:t>
      </w:r>
      <w:r>
        <w:rPr>
          <w:rtl w:val="true"/>
        </w:rPr>
        <w:t>בבקשה לפריסת או דחיית התשלומים</w:t>
      </w:r>
      <w:r>
        <w:rPr>
          <w:rtl w:val="true"/>
        </w:rPr>
        <w:t>.</w:t>
      </w:r>
    </w:p>
    <w:p>
      <w:pPr>
        <w:pStyle w:val="Ruller4"/>
        <w:ind w:end="0"/>
        <w:jc w:val="both"/>
        <w:rPr/>
      </w:pPr>
      <w:r>
        <w:rPr>
          <w:rtl w:val="true"/>
        </w:rPr>
      </w:r>
    </w:p>
    <w:p>
      <w:pPr>
        <w:pStyle w:val="Ruller41"/>
        <w:numPr>
          <w:ilvl w:val="0"/>
          <w:numId w:val="1"/>
        </w:numPr>
        <w:ind w:end="0"/>
        <w:jc w:val="both"/>
        <w:rPr/>
      </w:pPr>
      <w:r>
        <w:rPr>
          <w:rtl w:val="true"/>
        </w:rPr>
        <w:t>בשולי הדברים</w:t>
      </w:r>
      <w:r>
        <w:rPr>
          <w:rtl w:val="true"/>
        </w:rPr>
        <w:t xml:space="preserve">, </w:t>
      </w:r>
      <w:r>
        <w:rPr>
          <w:rtl w:val="true"/>
        </w:rPr>
        <w:t xml:space="preserve">באשר לטענת המשווקת לפיה מאחר והיא לא הוגדרה כצד לבקשת הבזיון שבמסגרתה ניתן פסק הדין </w:t>
      </w:r>
      <w:r>
        <w:rPr>
          <w:rtl w:val="true"/>
        </w:rPr>
        <w:t>–</w:t>
      </w:r>
      <w:r>
        <w:rPr>
          <w:rtl w:val="true"/>
        </w:rPr>
        <w:t xml:space="preserve"> לא ניתן היה לחייבה בשום סעד</w:t>
      </w:r>
      <w:r>
        <w:rPr>
          <w:rtl w:val="true"/>
        </w:rPr>
        <w:t xml:space="preserve">. </w:t>
      </w:r>
      <w:r>
        <w:rPr>
          <w:rtl w:val="true"/>
        </w:rPr>
        <w:t xml:space="preserve">ראשית יש להבהיר כי המשווקת אכן לא נמנתה על המשיבים בתביעה שהוגשה על ידי המשיבה בשנת </w:t>
      </w:r>
      <w:r>
        <w:rPr/>
        <w:t>2011</w:t>
      </w:r>
      <w:r>
        <w:rPr>
          <w:rtl w:val="true"/>
        </w:rPr>
        <w:t xml:space="preserve">, </w:t>
      </w:r>
      <w:r>
        <w:rPr>
          <w:rtl w:val="true"/>
        </w:rPr>
        <w:t>אלא חברה אחרת הנשלטת אף היא על ידי ענאן שמשום</w:t>
      </w:r>
      <w:r>
        <w:rPr>
          <w:rtl w:val="true"/>
        </w:rPr>
        <w:t xml:space="preserve">. </w:t>
      </w:r>
      <w:r>
        <w:rPr>
          <w:rtl w:val="true"/>
        </w:rPr>
        <w:t xml:space="preserve">אלא שההליכים בענייננו נוגעים לתביעה שהוגשה בחודש אפריל </w:t>
      </w:r>
      <w:r>
        <w:rPr/>
        <w:t>2016</w:t>
      </w:r>
      <w:r>
        <w:rPr>
          <w:rtl w:val="true"/>
        </w:rPr>
        <w:t xml:space="preserve">, </w:t>
      </w:r>
      <w:r>
        <w:rPr>
          <w:rtl w:val="true"/>
        </w:rPr>
        <w:t>בה אכן הוגדרה המשווקת כצד לתביעה</w:t>
      </w:r>
      <w:r>
        <w:rPr>
          <w:rtl w:val="true"/>
        </w:rPr>
        <w:t xml:space="preserve">, </w:t>
      </w:r>
      <w:r>
        <w:rPr>
          <w:rtl w:val="true"/>
        </w:rPr>
        <w:t>ואף יוצגה במהלך כל ההליכים שהתנהלו לפני בית המשפט המחוזי על ידי בא</w:t>
      </w:r>
      <w:r>
        <w:rPr>
          <w:rtl w:val="true"/>
        </w:rPr>
        <w:t>-</w:t>
      </w:r>
      <w:r>
        <w:rPr>
          <w:rtl w:val="true"/>
        </w:rPr>
        <w:t>כוח החברה</w:t>
      </w:r>
      <w:r>
        <w:rPr>
          <w:rtl w:val="true"/>
        </w:rPr>
        <w:t xml:space="preserve">. </w:t>
      </w:r>
      <w:r>
        <w:rPr>
          <w:rtl w:val="true"/>
        </w:rPr>
        <w:t>במסגרת אותו הליך</w:t>
      </w:r>
      <w:r>
        <w:rPr>
          <w:rtl w:val="true"/>
        </w:rPr>
        <w:t xml:space="preserve">, </w:t>
      </w:r>
      <w:r>
        <w:rPr>
          <w:rtl w:val="true"/>
        </w:rPr>
        <w:t xml:space="preserve">ביום </w:t>
      </w:r>
      <w:r>
        <w:rPr/>
        <w:t>1.11.2016</w:t>
      </w:r>
      <w:r>
        <w:rPr>
          <w:rtl w:val="true"/>
        </w:rPr>
        <w:t xml:space="preserve"> </w:t>
      </w:r>
      <w:r>
        <w:rPr>
          <w:rtl w:val="true"/>
        </w:rPr>
        <w:t>ניתן תוקף של פסק דין להסכמות אליהן הגיעו הצדדים בנוגע לעיצוב המוצרים המיובאים והמשווקים על ידי המבקשים</w:t>
      </w:r>
      <w:r>
        <w:rPr>
          <w:rtl w:val="true"/>
        </w:rPr>
        <w:t xml:space="preserve">. </w:t>
      </w:r>
      <w:r>
        <w:rPr>
          <w:rtl w:val="true"/>
        </w:rPr>
        <w:t>כאמור</w:t>
      </w:r>
      <w:r>
        <w:rPr>
          <w:rtl w:val="true"/>
        </w:rPr>
        <w:t xml:space="preserve">, </w:t>
      </w:r>
      <w:r>
        <w:rPr>
          <w:rtl w:val="true"/>
        </w:rPr>
        <w:t>משלא עמדו כל המבקשים בהתחייבויותיהם</w:t>
      </w:r>
      <w:r>
        <w:rPr>
          <w:rtl w:val="true"/>
        </w:rPr>
        <w:t xml:space="preserve">, </w:t>
      </w:r>
      <w:r>
        <w:rPr>
          <w:rtl w:val="true"/>
        </w:rPr>
        <w:t xml:space="preserve">הגישה המשיבה ביום </w:t>
      </w:r>
      <w:r>
        <w:rPr/>
        <w:t>25.4.2017</w:t>
      </w:r>
      <w:r>
        <w:rPr>
          <w:rtl w:val="true"/>
        </w:rPr>
        <w:t xml:space="preserve"> </w:t>
      </w:r>
      <w:r>
        <w:rPr>
          <w:rtl w:val="true"/>
        </w:rPr>
        <w:t>בקשה לפי הפקודה</w:t>
      </w:r>
      <w:r>
        <w:rPr>
          <w:rtl w:val="true"/>
        </w:rPr>
        <w:t xml:space="preserve">. </w:t>
      </w:r>
      <w:r>
        <w:rPr>
          <w:rtl w:val="true"/>
        </w:rPr>
        <w:t xml:space="preserve">אלא שלדף הפתיחה בבקשה זו הועתקו בשוגג פרטיהם של המשיבים בתביעה שהוגשה בשנת </w:t>
      </w:r>
      <w:r>
        <w:rPr/>
        <w:t>2011</w:t>
      </w:r>
      <w:r>
        <w:rPr>
          <w:rtl w:val="true"/>
        </w:rPr>
        <w:t xml:space="preserve">, </w:t>
      </w:r>
      <w:r>
        <w:rPr>
          <w:rtl w:val="true"/>
        </w:rPr>
        <w:t>שכאמור</w:t>
      </w:r>
      <w:r>
        <w:rPr>
          <w:rtl w:val="true"/>
        </w:rPr>
        <w:t xml:space="preserve">, </w:t>
      </w:r>
      <w:r>
        <w:rPr>
          <w:rtl w:val="true"/>
        </w:rPr>
        <w:t>אינם כוללים את המשווקת</w:t>
      </w:r>
      <w:r>
        <w:rPr>
          <w:rtl w:val="true"/>
        </w:rPr>
        <w:t xml:space="preserve">. </w:t>
      </w:r>
      <w:r>
        <w:rPr>
          <w:rtl w:val="true"/>
        </w:rPr>
        <w:t>יחד עם זאת</w:t>
      </w:r>
      <w:r>
        <w:rPr>
          <w:rtl w:val="true"/>
        </w:rPr>
        <w:t xml:space="preserve">, </w:t>
      </w:r>
      <w:r>
        <w:rPr>
          <w:rtl w:val="true"/>
        </w:rPr>
        <w:t>ברי כי אכיפת הציות לצווי בית המשפט נתבקשה נגד מי שהצווים נאכפו עליהם</w:t>
      </w:r>
      <w:r>
        <w:rPr>
          <w:rtl w:val="true"/>
        </w:rPr>
        <w:t xml:space="preserve">, </w:t>
      </w:r>
      <w:r>
        <w:rPr>
          <w:rtl w:val="true"/>
        </w:rPr>
        <w:t xml:space="preserve">וביניהם כאמור </w:t>
      </w:r>
      <w:r>
        <w:rPr>
          <w:rtl w:val="true"/>
        </w:rPr>
        <w:t>–</w:t>
      </w:r>
      <w:r>
        <w:rPr>
          <w:rtl w:val="true"/>
        </w:rPr>
        <w:t xml:space="preserve"> המשווקת</w:t>
      </w:r>
      <w:r>
        <w:rPr>
          <w:rtl w:val="true"/>
        </w:rPr>
        <w:t xml:space="preserve">. </w:t>
      </w:r>
      <w:r>
        <w:rPr>
          <w:rtl w:val="true"/>
        </w:rPr>
        <w:t>כך גם סברה המשווקת עצמה לאורך ההליך</w:t>
      </w:r>
      <w:r>
        <w:rPr>
          <w:rtl w:val="true"/>
        </w:rPr>
        <w:t xml:space="preserve">, </w:t>
      </w:r>
      <w:r>
        <w:rPr>
          <w:rtl w:val="true"/>
        </w:rPr>
        <w:t>שכן אין ספק כי הייתה מיוצגת בו ואף לא העלתה טענה פורמלית זו עד היום</w:t>
      </w:r>
      <w:r>
        <w:rPr>
          <w:rtl w:val="true"/>
        </w:rPr>
        <w:t xml:space="preserve">. </w:t>
      </w:r>
      <w:r>
        <w:rPr>
          <w:rtl w:val="true"/>
        </w:rPr>
        <w:t>אף מעבר לאמור יצוין כי הערעור שלצדו הוגשה בקשת עיכוב ביצוע זו</w:t>
      </w:r>
      <w:r>
        <w:rPr>
          <w:rtl w:val="true"/>
        </w:rPr>
        <w:t xml:space="preserve">, </w:t>
      </w:r>
      <w:r>
        <w:rPr>
          <w:rtl w:val="true"/>
        </w:rPr>
        <w:t xml:space="preserve">הוגש על החלטות בית המשפט המחוזי שניתנו במסגרת בקשתה הרביעית של המשיבה לפי הפקודה </w:t>
      </w:r>
      <w:r>
        <w:rPr>
          <w:rtl w:val="true"/>
        </w:rPr>
        <w:t>–</w:t>
      </w:r>
      <w:r>
        <w:rPr>
          <w:rtl w:val="true"/>
        </w:rPr>
        <w:t xml:space="preserve"> אשר במסגרתה אין ספק כי המשווקת נמנית על המשיבים</w:t>
      </w:r>
      <w:r>
        <w:rPr>
          <w:rtl w:val="true"/>
        </w:rPr>
        <w:t xml:space="preserve">. </w:t>
      </w:r>
      <w:r>
        <w:rPr>
          <w:rtl w:val="true"/>
        </w:rPr>
        <w:t>העובדה שההחלטות כולן מתבססות זו על זו אך מחזקת את טענת המשיבה לפיה המשווקת היא בעלת דין המתאימה להיכלל בבקשה</w:t>
      </w:r>
      <w:r>
        <w:rPr>
          <w:rtl w:val="true"/>
        </w:rPr>
        <w:t xml:space="preserve">. </w:t>
      </w:r>
      <w:r>
        <w:rPr>
          <w:rtl w:val="true"/>
        </w:rPr>
        <w:t>למעלה מן הצורך יצוין כי בדיון שהתקיים לפנַי בעל</w:t>
      </w:r>
      <w:r>
        <w:rPr>
          <w:rtl w:val="true"/>
        </w:rPr>
        <w:t>-</w:t>
      </w:r>
      <w:r>
        <w:rPr>
          <w:rtl w:val="true"/>
        </w:rPr>
        <w:t>פה</w:t>
      </w:r>
      <w:r>
        <w:rPr>
          <w:rtl w:val="true"/>
        </w:rPr>
        <w:t xml:space="preserve">, </w:t>
      </w:r>
      <w:r>
        <w:rPr>
          <w:rtl w:val="true"/>
        </w:rPr>
        <w:t>המשווקת לא עמדה על טענת חוסר היריבות האמורה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בהינתן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המצדיקים</w:t>
      </w:r>
      <w:r>
        <w:rPr>
          <w:rFonts w:eastAsia="Arial TUR;Arial" w:cs="Arial TUR;Arial"/>
          <w:rtl w:val="true"/>
        </w:rPr>
        <w:t xml:space="preserve"> </w:t>
      </w:r>
      <w:r>
        <w:rPr>
          <w:rtl w:val="true"/>
        </w:rPr>
        <w:t>עיכוב</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כספי</w:t>
      </w:r>
      <w:r>
        <w:rPr>
          <w:rtl w:val="true"/>
        </w:rPr>
        <w:t xml:space="preserve">. </w:t>
      </w:r>
      <w:r>
        <w:rPr>
          <w:rtl w:val="true"/>
        </w:rPr>
        <w:t>הבקשה</w:t>
      </w:r>
      <w:r>
        <w:rPr>
          <w:rFonts w:eastAsia="Arial TUR;Arial" w:cs="Arial TUR;Arial"/>
          <w:rtl w:val="true"/>
        </w:rPr>
        <w:t xml:space="preserve"> </w:t>
      </w:r>
      <w:r>
        <w:rPr>
          <w:rtl w:val="true"/>
        </w:rPr>
        <w:t>נדחית</w:t>
      </w:r>
      <w:r>
        <w:rPr>
          <w:rFonts w:eastAsia="Arial TUR;Arial" w:cs="Arial TUR;Arial"/>
          <w:rtl w:val="true"/>
        </w:rPr>
        <w:t xml:space="preserve"> </w:t>
      </w:r>
      <w:r>
        <w:rPr>
          <w:rtl w:val="true"/>
        </w:rPr>
        <w:t>אפוא</w:t>
      </w:r>
      <w:r>
        <w:rPr>
          <w:rtl w:val="true"/>
        </w:rPr>
        <w:t>.</w:t>
      </w:r>
    </w:p>
    <w:p>
      <w:pPr>
        <w:pStyle w:val="Ruller4"/>
        <w:ind w:end="0"/>
        <w:jc w:val="both"/>
        <w:rPr/>
      </w:pPr>
      <w:r>
        <w:rPr>
          <w:rtl w:val="true"/>
        </w:rPr>
      </w:r>
    </w:p>
    <w:p>
      <w:pPr>
        <w:pStyle w:val="Ruller4"/>
        <w:ind w:end="0"/>
        <w:jc w:val="both"/>
        <w:rPr/>
      </w:pP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היום</w:t>
      </w:r>
      <w:r>
        <w:rPr>
          <w:rtl w:val="true"/>
        </w:rPr>
        <w:t>, ‏</w:t>
      </w:r>
      <w:r>
        <w:rPr>
          <w:rtl w:val="true"/>
        </w:rPr>
        <w:t>ט</w:t>
      </w:r>
      <w:r>
        <w:rPr>
          <w:rtl w:val="true"/>
        </w:rPr>
        <w:t>"</w:t>
      </w:r>
      <w:r>
        <w:rPr>
          <w:rtl w:val="true"/>
        </w:rPr>
        <w:t>ו</w:t>
      </w:r>
      <w:r>
        <w:rPr>
          <w:rFonts w:eastAsia="Arial TUR;Arial" w:cs="Arial TUR;Arial"/>
          <w:rtl w:val="true"/>
        </w:rPr>
        <w:t xml:space="preserve"> </w:t>
      </w:r>
      <w:r>
        <w:rPr>
          <w:rtl w:val="true"/>
        </w:rPr>
        <w:t>בשבט</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31.1.2018</w:t>
      </w:r>
      <w:r>
        <w:rPr>
          <w:rtl w:val="true"/>
        </w:rPr>
        <w:t xml:space="preserve">). </w:t>
      </w:r>
    </w:p>
    <w:p>
      <w:pPr>
        <w:pStyle w:val="BODYVERDICT"/>
        <w:ind w:end="0"/>
        <w:jc w:val="start"/>
        <w:rPr>
          <w:rFonts w:cs="Miriam"/>
          <w:sz w:val="24"/>
          <w:szCs w:val="24"/>
          <w:u w:val="single"/>
        </w:rPr>
      </w:pPr>
      <w:r>
        <w:rPr>
          <w:rFonts w:cs="Miriam"/>
          <w:sz w:val="24"/>
          <w:szCs w:val="24"/>
          <w:u w:val="single"/>
          <w:rtl w:val="true"/>
        </w:rPr>
      </w:r>
    </w:p>
    <w:p>
      <w:pPr>
        <w:pStyle w:val="Ruller4"/>
        <w:ind w:end="0"/>
        <w:jc w:val="both"/>
        <w:rPr>
          <w:color w:val="FFFFFF"/>
          <w:sz w:val="2"/>
          <w:szCs w:val="2"/>
        </w:rPr>
      </w:pPr>
      <w:bookmarkStart w:id="19" w:name="Start_Write"/>
      <w:bookmarkEnd w:id="19"/>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color w:val="FFFFFF"/>
                <w:sz w:val="2"/>
                <w:szCs w:val="2"/>
              </w:rPr>
            </w:pPr>
            <w:r>
              <w:rPr>
                <w:color w:val="FFFFFF"/>
                <w:sz w:val="2"/>
                <w:szCs w:val="2"/>
              </w:rPr>
              <w:t>54678313</w:t>
            </w:r>
          </w:p>
        </w:tc>
        <w:tc>
          <w:tcPr>
            <w:tcW w:w="2843" w:type="dxa"/>
            <w:tcBorders/>
          </w:tcPr>
          <w:p>
            <w:pPr>
              <w:pStyle w:val="Ruller4"/>
              <w:snapToGrid w:val="false"/>
              <w:ind w:end="0"/>
              <w:jc w:val="center"/>
              <w:rPr>
                <w:color w:val="FFFFFF"/>
                <w:sz w:val="2"/>
                <w:szCs w:val="2"/>
              </w:rPr>
            </w:pPr>
            <w:r>
              <w:rPr>
                <w:color w:val="FFFFFF"/>
                <w:sz w:val="2"/>
                <w:szCs w:val="2"/>
                <w:rtl w:val="true"/>
              </w:rPr>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18003910</w:t>
      </w:r>
      <w:r>
        <w:rPr>
          <w:sz w:val="16"/>
          <w:rtl w:val="true"/>
        </w:rPr>
        <w:t>_</w:t>
      </w:r>
      <w:r>
        <w:rPr>
          <w:sz w:val="16"/>
        </w:rPr>
        <w:t>N02.doc</w:t>
      </w:r>
      <w:r>
        <w:rPr>
          <w:sz w:val="16"/>
          <w:rtl w:val="true"/>
        </w:rPr>
        <w:t xml:space="preserve">   </w:t>
      </w:r>
      <w:r>
        <w:rPr>
          <w:sz w:val="16"/>
          <w:sz w:val="16"/>
          <w:rtl w:val="true"/>
        </w:rPr>
        <w:t>רח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0">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54678313-391/18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2"/>
      <w:footerReference w:type="default" r:id="rId3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391/18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 xml:space="preserve">בני פאוזי שמשום </w:t>
    </w:r>
    <w:r>
      <w:rPr>
        <w:rFonts w:cs="David" w:ascii="David" w:hAnsi="David"/>
        <w:color w:val="000000"/>
        <w:sz w:val="22"/>
        <w:szCs w:val="22"/>
        <w:rtl w:val="true"/>
      </w:rPr>
      <w:t>(</w:t>
    </w:r>
    <w:r>
      <w:rPr>
        <w:rFonts w:cs="David" w:ascii="David" w:hAnsi="David"/>
        <w:color w:val="000000"/>
        <w:sz w:val="22"/>
        <w:szCs w:val="22"/>
      </w:rPr>
      <w:t>2009</w:t>
    </w:r>
    <w:r>
      <w:rPr>
        <w:rFonts w:cs="David" w:ascii="David" w:hAnsi="David"/>
        <w:color w:val="000000"/>
        <w:sz w:val="22"/>
        <w:szCs w:val="22"/>
        <w:rtl w:val="true"/>
      </w:rPr>
      <w:t xml:space="preserve">) </w:t>
    </w:r>
    <w:r>
      <w:rPr>
        <w:rFonts w:ascii="David" w:hAnsi="David"/>
        <w:color w:val="000000"/>
        <w:sz w:val="22"/>
        <w:sz w:val="22"/>
        <w:szCs w:val="22"/>
        <w:rtl w:val="true"/>
      </w:rPr>
      <w:t>בע</w:t>
    </w:r>
    <w:r>
      <w:rPr>
        <w:rFonts w:cs="David" w:ascii="David" w:hAnsi="David"/>
        <w:color w:val="000000"/>
        <w:sz w:val="22"/>
        <w:szCs w:val="22"/>
        <w:rtl w:val="true"/>
      </w:rPr>
      <w:t>"</w:t>
    </w:r>
    <w:r>
      <w:rPr>
        <w:rFonts w:ascii="David" w:hAnsi="David"/>
        <w:color w:val="000000"/>
        <w:sz w:val="22"/>
        <w:sz w:val="22"/>
        <w:szCs w:val="22"/>
        <w:rtl w:val="true"/>
      </w:rPr>
      <w:t>מ נ</w:t>
    </w:r>
    <w:r>
      <w:rPr>
        <w:rFonts w:cs="David" w:ascii="David" w:hAnsi="David"/>
        <w:color w:val="000000"/>
        <w:sz w:val="22"/>
        <w:szCs w:val="22"/>
        <w:rtl w:val="true"/>
      </w:rPr>
      <w:t xml:space="preserve">' </w:t>
    </w:r>
    <w:r>
      <w:rPr>
        <w:rFonts w:ascii="David" w:hAnsi="David"/>
        <w:color w:val="000000"/>
        <w:sz w:val="22"/>
        <w:sz w:val="22"/>
        <w:szCs w:val="22"/>
        <w:rtl w:val="true"/>
      </w:rPr>
      <w:t>בני ג</w:t>
    </w:r>
    <w:r>
      <w:rPr>
        <w:rFonts w:cs="David" w:ascii="David" w:hAnsi="David"/>
        <w:color w:val="000000"/>
        <w:sz w:val="22"/>
        <w:szCs w:val="22"/>
        <w:rtl w:val="true"/>
      </w:rPr>
      <w:t>'</w:t>
    </w:r>
    <w:r>
      <w:rPr>
        <w:rFonts w:ascii="David" w:hAnsi="David"/>
        <w:color w:val="000000"/>
        <w:sz w:val="22"/>
        <w:sz w:val="22"/>
        <w:szCs w:val="22"/>
        <w:rtl w:val="true"/>
      </w:rPr>
      <w:t>ורג</w:t>
    </w:r>
    <w:r>
      <w:rPr>
        <w:rFonts w:cs="David" w:ascii="David" w:hAnsi="David"/>
        <w:color w:val="000000"/>
        <w:sz w:val="22"/>
        <w:szCs w:val="22"/>
        <w:rtl w:val="true"/>
      </w:rPr>
      <w:t xml:space="preserve">' </w:t>
    </w:r>
    <w:r>
      <w:rPr>
        <w:rFonts w:ascii="David" w:hAnsi="David"/>
        <w:color w:val="000000"/>
        <w:sz w:val="22"/>
        <w:sz w:val="22"/>
        <w:szCs w:val="22"/>
        <w:rtl w:val="true"/>
      </w:rPr>
      <w:t>שוקחה בע</w:t>
    </w:r>
    <w:r>
      <w:rPr>
        <w:rFonts w:cs="David" w:ascii="David" w:hAnsi="David"/>
        <w:color w:val="000000"/>
        <w:sz w:val="22"/>
        <w:szCs w:val="22"/>
        <w:rtl w:val="true"/>
      </w:rPr>
      <w:t>"</w:t>
    </w:r>
    <w:r>
      <w:rPr>
        <w:rFonts w:ascii="David" w:hAnsi="David"/>
        <w:color w:val="000000"/>
        <w:sz w:val="22"/>
        <w:sz w:val="22"/>
        <w:szCs w:val="22"/>
        <w:rtl w:val="true"/>
      </w:rPr>
      <w:t>מ</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1">
    <w:name w:val="Ruller 4 ממוספר"/>
    <w:basedOn w:val="Ruller4"/>
    <w:next w:val="Ruller4"/>
    <w:qFormat/>
    <w:pPr>
      <w:numPr>
        <w:ilvl w:val="0"/>
        <w:numId w:val="1"/>
      </w:numPr>
      <w:ind w:hanging="0" w:start="0" w:end="0"/>
      <w:jc w:val="both"/>
    </w:pPr>
    <w:rPr>
      <w:rFonts w:ascii="Garamond" w:hAnsi="Garamond" w:cs="Garamond"/>
      <w:sz w:val="24"/>
    </w:rPr>
  </w:style>
  <w:style w:type="paragraph" w:styleId="ruller311">
    <w:name w:val="ruller 31"/>
    <w:basedOn w:val="Casenameintextbody"/>
    <w:qFormat/>
    <w:pPr>
      <w:ind w:hanging="0" w:start="0" w:end="0"/>
      <w:jc w:val="start"/>
    </w:pPr>
    <w:rPr>
      <w:rFonts w:cs="David"/>
      <w:b w:val="false"/>
      <w:bCs w:val="false"/>
      <w:sz w:val="22"/>
      <w:u w:val="none"/>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4901"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87" TargetMode="External"/><Relationship Id="rId5" Type="http://schemas.openxmlformats.org/officeDocument/2006/relationships/hyperlink" Target="http://www.nevo.co.il/law/74849" TargetMode="External"/><Relationship Id="rId6" Type="http://schemas.openxmlformats.org/officeDocument/2006/relationships/hyperlink" Target="http://www.nevo.co.il/law/74849/75" TargetMode="External"/><Relationship Id="rId7" Type="http://schemas.openxmlformats.org/officeDocument/2006/relationships/hyperlink" Target="http://www.nevo.co.il/law/73887" TargetMode="External"/><Relationship Id="rId8" Type="http://schemas.openxmlformats.org/officeDocument/2006/relationships/hyperlink" Target="http://www.nevo.co.il/law/75003" TargetMode="External"/><Relationship Id="rId9" Type="http://schemas.openxmlformats.org/officeDocument/2006/relationships/hyperlink" Target="http://www.nevo.co.il/law/75003/5b.a" TargetMode="External"/><Relationship Id="rId10" Type="http://schemas.openxmlformats.org/officeDocument/2006/relationships/hyperlink" Target="http://www.nevo.co.il/law/74901" TargetMode="External"/><Relationship Id="rId11" Type="http://schemas.openxmlformats.org/officeDocument/2006/relationships/hyperlink" Target="http://www.nevo.co.il/case/2742789" TargetMode="External"/><Relationship Id="rId12" Type="http://schemas.openxmlformats.org/officeDocument/2006/relationships/hyperlink" Target="http://www.nevo.co.il/case/21318934" TargetMode="External"/><Relationship Id="rId13" Type="http://schemas.openxmlformats.org/officeDocument/2006/relationships/hyperlink" Target="http://www.nevo.co.il/case/22690232" TargetMode="External"/><Relationship Id="rId14" Type="http://schemas.openxmlformats.org/officeDocument/2006/relationships/hyperlink" Target="http://www.nevo.co.il/law/70301/87"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4849/75" TargetMode="External"/><Relationship Id="rId17" Type="http://schemas.openxmlformats.org/officeDocument/2006/relationships/hyperlink" Target="http://www.nevo.co.il/law/74849" TargetMode="External"/><Relationship Id="rId18" Type="http://schemas.openxmlformats.org/officeDocument/2006/relationships/hyperlink" Target="http://www.nevo.co.il/case/5598689" TargetMode="External"/><Relationship Id="rId19" Type="http://schemas.openxmlformats.org/officeDocument/2006/relationships/hyperlink" Target="http://www.nevo.co.il/law/73887" TargetMode="External"/><Relationship Id="rId20" Type="http://schemas.openxmlformats.org/officeDocument/2006/relationships/hyperlink" Target="http://www.nevo.co.il/case/22690232" TargetMode="External"/><Relationship Id="rId21" Type="http://schemas.openxmlformats.org/officeDocument/2006/relationships/hyperlink" Target="http://www.nevo.co.il/case/6129800" TargetMode="External"/><Relationship Id="rId22" Type="http://schemas.openxmlformats.org/officeDocument/2006/relationships/hyperlink" Target="http://www.nevo.co.il/case/21015204" TargetMode="External"/><Relationship Id="rId23" Type="http://schemas.openxmlformats.org/officeDocument/2006/relationships/hyperlink" Target="http://www.nevo.co.il/case/20787917" TargetMode="External"/><Relationship Id="rId24" Type="http://schemas.openxmlformats.org/officeDocument/2006/relationships/hyperlink" Target="http://www.nevo.co.il/case/5707166" TargetMode="External"/><Relationship Id="rId25" Type="http://schemas.openxmlformats.org/officeDocument/2006/relationships/hyperlink" Target="http://www.nevo.co.il/case/5589763" TargetMode="External"/><Relationship Id="rId26" Type="http://schemas.openxmlformats.org/officeDocument/2006/relationships/hyperlink" Target="http://www.nevo.co.il/case/20446402" TargetMode="External"/><Relationship Id="rId27" Type="http://schemas.openxmlformats.org/officeDocument/2006/relationships/hyperlink" Target="http://www.nevo.co.il/case/6076903" TargetMode="External"/><Relationship Id="rId28" Type="http://schemas.openxmlformats.org/officeDocument/2006/relationships/hyperlink" Target="http://www.nevo.co.il/law/75003/5b.a" TargetMode="External"/><Relationship Id="rId29" Type="http://schemas.openxmlformats.org/officeDocument/2006/relationships/hyperlink" Target="http://www.nevo.co.il/law/75003" TargetMode="External"/><Relationship Id="rId30" Type="http://schemas.openxmlformats.org/officeDocument/2006/relationships/hyperlink" Target="http://www.court.gov.il/" TargetMode="External"/><Relationship Id="rId31" Type="http://schemas.openxmlformats.org/officeDocument/2006/relationships/hyperlink" Target="http://www.nevo.co.il/advertisements/nevo-100.doc"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2018-02-01T12:17:00Z</dcterms:created>
  <dc:creator> </dc:creator>
  <dc:description/>
  <cp:keywords/>
  <dc:language>en-IL</dc:language>
  <cp:lastModifiedBy>orly</cp:lastModifiedBy>
  <cp:lastPrinted>2018-01-31T15:34:00Z</cp:lastPrinted>
  <dcterms:modified xsi:type="dcterms:W3CDTF">2018-02-01T12:17:00Z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בני פאוזי שמשום (2009) בע#מ;ענאן שמשום;אנטואן שוקחה ובניו בע#מ;גאבי שוקחה;האני שוקחה;אומימה שוקחה</vt:lpwstr>
  </property>
  <property fmtid="{D5CDD505-2E9C-101B-9397-08002B2CF9AE}" pid="3" name="APPELLANT1">
    <vt:lpwstr/>
  </property>
  <property fmtid="{D5CDD505-2E9C-101B-9397-08002B2CF9AE}" pid="4" name="APPELLANT2">
    <vt:lpwstr/>
  </property>
  <property fmtid="{D5CDD505-2E9C-101B-9397-08002B2CF9AE}" pid="5" name="APPELLEE">
    <vt:lpwstr>בני ג'ורג' שוקחה בע#מ;המרכז לגביית קנסות, אגרות והוצאות</vt:lpwstr>
  </property>
  <property fmtid="{D5CDD505-2E9C-101B-9397-08002B2CF9AE}" pid="6" name="APPELLEE1">
    <vt:lpwstr/>
  </property>
  <property fmtid="{D5CDD505-2E9C-101B-9397-08002B2CF9AE}" pid="7" name="APPELLEE2">
    <vt:lpwstr/>
  </property>
  <property fmtid="{D5CDD505-2E9C-101B-9397-08002B2CF9AE}" pid="8" name="CASESLISTTMP1">
    <vt:lpwstr>2742789;21318934;22690232:2;5598689;6129800;21015204;20787917;5707166;5589763;20446402;6076903</vt:lpwstr>
  </property>
  <property fmtid="{D5CDD505-2E9C-101B-9397-08002B2CF9AE}" pid="9" name="CITY">
    <vt:lpwstr/>
  </property>
  <property fmtid="{D5CDD505-2E9C-101B-9397-08002B2CF9AE}" pid="10" name="DATE">
    <vt:lpwstr>20180131</vt:lpwstr>
  </property>
  <property fmtid="{D5CDD505-2E9C-101B-9397-08002B2CF9AE}" pid="11" name="DELEMATA">
    <vt:lpwstr/>
  </property>
  <property fmtid="{D5CDD505-2E9C-101B-9397-08002B2CF9AE}" pid="12" name="ISABSTRACT">
    <vt:lpwstr>Y</vt:lpwstr>
  </property>
  <property fmtid="{D5CDD505-2E9C-101B-9397-08002B2CF9AE}" pid="13" name="JUDGE">
    <vt:lpwstr>ד' מינץ</vt:lpwstr>
  </property>
  <property fmtid="{D5CDD505-2E9C-101B-9397-08002B2CF9AE}" pid="14" name="LAWLISTTMP1">
    <vt:lpwstr>74901</vt:lpwstr>
  </property>
  <property fmtid="{D5CDD505-2E9C-101B-9397-08002B2CF9AE}" pid="15" name="LAWLISTTMP2">
    <vt:lpwstr>70301/087</vt:lpwstr>
  </property>
  <property fmtid="{D5CDD505-2E9C-101B-9397-08002B2CF9AE}" pid="16" name="LAWLISTTMP3">
    <vt:lpwstr>74849/075</vt:lpwstr>
  </property>
  <property fmtid="{D5CDD505-2E9C-101B-9397-08002B2CF9AE}" pid="17" name="LAWLISTTMP4">
    <vt:lpwstr>73887</vt:lpwstr>
  </property>
  <property fmtid="{D5CDD505-2E9C-101B-9397-08002B2CF9AE}" pid="18" name="LAWLISTTMP5">
    <vt:lpwstr>75003/005b.a</vt:lpwstr>
  </property>
  <property fmtid="{D5CDD505-2E9C-101B-9397-08002B2CF9AE}" pid="19" name="LAWYER">
    <vt:lpwstr>אהוד גבריאלי;הילה עוז מאיר;יעל ליטוין;עידית פרג'ון;יואל פרייליך;צבי ולך;בני אשכנזי;מוחמד סבח</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METAKZER">
    <vt:lpwstr>פאני</vt:lpwstr>
  </property>
  <property fmtid="{D5CDD505-2E9C-101B-9397-08002B2CF9AE}" pid="26" name="NEWPARTA">
    <vt:lpwstr/>
  </property>
  <property fmtid="{D5CDD505-2E9C-101B-9397-08002B2CF9AE}" pid="27" name="NEWPARTB">
    <vt:lpwstr/>
  </property>
  <property fmtid="{D5CDD505-2E9C-101B-9397-08002B2CF9AE}" pid="28" name="NEWPARTC">
    <vt:lpwstr/>
  </property>
  <property fmtid="{D5CDD505-2E9C-101B-9397-08002B2CF9AE}" pid="29" name="NEWPROC">
    <vt:lpwstr/>
  </property>
  <property fmtid="{D5CDD505-2E9C-101B-9397-08002B2CF9AE}" pid="30" name="NOSE11">
    <vt:lpwstr>בתי-משפט</vt:lpwstr>
  </property>
  <property fmtid="{D5CDD505-2E9C-101B-9397-08002B2CF9AE}" pid="31" name="NOSE110">
    <vt:lpwstr/>
  </property>
  <property fmtid="{D5CDD505-2E9C-101B-9397-08002B2CF9AE}" pid="32" name="NOSE12">
    <vt:lpwstr/>
  </property>
  <property fmtid="{D5CDD505-2E9C-101B-9397-08002B2CF9AE}" pid="33" name="NOSE13">
    <vt:lpwstr/>
  </property>
  <property fmtid="{D5CDD505-2E9C-101B-9397-08002B2CF9AE}" pid="34" name="NOSE14">
    <vt:lpwstr/>
  </property>
  <property fmtid="{D5CDD505-2E9C-101B-9397-08002B2CF9AE}" pid="35" name="NOSE15">
    <vt:lpwstr/>
  </property>
  <property fmtid="{D5CDD505-2E9C-101B-9397-08002B2CF9AE}" pid="36" name="NOSE16">
    <vt:lpwstr/>
  </property>
  <property fmtid="{D5CDD505-2E9C-101B-9397-08002B2CF9AE}" pid="37" name="NOSE17">
    <vt:lpwstr/>
  </property>
  <property fmtid="{D5CDD505-2E9C-101B-9397-08002B2CF9AE}" pid="38" name="NOSE18">
    <vt:lpwstr/>
  </property>
  <property fmtid="{D5CDD505-2E9C-101B-9397-08002B2CF9AE}" pid="39" name="NOSE19">
    <vt:lpwstr/>
  </property>
  <property fmtid="{D5CDD505-2E9C-101B-9397-08002B2CF9AE}" pid="40" name="NOSE1ID">
    <vt:lpwstr>14</vt:lpwstr>
  </property>
  <property fmtid="{D5CDD505-2E9C-101B-9397-08002B2CF9AE}" pid="41" name="NOSE21">
    <vt:lpwstr>ביזיון בית-המשפט</vt:lpwstr>
  </property>
  <property fmtid="{D5CDD505-2E9C-101B-9397-08002B2CF9AE}" pid="42" name="NOSE210">
    <vt:lpwstr/>
  </property>
  <property fmtid="{D5CDD505-2E9C-101B-9397-08002B2CF9AE}" pid="43" name="NOSE22">
    <vt:lpwstr/>
  </property>
  <property fmtid="{D5CDD505-2E9C-101B-9397-08002B2CF9AE}" pid="44" name="NOSE23">
    <vt:lpwstr/>
  </property>
  <property fmtid="{D5CDD505-2E9C-101B-9397-08002B2CF9AE}" pid="45" name="NOSE24">
    <vt:lpwstr/>
  </property>
  <property fmtid="{D5CDD505-2E9C-101B-9397-08002B2CF9AE}" pid="46" name="NOSE25">
    <vt:lpwstr/>
  </property>
  <property fmtid="{D5CDD505-2E9C-101B-9397-08002B2CF9AE}" pid="47" name="NOSE26">
    <vt:lpwstr/>
  </property>
  <property fmtid="{D5CDD505-2E9C-101B-9397-08002B2CF9AE}" pid="48" name="NOSE27">
    <vt:lpwstr/>
  </property>
  <property fmtid="{D5CDD505-2E9C-101B-9397-08002B2CF9AE}" pid="49" name="NOSE28">
    <vt:lpwstr/>
  </property>
  <property fmtid="{D5CDD505-2E9C-101B-9397-08002B2CF9AE}" pid="50" name="NOSE29">
    <vt:lpwstr/>
  </property>
  <property fmtid="{D5CDD505-2E9C-101B-9397-08002B2CF9AE}" pid="51" name="NOSE2ID">
    <vt:lpwstr>308</vt:lpwstr>
  </property>
  <property fmtid="{D5CDD505-2E9C-101B-9397-08002B2CF9AE}" pid="52" name="NOSE31">
    <vt:lpwstr>עיכוב ביצוע</vt:lpwstr>
  </property>
  <property fmtid="{D5CDD505-2E9C-101B-9397-08002B2CF9AE}" pid="53" name="NOSE310">
    <vt:lpwstr/>
  </property>
  <property fmtid="{D5CDD505-2E9C-101B-9397-08002B2CF9AE}" pid="54" name="NOSE32">
    <vt:lpwstr/>
  </property>
  <property fmtid="{D5CDD505-2E9C-101B-9397-08002B2CF9AE}" pid="55" name="NOSE33">
    <vt:lpwstr/>
  </property>
  <property fmtid="{D5CDD505-2E9C-101B-9397-08002B2CF9AE}" pid="56" name="NOSE34">
    <vt:lpwstr/>
  </property>
  <property fmtid="{D5CDD505-2E9C-101B-9397-08002B2CF9AE}" pid="57" name="NOSE35">
    <vt:lpwstr/>
  </property>
  <property fmtid="{D5CDD505-2E9C-101B-9397-08002B2CF9AE}" pid="58" name="NOSE36">
    <vt:lpwstr/>
  </property>
  <property fmtid="{D5CDD505-2E9C-101B-9397-08002B2CF9AE}" pid="59" name="NOSE37">
    <vt:lpwstr/>
  </property>
  <property fmtid="{D5CDD505-2E9C-101B-9397-08002B2CF9AE}" pid="60" name="NOSE38">
    <vt:lpwstr/>
  </property>
  <property fmtid="{D5CDD505-2E9C-101B-9397-08002B2CF9AE}" pid="61" name="NOSE39">
    <vt:lpwstr/>
  </property>
  <property fmtid="{D5CDD505-2E9C-101B-9397-08002B2CF9AE}" pid="62" name="NOSE3ID">
    <vt:lpwstr>2482</vt:lpwstr>
  </property>
  <property fmtid="{D5CDD505-2E9C-101B-9397-08002B2CF9AE}" pid="63" name="PADIDATE">
    <vt:lpwstr>20180201</vt:lpwstr>
  </property>
  <property fmtid="{D5CDD505-2E9C-101B-9397-08002B2CF9AE}" pid="64" name="PADIMAIL">
    <vt:lpwstr>YES</vt:lpwstr>
  </property>
  <property fmtid="{D5CDD505-2E9C-101B-9397-08002B2CF9AE}" pid="65" name="PAGE">
    <vt:lpwstr/>
  </property>
  <property fmtid="{D5CDD505-2E9C-101B-9397-08002B2CF9AE}" pid="66" name="PART">
    <vt:lpwstr/>
  </property>
  <property fmtid="{D5CDD505-2E9C-101B-9397-08002B2CF9AE}" pid="67" name="PROCESS">
    <vt:lpwstr>עפ;עפ</vt:lpwstr>
  </property>
  <property fmtid="{D5CDD505-2E9C-101B-9397-08002B2CF9AE}" pid="68" name="PROCNUM">
    <vt:lpwstr>391;392</vt:lpwstr>
  </property>
  <property fmtid="{D5CDD505-2E9C-101B-9397-08002B2CF9AE}" pid="69" name="PROCYEAR">
    <vt:lpwstr>18;18</vt:lpwstr>
  </property>
  <property fmtid="{D5CDD505-2E9C-101B-9397-08002B2CF9AE}" pid="70" name="PSAKDIN">
    <vt:lpwstr>החלטה</vt:lpwstr>
  </property>
  <property fmtid="{D5CDD505-2E9C-101B-9397-08002B2CF9AE}" pid="71" name="TYPE">
    <vt:lpwstr>1</vt:lpwstr>
  </property>
  <property fmtid="{D5CDD505-2E9C-101B-9397-08002B2CF9AE}" pid="72" name="TYPE_ABS_DATE">
    <vt:lpwstr>410120180131</vt:lpwstr>
  </property>
  <property fmtid="{D5CDD505-2E9C-101B-9397-08002B2CF9AE}" pid="73" name="TYPE_N_DATE">
    <vt:lpwstr>41020180131</vt:lpwstr>
  </property>
  <property fmtid="{D5CDD505-2E9C-101B-9397-08002B2CF9AE}" pid="74" name="VOLUME">
    <vt:lpwstr/>
  </property>
  <property fmtid="{D5CDD505-2E9C-101B-9397-08002B2CF9AE}" pid="75" name="WORDNUMPAGES">
    <vt:lpwstr>12</vt:lpwstr>
  </property>
</Properties>
</file>