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3936/22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</w:t>
            </w:r>
            <w:r>
              <w:rPr>
                <w:rtl w:val="true"/>
              </w:rPr>
              <w:t>ואב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בושמיץ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ציגלר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מנדלבום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27.4.2022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26645-01-21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20.10.2</w:t>
            </w:r>
            <w:r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ויסהוף</w:t>
            </w:r>
          </w:p>
        </w:tc>
      </w:tr>
    </w:tbl>
    <w:p>
      <w:pPr>
        <w:pStyle w:val="BodyRuller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חדד</w:t>
            </w:r>
          </w:p>
        </w:tc>
      </w:tr>
    </w:tbl>
    <w:p>
      <w:pPr>
        <w:pStyle w:val="BodyRuller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פסק כי זהו מקרה חריג בו יש להתערב ולהחמיר את עונש המאסר בפועל שהושת על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שהורשע בביצוע עבירות מין בתשע קטינות כבנות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בעת התנדבותו לשנת שירות בכיתה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שירצה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לא ניתן משקל מספק לעקרון ההלימה בשים לב לחומרת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למספר האירועים והקורבנות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ולמעגלי הפגיעה הרבים שנוצרו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בגין ביצוע עבירות מין בקטינים יש ליתן את משקל הבכורה לשיקולי גמול והרתעה ולהעדיפם על פני נסיבות אישיות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התפרעות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עקרון ההלימה‏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התערבות במידת העונש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המשיב ביצע שורה של עבירות מין בתשע קטינות שהיו כבנות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בעת התנדבותו לשנת שירות בכיתה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בבית ספר יסודי והורשע בריבוי עבירות של אינוס בנסיבות מחמירות וריבוי עבירות של מעשים מגונים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השית על המשיב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לצד עונשים נלווים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המדינה נסב על קולת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מינץ ובהסכמת השופטים וילנר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עניינו של המשיב נמנה עם אותם מקרים חריגים בהם נדרשת התערבות של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העונש שנגזר על המשיב אינו מבטא כראוי את חומרת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מספר הקטינות שבהן פגע ואת עצמת הנזקים שנגרמו להן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אודות החומרה הטמונה בעבירות מין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ובעבירות מין בקטינים 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המתאפיינות בניצול תמימותו וחולשתו של הקטין לסיפוק יצריו של הפוגע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לכך נקבע כי מדיניות הענישה בעבירות מין צריכה להיות מחמירה ולבטא לא רק את האינטרס הציבורי בהרתעתם של עברייני מין פוטנציאליים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גם את הנזקים המשמעותיים הנגרמים לגופם ונפשם של נפגעי עבירות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כאשר הפגיעה בנפשו של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שבו טרם התגבשה אישיותו באופן מלא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מותירה בו פעמים רבות צלקות עמוקות שילוו אותו שנים ארוכות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גזר על המשיב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שנתן דעתו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חומרת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לנסיבות אישיות שונות של המשיב ובהן עברו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גילו הצעיר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הנזק שנגרם למשפחתו כמו גם לעובדה שהודה בשלב מוקדם בעובדות כתב האישום 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מקום ליתן משקל לנתונים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באיזון הראוי בנסיבות המקרה לא ניתן משקל מספק לעקרון ההלימה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לחומרת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למספר האירועים והקורבנות שספגו את מעשי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ולמעגלי הפגיעה הרבים שנוצרו כתוצאה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בקרב משפחות נפגעות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אכן נתון שיקול דעת רחב בקביעת עונש כולל בגין מספר אירועים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בעשותו כן עליו לשמור על עיקרון ההלימה כבעל מעמד בכורה בין שיקולי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כאשר מדובר בענישה כוללת בגין אירועים 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בפסיקה הובהר כי במלאכת גזירת הדין בגין ביצוע עבירות מין בקטינים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ליתן את משקל הבכורה לשיקולי הגמול וההרתעה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ולהעדיפם על פני נסיבותיו האישיות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 המעשים בתקופה קצרה יחסית אינו נתון שיש לזקוף לטובת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מעשיו הופסקו רק בשל כך שאחת הקטינות אותה תקף סיפרה למורתה על אודות מה שהמשיב עולל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הוא שחדל ביוזמתו ממעשיו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התעוזה הכרוכה בביצוע מעשים כאמור בכיתת לימודים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כשהוא תוקף קטינה אחר קטינה בתוך מוסד חינוכי שהורים שולחים אליו את ילדיהם מתוך הנחה כי הם יהיו מוגנים ושמורים בתוכו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ראויה לסלידה וגינוי ומחייבת הרתעה ברמה גבוהה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הערכת המסוכנות שהוגשה בעניינו של המשיב העריכה את מידת מסוכנו כבינונית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גבוהה ושירות המבחן לא בא בהמלצה שיקומית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בציינו כי קיימת רמת סיכון להישנות ביצוע עבירות דומות בעתיד וכי המשיב מתקשה לקחת אחריות מלאה על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כך יש להוסיף את סבלן הרב של נפגעות העבירה ומשפחותיהן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מכלול הנסיבות המחמירות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 מחייב גזירת עונש חמור במידה משמעותית מזה שגזר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לכלל על פיו אין ערכאת הערעור ממצה את הדין עם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את עונש המאסר שיושת על המשיב יועמד על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רכיבי גזר הדין יוותרו על כנם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ליפשיץ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ציגלר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מנדלבום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27.4.2022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26645-01-21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בו הושתו על המשיב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 לצד עונשים נלווים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המשיב הורשע ביום </w:t>
      </w:r>
      <w:r>
        <w:rPr/>
        <w:t>13.9.2021</w:t>
      </w:r>
      <w:r>
        <w:rPr>
          <w:rtl w:val="true"/>
        </w:rPr>
        <w:t xml:space="preserve">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בעשרה אישומים בגין ריבוי עבירות של אינוס בנסיבות מחמירות לפי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>);</w:t>
      </w:r>
      <w:r>
        <w:rPr>
          <w:rtl w:val="true"/>
        </w:rPr>
        <w:t xml:space="preserve"> </w:t>
      </w:r>
      <w:r>
        <w:rPr>
          <w:rtl w:val="true"/>
        </w:rPr>
        <w:t xml:space="preserve">וריבוי עבירות של מעשים מגונים בנסיבות מחמירות 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3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כתב האישום המתוקן </w:t>
      </w:r>
      <w:r>
        <w:rPr>
          <w:rtl w:val="true"/>
        </w:rPr>
        <w:t>(</w:t>
      </w:r>
      <w:r>
        <w:rPr>
          <w:rtl w:val="true"/>
        </w:rPr>
        <w:t xml:space="preserve">לאחר </w:t>
      </w:r>
      <w:r>
        <w:rPr>
          <w:rtl w:val="true"/>
        </w:rPr>
        <w:t>הוספת</w:t>
      </w:r>
      <w:r>
        <w:rPr>
          <w:rtl w:val="true"/>
        </w:rPr>
        <w:t xml:space="preserve"> אישום בעניינה של קטינה </w:t>
      </w:r>
      <w:r>
        <w:rPr>
          <w:rtl w:val="true"/>
        </w:rPr>
        <w:t>נוספת</w:t>
      </w:r>
      <w:r>
        <w:rPr>
          <w:rtl w:val="true"/>
        </w:rPr>
        <w:t xml:space="preserve">) </w:t>
      </w:r>
      <w:r>
        <w:rPr>
          <w:rtl w:val="true"/>
        </w:rPr>
        <w:t>מגולל מסכת עובדתית חמורה ומרובת אירועים</w:t>
      </w:r>
      <w:r>
        <w:rPr>
          <w:rtl w:val="true"/>
        </w:rPr>
        <w:t xml:space="preserve">, </w:t>
      </w:r>
      <w:r>
        <w:rPr>
          <w:rtl w:val="true"/>
        </w:rPr>
        <w:t xml:space="preserve">בהם ביצע המשיב שורה של עבירות מין בתשע קטינות שהיו כבנות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בעת התנדבותו לשנת שירות בכיתה א</w:t>
      </w:r>
      <w:r>
        <w:rPr>
          <w:rtl w:val="true"/>
        </w:rPr>
        <w:t xml:space="preserve">' </w:t>
      </w:r>
      <w:r>
        <w:rPr>
          <w:rtl w:val="true"/>
        </w:rPr>
        <w:t>בבית ספר יסודי</w:t>
      </w:r>
      <w:r>
        <w:rPr>
          <w:rtl w:val="true"/>
        </w:rPr>
        <w:t xml:space="preserve">. </w:t>
      </w:r>
      <w:r>
        <w:rPr>
          <w:rtl w:val="true"/>
        </w:rPr>
        <w:t xml:space="preserve">באישומים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המייחסים למשיב עבירות של אינוס בנסיבות מחמירות</w:t>
      </w:r>
      <w:r>
        <w:rPr>
          <w:rtl w:val="true"/>
        </w:rPr>
        <w:t xml:space="preserve">, </w:t>
      </w:r>
      <w:r>
        <w:rPr>
          <w:rtl w:val="true"/>
        </w:rPr>
        <w:t>נאמר כי המשיב הכניס את ידו למכנסיהן של כל אחת מהקטינות מתחת לתחתונים והחדיר את אצבעותיו לאיבר מינן</w:t>
      </w:r>
      <w:r>
        <w:rPr>
          <w:rtl w:val="true"/>
        </w:rPr>
        <w:t xml:space="preserve">. </w:t>
      </w:r>
      <w:r>
        <w:rPr>
          <w:rtl w:val="true"/>
        </w:rPr>
        <w:t xml:space="preserve">באישומים </w:t>
      </w:r>
      <w:r>
        <w:rPr/>
        <w:t>2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פורטו מצבים שבהם המשיב הכניס את ידו מתחת לתחתוני הקטינות ונגע באיבר מינן</w:t>
      </w:r>
      <w:r>
        <w:rPr>
          <w:rtl w:val="true"/>
        </w:rPr>
        <w:t xml:space="preserve">, </w:t>
      </w:r>
      <w:r>
        <w:rPr>
          <w:rtl w:val="true"/>
        </w:rPr>
        <w:t>ומצבים שבהם ליטף אותן</w:t>
      </w:r>
      <w:r>
        <w:rPr>
          <w:rtl w:val="true"/>
        </w:rPr>
        <w:t xml:space="preserve">, </w:t>
      </w:r>
      <w:r>
        <w:rPr>
          <w:rtl w:val="true"/>
        </w:rPr>
        <w:t>לעיתים מעל הבגדים ולעיתים מתחת לבגדים באיזורי גוף שונים</w:t>
      </w:r>
      <w:r>
        <w:rPr>
          <w:rtl w:val="true"/>
        </w:rPr>
        <w:t xml:space="preserve">. </w:t>
      </w:r>
      <w:r>
        <w:rPr>
          <w:rtl w:val="true"/>
        </w:rPr>
        <w:t>מעשים אלו אף בוצעו בכיתה בעת הלימודים</w:t>
      </w:r>
      <w:r>
        <w:rPr>
          <w:rtl w:val="true"/>
        </w:rPr>
        <w:t xml:space="preserve">. </w:t>
      </w:r>
      <w:r>
        <w:rPr>
          <w:rtl w:val="true"/>
        </w:rPr>
        <w:t xml:space="preserve">אישום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מייחס למשיב ביצוע עבירות מין בשתי קטינות מחוץ לשטח הכיתה</w:t>
      </w:r>
      <w:r>
        <w:rPr>
          <w:rtl w:val="true"/>
        </w:rPr>
        <w:t xml:space="preserve">, </w:t>
      </w:r>
      <w:r>
        <w:rPr>
          <w:rtl w:val="true"/>
        </w:rPr>
        <w:t>כאשר הוא התלווה אליהן כשיצאו מהכיתה לשירותים</w:t>
      </w:r>
      <w:r>
        <w:rPr>
          <w:rtl w:val="true"/>
        </w:rPr>
        <w:t xml:space="preserve">, </w:t>
      </w:r>
      <w:r>
        <w:rPr>
          <w:rtl w:val="true"/>
        </w:rPr>
        <w:t>נצמד לכל אחת מהן מאחור בעת שסייע להן כביכול לשטוף ידיים</w:t>
      </w:r>
      <w:r>
        <w:rPr>
          <w:rtl w:val="true"/>
        </w:rPr>
        <w:t xml:space="preserve">, </w:t>
      </w:r>
      <w:r>
        <w:rPr>
          <w:rtl w:val="true"/>
        </w:rPr>
        <w:t>הצמיד את איבר מינו לישבנן וחיכך אותו בהן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13.9.2021</w:t>
      </w:r>
      <w:r>
        <w:rPr>
          <w:rtl w:val="true"/>
        </w:rPr>
        <w:t xml:space="preserve"> </w:t>
      </w:r>
      <w:r>
        <w:rPr>
          <w:rtl w:val="true"/>
        </w:rPr>
        <w:t>הודה כאמור המשיב בעובדות כתב האישום המתוקן והורשע</w:t>
      </w:r>
      <w:r>
        <w:rPr>
          <w:rtl w:val="true"/>
        </w:rPr>
        <w:t xml:space="preserve">. </w:t>
      </w:r>
      <w:r>
        <w:rPr>
          <w:rtl w:val="true"/>
        </w:rPr>
        <w:t>בהערכת מסוכנות שנערכה לו נמצא כי רמת המסוכנות המינית שלו מוערכת כבינונית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בתסקיר שירות המבחן מיום </w:t>
      </w:r>
      <w:r>
        <w:rPr/>
        <w:t>1.3.2022</w:t>
      </w:r>
      <w:r>
        <w:rPr>
          <w:rtl w:val="true"/>
        </w:rPr>
        <w:t xml:space="preserve"> </w:t>
      </w:r>
      <w:r>
        <w:rPr>
          <w:rtl w:val="true"/>
        </w:rPr>
        <w:t>העריך שירות המבחן כי קיימת רמת סיכון להישנות ביצוע עבירות דומות בעתיד</w:t>
      </w:r>
      <w:r>
        <w:rPr>
          <w:rtl w:val="true"/>
        </w:rPr>
        <w:t xml:space="preserve">. </w:t>
      </w:r>
      <w:r>
        <w:rPr>
          <w:rtl w:val="true"/>
        </w:rPr>
        <w:t>שירות המבחן נמנע מלבוא בהמלצה שיקומית בעניינו והמליץ על הטלת עונש מאסר בפועל</w:t>
      </w:r>
      <w:r>
        <w:rPr>
          <w:rtl w:val="true"/>
        </w:rPr>
        <w:t xml:space="preserve">. </w:t>
      </w:r>
      <w:r>
        <w:rPr>
          <w:rtl w:val="true"/>
        </w:rPr>
        <w:t>צוין כי המשיב מתקשה לקחת אחריות על מעשיו</w:t>
      </w:r>
      <w:r>
        <w:rPr>
          <w:rtl w:val="true"/>
        </w:rPr>
        <w:t xml:space="preserve">, </w:t>
      </w:r>
      <w:r>
        <w:rPr>
          <w:rtl w:val="true"/>
        </w:rPr>
        <w:t>עסוק בעצמו ובמחירים שהוא משלם</w:t>
      </w:r>
      <w:r>
        <w:rPr>
          <w:rtl w:val="true"/>
        </w:rPr>
        <w:t xml:space="preserve">, </w:t>
      </w:r>
      <w:r>
        <w:rPr>
          <w:rtl w:val="true"/>
        </w:rPr>
        <w:t>אינו מבטא אמפתיה כלפי המתלוננות ואינו מכיר בנזקים שגרם להן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בעניינן של שמונה מתוך תשע הקטינות הוגשו תסקירי נפגעות עבירה מהם עולה כי להן ולמשפחותיהן נגרמו נזקים ופגיעות שונות</w:t>
      </w:r>
      <w:r>
        <w:rPr>
          <w:rtl w:val="true"/>
        </w:rPr>
        <w:t xml:space="preserve">. </w:t>
      </w:r>
      <w:r>
        <w:rPr>
          <w:rtl w:val="true"/>
        </w:rPr>
        <w:t>חלק מהקטינות סובלות ממחשבות חודרניות</w:t>
      </w:r>
      <w:r>
        <w:rPr>
          <w:rtl w:val="true"/>
        </w:rPr>
        <w:t xml:space="preserve">. </w:t>
      </w:r>
      <w:r>
        <w:rPr>
          <w:rtl w:val="true"/>
        </w:rPr>
        <w:t>חלקן החלו לסבול מתחושות מוגברות של פחד</w:t>
      </w:r>
      <w:r>
        <w:rPr>
          <w:rtl w:val="true"/>
        </w:rPr>
        <w:t xml:space="preserve">, </w:t>
      </w:r>
      <w:r>
        <w:rPr>
          <w:rtl w:val="true"/>
        </w:rPr>
        <w:t>חשש ואובדן אמון באנשים זרים</w:t>
      </w:r>
      <w:r>
        <w:rPr>
          <w:rtl w:val="true"/>
        </w:rPr>
        <w:t xml:space="preserve">. </w:t>
      </w:r>
      <w:r>
        <w:rPr>
          <w:rtl w:val="true"/>
        </w:rPr>
        <w:t>מרבית המשפחות תיארו פגיעה נרחבת במשפחה עצמה</w:t>
      </w:r>
      <w:r>
        <w:rPr>
          <w:rtl w:val="true"/>
        </w:rPr>
        <w:t xml:space="preserve">. </w:t>
      </w:r>
      <w:r>
        <w:rPr>
          <w:rtl w:val="true"/>
        </w:rPr>
        <w:t>הודגש כי בשלב זה טרם ניתן לאמוד את מלוא הנזקים שנגרמו לקטינות וכי השלכות הפגיעה עשויות לבוא לידי ביטוי במלואן בהמשך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27.4.2022</w:t>
      </w:r>
      <w:r>
        <w:rPr>
          <w:rtl w:val="true"/>
        </w:rPr>
        <w:t xml:space="preserve"> </w:t>
      </w:r>
      <w:r>
        <w:rPr>
          <w:rtl w:val="true"/>
        </w:rPr>
        <w:t>גזר בית המשפט את דינו של המשיב</w:t>
      </w:r>
      <w:r>
        <w:rPr>
          <w:rtl w:val="true"/>
        </w:rPr>
        <w:t xml:space="preserve">. </w:t>
      </w:r>
      <w:r>
        <w:rPr>
          <w:rtl w:val="true"/>
        </w:rPr>
        <w:t>בית המשפט סקר בהרחבה את תסקירי נפגעות העבירה בציינו כי מהתמונה הכוללת עולה כי הקטינות הושפעו קשות מהאירועים אשר הותירו בהן את חותמם</w:t>
      </w:r>
      <w:r>
        <w:rPr>
          <w:rtl w:val="true"/>
        </w:rPr>
        <w:t xml:space="preserve">. </w:t>
      </w:r>
      <w:r>
        <w:rPr>
          <w:rtl w:val="true"/>
        </w:rPr>
        <w:t>הן סובלות משינויים התנהגותיים בבית הספר ובבית והשפעת המעשים משליכה גם על מעגלים משפחתיים שונים ובעלת השלכות כלכליות</w:t>
      </w:r>
      <w:r>
        <w:rPr>
          <w:rtl w:val="true"/>
        </w:rPr>
        <w:t xml:space="preserve">. </w:t>
      </w:r>
      <w:r>
        <w:rPr>
          <w:rtl w:val="true"/>
        </w:rPr>
        <w:t>בית המשפט סקר גם את הערכת המסוכנות ותסקיר שירות המבחן שהוגשו בעניינו של המשיב</w:t>
      </w:r>
      <w:r>
        <w:rPr>
          <w:rtl w:val="true"/>
        </w:rPr>
        <w:t xml:space="preserve">. </w:t>
      </w:r>
      <w:r>
        <w:rPr>
          <w:rtl w:val="true"/>
        </w:rPr>
        <w:t>צוין כי מטעם המערערת העידו חלק מהורי הקטינות</w:t>
      </w:r>
      <w:r>
        <w:rPr>
          <w:rtl w:val="true"/>
        </w:rPr>
        <w:t xml:space="preserve">, </w:t>
      </w:r>
      <w:r>
        <w:rPr>
          <w:rtl w:val="true"/>
        </w:rPr>
        <w:t>אשר התייחסו למהפך שחל בחייהם מאז שנודע להם על הפגיעה המינית בבנותיהן</w:t>
      </w:r>
      <w:r>
        <w:rPr>
          <w:rtl w:val="true"/>
        </w:rPr>
        <w:t xml:space="preserve">, </w:t>
      </w:r>
      <w:r>
        <w:rPr>
          <w:rtl w:val="true"/>
        </w:rPr>
        <w:t>ומטעם המשיב העידה אמו אשר פנתה בפנייה ישירה להורי הקטינות בהתנצלות והבעת צער על מעשי בנה</w:t>
      </w:r>
      <w:r>
        <w:rPr>
          <w:rtl w:val="true"/>
        </w:rPr>
        <w:t xml:space="preserve">, </w:t>
      </w:r>
      <w:r>
        <w:rPr>
          <w:rtl w:val="true"/>
        </w:rPr>
        <w:t>וביקשה את סליחתם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צוין בגזר הדין כי המערערת עתרה לקביעת מתחם ענישה הולם לכל אישום בנפרד</w:t>
      </w:r>
      <w:r>
        <w:rPr>
          <w:rtl w:val="true"/>
        </w:rPr>
        <w:t xml:space="preserve">, </w:t>
      </w:r>
      <w:r>
        <w:rPr>
          <w:rtl w:val="true"/>
        </w:rPr>
        <w:t>תוך הבחנה בין סוגי העבירות</w:t>
      </w:r>
      <w:r>
        <w:rPr>
          <w:rtl w:val="true"/>
        </w:rPr>
        <w:t xml:space="preserve">. </w:t>
      </w:r>
      <w:r>
        <w:rPr>
          <w:rtl w:val="true"/>
        </w:rPr>
        <w:t xml:space="preserve">באישומים שעניינם ריבוי מעשי אינוס הוצע מתחם של </w:t>
      </w:r>
      <w:r>
        <w:rPr/>
        <w:t>15-10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tl w:val="true"/>
        </w:rPr>
        <w:t xml:space="preserve">באישומים של עבירת אונס אחת הוצע מתחם ענישה של </w:t>
      </w:r>
      <w:r>
        <w:rPr/>
        <w:t>10-6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tl w:val="true"/>
        </w:rPr>
        <w:t xml:space="preserve">באישומים של ריבוי מעשים מגונים הוצע מתחם של </w:t>
      </w:r>
      <w:r>
        <w:rPr/>
        <w:t>6-4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tl w:val="true"/>
        </w:rPr>
        <w:t xml:space="preserve">ובאישומים של מעשה מגונה אחד הוצע מתחם של </w:t>
      </w:r>
      <w:r>
        <w:rPr/>
        <w:t>5-2.5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בהתחשב בעברו הפלילי הנקי של המשיב ובהודאתו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תוך לקיחה בחשבון שמדובר היה בהודאה </w:t>
      </w:r>
      <w:r>
        <w:rPr>
          <w:rtl w:val="true"/>
        </w:rPr>
        <w:t>"</w:t>
      </w:r>
      <w:r>
        <w:rPr>
          <w:rtl w:val="true"/>
        </w:rPr>
        <w:t>שטחית</w:t>
      </w:r>
      <w:r>
        <w:rPr>
          <w:rtl w:val="true"/>
        </w:rPr>
        <w:t xml:space="preserve">" </w:t>
      </w:r>
      <w:r>
        <w:rPr>
          <w:rtl w:val="true"/>
        </w:rPr>
        <w:t>בלבד שעה שהמשיב לא קיבל אחריות מלאה על מעשיו</w:t>
      </w:r>
      <w:r>
        <w:rPr>
          <w:rtl w:val="true"/>
        </w:rPr>
        <w:t xml:space="preserve">, </w:t>
      </w:r>
      <w:r>
        <w:rPr>
          <w:rtl w:val="true"/>
        </w:rPr>
        <w:t xml:space="preserve">הוצע להטיל עליו עונש כולל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תוך מיקום העונש באמצע מתחם הענישה</w:t>
      </w:r>
      <w:r>
        <w:rPr>
          <w:rtl w:val="true"/>
        </w:rPr>
        <w:t xml:space="preserve">, </w:t>
      </w:r>
      <w:r>
        <w:rPr>
          <w:rtl w:val="true"/>
        </w:rPr>
        <w:t>בנוסף להטלת עונשים נלווים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המשיב עתר לקביעת מתחם ענישה של </w:t>
      </w:r>
      <w:r>
        <w:rPr/>
        <w:t>12-8</w:t>
      </w:r>
      <w:r>
        <w:rPr>
          <w:rtl w:val="true"/>
        </w:rPr>
        <w:t xml:space="preserve"> </w:t>
      </w:r>
      <w:r>
        <w:rPr>
          <w:rtl w:val="true"/>
        </w:rPr>
        <w:t>חודשים למרבית האישומים</w:t>
      </w:r>
      <w:r>
        <w:rPr>
          <w:rtl w:val="true"/>
        </w:rPr>
        <w:t xml:space="preserve">, </w:t>
      </w:r>
      <w:r>
        <w:rPr>
          <w:rtl w:val="true"/>
        </w:rPr>
        <w:t xml:space="preserve">ולמתחם של </w:t>
      </w:r>
      <w:r>
        <w:rPr/>
        <w:t>18-8</w:t>
      </w:r>
      <w:r>
        <w:rPr>
          <w:rtl w:val="true"/>
        </w:rPr>
        <w:t xml:space="preserve"> </w:t>
      </w:r>
      <w:r>
        <w:rPr>
          <w:rtl w:val="true"/>
        </w:rPr>
        <w:t>חודשים לגבי המעשים החמורים יותר</w:t>
      </w:r>
      <w:r>
        <w:rPr>
          <w:rtl w:val="true"/>
        </w:rPr>
        <w:t xml:space="preserve">, </w:t>
      </w:r>
      <w:r>
        <w:rPr>
          <w:rtl w:val="true"/>
        </w:rPr>
        <w:t>תוך מתן דגש לשיקולים העומדים לזכות המשיב</w:t>
      </w:r>
      <w:r>
        <w:rPr>
          <w:rtl w:val="true"/>
        </w:rPr>
        <w:t xml:space="preserve">, </w:t>
      </w:r>
      <w:r>
        <w:rPr>
          <w:rtl w:val="true"/>
        </w:rPr>
        <w:t>ביניהם גילו הצעיר</w:t>
      </w:r>
      <w:r>
        <w:rPr>
          <w:rtl w:val="true"/>
        </w:rPr>
        <w:t xml:space="preserve">, </w:t>
      </w:r>
      <w:r>
        <w:rPr>
          <w:rtl w:val="true"/>
        </w:rPr>
        <w:t>היותו ללא עבר פלילי והעובדה שביצע את המעשים במשך תקופה קצרה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בהידרשו למתחם העונש ההולם</w:t>
      </w:r>
      <w:r>
        <w:rPr>
          <w:rtl w:val="true"/>
        </w:rPr>
        <w:t xml:space="preserve">, </w:t>
      </w:r>
      <w:r>
        <w:rPr>
          <w:rtl w:val="true"/>
        </w:rPr>
        <w:t>קבע בית המשפט תחילה כי קיימת הצדקה להפריד בין העבירות שבוצעו ולראות בכל מעשה שבוצע בכל אחת מהקטינות כאירוע העומד בפני עצמו לצורך קביעת מתחם העונש ההולם</w:t>
      </w:r>
      <w:r>
        <w:rPr>
          <w:rtl w:val="true"/>
        </w:rPr>
        <w:t xml:space="preserve">. </w:t>
      </w:r>
      <w:r>
        <w:rPr>
          <w:rtl w:val="true"/>
        </w:rPr>
        <w:t>בית המשפט עמד גם על חומרת העבירות בציינו כי מדובר במסכת ארוכה של מעשים קשים וחמורים המעוררים שאט נפש וסלידה</w:t>
      </w:r>
      <w:r>
        <w:rPr>
          <w:rtl w:val="true"/>
        </w:rPr>
        <w:t xml:space="preserve">, </w:t>
      </w:r>
      <w:r>
        <w:rPr>
          <w:rtl w:val="true"/>
        </w:rPr>
        <w:t>כאשר המשיב ניצל את תפקידו וסמכותו</w:t>
      </w:r>
      <w:r>
        <w:rPr>
          <w:rtl w:val="true"/>
        </w:rPr>
        <w:t xml:space="preserve">, </w:t>
      </w:r>
      <w:r>
        <w:rPr>
          <w:rtl w:val="true"/>
        </w:rPr>
        <w:t>את פערי הגיל בינו לבין הקטינות</w:t>
      </w:r>
      <w:r>
        <w:rPr>
          <w:rtl w:val="true"/>
        </w:rPr>
        <w:t xml:space="preserve">, </w:t>
      </w:r>
      <w:r>
        <w:rPr>
          <w:rtl w:val="true"/>
        </w:rPr>
        <w:t>את יכולתו לשלוט עליהן ואת חוסר האונים שלהן</w:t>
      </w:r>
      <w:r>
        <w:rPr>
          <w:rtl w:val="true"/>
        </w:rPr>
        <w:t xml:space="preserve">. </w:t>
      </w:r>
      <w:r>
        <w:rPr>
          <w:rtl w:val="true"/>
        </w:rPr>
        <w:t>בית המשפט עמד על מידת הפגיעה בערכים החברתיים המוגנים בקבעו כי מדובר בפגיעה משמעותית וכבדה</w:t>
      </w:r>
      <w:r>
        <w:rPr>
          <w:rtl w:val="true"/>
        </w:rPr>
        <w:t xml:space="preserve">. </w:t>
      </w:r>
      <w:r>
        <w:rPr>
          <w:rtl w:val="true"/>
        </w:rPr>
        <w:t>המשיב פגע באוטונומיה של הקטינות על גופן</w:t>
      </w:r>
      <w:r>
        <w:rPr>
          <w:rtl w:val="true"/>
        </w:rPr>
        <w:t xml:space="preserve">, </w:t>
      </w:r>
      <w:r>
        <w:rPr>
          <w:rtl w:val="true"/>
        </w:rPr>
        <w:t>בפרטיותן</w:t>
      </w:r>
      <w:r>
        <w:rPr>
          <w:rtl w:val="true"/>
        </w:rPr>
        <w:t xml:space="preserve">, </w:t>
      </w:r>
      <w:r>
        <w:rPr>
          <w:rtl w:val="true"/>
        </w:rPr>
        <w:t>ברצון החופשי שלהן</w:t>
      </w:r>
      <w:r>
        <w:rPr>
          <w:rtl w:val="true"/>
        </w:rPr>
        <w:t xml:space="preserve">, </w:t>
      </w:r>
      <w:r>
        <w:rPr>
          <w:rtl w:val="true"/>
        </w:rPr>
        <w:t>בזכותן לכבוד ולשמירה על שלמות גופן ונפשן ובביטחונן האישי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נוכח גילן הצעיר</w:t>
      </w:r>
      <w:r>
        <w:rPr>
          <w:rtl w:val="true"/>
        </w:rPr>
        <w:t xml:space="preserve">, </w:t>
      </w:r>
      <w:r>
        <w:rPr>
          <w:rtl w:val="true"/>
        </w:rPr>
        <w:t>המשיב גם פגע בזכותן להתפתחות ולהתבגרות תקינה</w:t>
      </w:r>
      <w:r>
        <w:rPr>
          <w:rtl w:val="true"/>
        </w:rPr>
        <w:t xml:space="preserve">. </w:t>
      </w:r>
      <w:r>
        <w:rPr>
          <w:rtl w:val="true"/>
        </w:rPr>
        <w:t>מדובר בפגיעה של ממש באמון הבסיסי שרכשו הקטינות כלפי סמכות חינוכית האחראית עליהן</w:t>
      </w:r>
      <w:r>
        <w:rPr>
          <w:rtl w:val="true"/>
        </w:rPr>
        <w:t xml:space="preserve">. </w:t>
      </w:r>
      <w:r>
        <w:rPr>
          <w:rtl w:val="true"/>
        </w:rPr>
        <w:t>על כך יש להוסיף את הנזק שנגרם לתא המשפחתי של הקטינות אשר נאלצו וייאלצו להתמודד עם השלכות הפגיעה</w:t>
      </w:r>
      <w:r>
        <w:rPr>
          <w:rtl w:val="true"/>
        </w:rPr>
        <w:t xml:space="preserve">. </w:t>
      </w:r>
      <w:r>
        <w:rPr>
          <w:rtl w:val="true"/>
        </w:rPr>
        <w:t>זאת כאשר לא מדובר באירוע חד</w:t>
      </w:r>
      <w:r>
        <w:rPr>
          <w:rtl w:val="true"/>
        </w:rPr>
        <w:t>-</w:t>
      </w:r>
      <w:r>
        <w:rPr>
          <w:rtl w:val="true"/>
        </w:rPr>
        <w:t xml:space="preserve">פעמי כי אם במסכת של מעשים שבוצעו כלפי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קטינות בנפרד</w:t>
      </w:r>
      <w:r>
        <w:rPr>
          <w:rtl w:val="true"/>
        </w:rPr>
        <w:t xml:space="preserve">, </w:t>
      </w:r>
      <w:r>
        <w:rPr>
          <w:rtl w:val="true"/>
        </w:rPr>
        <w:t>במועדים שונים ובמשך תקופה של כשלושה שבועות</w:t>
      </w:r>
      <w:r>
        <w:rPr>
          <w:rtl w:val="true"/>
        </w:rPr>
        <w:t xml:space="preserve">, </w:t>
      </w:r>
      <w:r>
        <w:rPr>
          <w:rtl w:val="true"/>
        </w:rPr>
        <w:t>לאחר תכנון ובערמומיות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הדגיש את מדיניות הענישה המחמירה שאומצה בפסיקה בעניינם של עברייני מין שפגעו בקטינים</w:t>
      </w:r>
      <w:r>
        <w:rPr>
          <w:rtl w:val="true"/>
        </w:rPr>
        <w:t xml:space="preserve">, </w:t>
      </w:r>
      <w:r>
        <w:rPr>
          <w:rtl w:val="true"/>
        </w:rPr>
        <w:t>מדיניות המשקפת את סלידת החברה מהתנהגות זו ואת הצורך להרתיע עבריינים פוטנציאליים</w:t>
      </w:r>
      <w:r>
        <w:rPr>
          <w:rtl w:val="true"/>
        </w:rPr>
        <w:t xml:space="preserve">. </w:t>
      </w:r>
      <w:r>
        <w:rPr>
          <w:rtl w:val="true"/>
        </w:rPr>
        <w:t>לאחר סקירת הפסיקה הנוהגת ובשים לב לעונש המזערי הקבוע לצד העבירות בהן הורשע המשיב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מתחם עונש של </w:t>
      </w:r>
      <w:r>
        <w:rPr/>
        <w:t>9-5</w:t>
      </w:r>
      <w:r>
        <w:rPr>
          <w:rtl w:val="true"/>
        </w:rPr>
        <w:t xml:space="preserve"> </w:t>
      </w:r>
      <w:r>
        <w:rPr>
          <w:rtl w:val="true"/>
        </w:rPr>
        <w:t>שנות מאסר בפועל לריבוי מעשי האינוס</w:t>
      </w:r>
      <w:r>
        <w:rPr>
          <w:rtl w:val="true"/>
        </w:rPr>
        <w:t xml:space="preserve">; </w:t>
      </w:r>
      <w:r>
        <w:rPr>
          <w:rtl w:val="true"/>
        </w:rPr>
        <w:t xml:space="preserve">מתחם עונש של </w:t>
      </w:r>
      <w:r>
        <w:rPr/>
        <w:t>6-4</w:t>
      </w:r>
      <w:r>
        <w:rPr>
          <w:rtl w:val="true"/>
        </w:rPr>
        <w:t xml:space="preserve"> </w:t>
      </w:r>
      <w:r>
        <w:rPr>
          <w:rtl w:val="true"/>
        </w:rPr>
        <w:t>שנות מאסר בפועל למעשה אינוס אחד</w:t>
      </w:r>
      <w:r>
        <w:rPr>
          <w:rtl w:val="true"/>
        </w:rPr>
        <w:t xml:space="preserve">; </w:t>
      </w:r>
      <w:r>
        <w:rPr>
          <w:rtl w:val="true"/>
        </w:rPr>
        <w:t xml:space="preserve">מתחם של </w:t>
      </w:r>
      <w:r>
        <w:rPr/>
        <w:t>5-3</w:t>
      </w:r>
      <w:r>
        <w:rPr>
          <w:rtl w:val="true"/>
        </w:rPr>
        <w:t xml:space="preserve"> </w:t>
      </w:r>
      <w:r>
        <w:rPr>
          <w:rtl w:val="true"/>
        </w:rPr>
        <w:t>שנות מאסר בפועל לריבוי מעשים מגונים</w:t>
      </w:r>
      <w:r>
        <w:rPr>
          <w:rtl w:val="true"/>
        </w:rPr>
        <w:t xml:space="preserve">; </w:t>
      </w:r>
      <w:r>
        <w:rPr>
          <w:rtl w:val="true"/>
        </w:rPr>
        <w:t xml:space="preserve">ומתחם של </w:t>
      </w:r>
      <w:r>
        <w:rPr/>
        <w:t>36-17</w:t>
      </w:r>
      <w:r>
        <w:rPr>
          <w:rtl w:val="true"/>
        </w:rPr>
        <w:t xml:space="preserve"> </w:t>
      </w:r>
      <w:r>
        <w:rPr>
          <w:rtl w:val="true"/>
        </w:rPr>
        <w:t>חודשי מאסר בפועל למעשה מגונה אחד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העונש הכולל נלקחו בחשבון כשיקולים משמעותיים לקולא הודאתו של המשיב במעשיו</w:t>
      </w:r>
      <w:r>
        <w:rPr>
          <w:rtl w:val="true"/>
        </w:rPr>
        <w:t xml:space="preserve">, </w:t>
      </w:r>
      <w:r>
        <w:rPr>
          <w:rtl w:val="true"/>
        </w:rPr>
        <w:t>הודאה אשר חסכה עוגמת נפש מהקטינות ובני משפחותיהן וחסכה זמן שיפוטי רב</w:t>
      </w:r>
      <w:r>
        <w:rPr>
          <w:rtl w:val="true"/>
        </w:rPr>
        <w:t xml:space="preserve">; </w:t>
      </w:r>
      <w:r>
        <w:rPr>
          <w:rtl w:val="true"/>
        </w:rPr>
        <w:t>גילו הצעיר</w:t>
      </w:r>
      <w:r>
        <w:rPr>
          <w:rtl w:val="true"/>
        </w:rPr>
        <w:t xml:space="preserve">; </w:t>
      </w:r>
      <w:r>
        <w:rPr>
          <w:rtl w:val="true"/>
        </w:rPr>
        <w:t>היעדר עבר פלילי</w:t>
      </w:r>
      <w:r>
        <w:rPr>
          <w:rtl w:val="true"/>
        </w:rPr>
        <w:t xml:space="preserve">; </w:t>
      </w:r>
      <w:r>
        <w:rPr>
          <w:rtl w:val="true"/>
        </w:rPr>
        <w:t>אורח החיים הנורמטיבי שניהל עד למעצרו</w:t>
      </w:r>
      <w:r>
        <w:rPr>
          <w:rtl w:val="true"/>
        </w:rPr>
        <w:t xml:space="preserve">; </w:t>
      </w:r>
      <w:r>
        <w:rPr>
          <w:rtl w:val="true"/>
        </w:rPr>
        <w:t>הפגיעה שנגרמה למשפחתו</w:t>
      </w:r>
      <w:r>
        <w:rPr>
          <w:rtl w:val="true"/>
        </w:rPr>
        <w:t xml:space="preserve">; </w:t>
      </w:r>
      <w:r>
        <w:rPr>
          <w:rtl w:val="true"/>
        </w:rPr>
        <w:t>החרטה שהביע ונתונים נוספים שעלו מהתסקיר</w:t>
      </w:r>
      <w:r>
        <w:rPr>
          <w:rtl w:val="true"/>
        </w:rPr>
        <w:t xml:space="preserve">. </w:t>
      </w:r>
      <w:r>
        <w:rPr>
          <w:rtl w:val="true"/>
        </w:rPr>
        <w:t>מאידך גיסא</w:t>
      </w:r>
      <w:r>
        <w:rPr>
          <w:rtl w:val="true"/>
        </w:rPr>
        <w:t xml:space="preserve">, </w:t>
      </w:r>
      <w:r>
        <w:rPr>
          <w:rtl w:val="true"/>
        </w:rPr>
        <w:t>ניתן משקל לאמור בתסקיר שירות המבחן על פיו המשיב אינו מגלה אמפתיה כלפי הקטינות ומרוכז בעצמו כאשר הוטל ספק האם מאחורי רצונו להשתלב בתהליך טיפולי עומד רצון כן</w:t>
      </w:r>
      <w:r>
        <w:rPr>
          <w:rtl w:val="true"/>
        </w:rPr>
        <w:t xml:space="preserve">; </w:t>
      </w:r>
      <w:r>
        <w:rPr>
          <w:rtl w:val="true"/>
        </w:rPr>
        <w:t>לסיכון הנשקף ממנו לביצוע עבירות דומות בעתיד לפי הערכת המסוכנות ותסקיר שירות המבחן</w:t>
      </w:r>
      <w:r>
        <w:rPr>
          <w:rtl w:val="true"/>
        </w:rPr>
        <w:t xml:space="preserve">; </w:t>
      </w:r>
      <w:r>
        <w:rPr>
          <w:rtl w:val="true"/>
        </w:rPr>
        <w:t>ולהמלצתו של שירות המבחן לנקוט בענישה מוחשית</w:t>
      </w:r>
      <w:r>
        <w:rPr>
          <w:rtl w:val="true"/>
        </w:rPr>
        <w:t xml:space="preserve">. </w:t>
      </w:r>
      <w:r>
        <w:rPr>
          <w:rtl w:val="true"/>
        </w:rPr>
        <w:t>נוכח אופיים הכולל של המעשים שבוצעו במקום אחד</w:t>
      </w:r>
      <w:r>
        <w:rPr>
          <w:rtl w:val="true"/>
        </w:rPr>
        <w:t xml:space="preserve">, </w:t>
      </w:r>
      <w:r>
        <w:rPr>
          <w:rtl w:val="true"/>
        </w:rPr>
        <w:t>ברצף ובסמיכות זמנים</w:t>
      </w:r>
      <w:r>
        <w:rPr>
          <w:rtl w:val="true"/>
        </w:rPr>
        <w:t xml:space="preserve">, </w:t>
      </w:r>
      <w:r>
        <w:rPr>
          <w:rtl w:val="true"/>
        </w:rPr>
        <w:t>בשיטה ובנסיבות דומות</w:t>
      </w:r>
      <w:r>
        <w:rPr>
          <w:rtl w:val="true"/>
        </w:rPr>
        <w:t xml:space="preserve">, </w:t>
      </w:r>
      <w:r>
        <w:rPr>
          <w:rtl w:val="true"/>
        </w:rPr>
        <w:t>נמצא כי יש לגזור עונש כולל בגין צירוף האירועים</w:t>
      </w:r>
      <w:r>
        <w:rPr>
          <w:rtl w:val="true"/>
        </w:rPr>
        <w:t xml:space="preserve">. </w:t>
      </w:r>
      <w:r>
        <w:rPr>
          <w:rtl w:val="true"/>
        </w:rPr>
        <w:t xml:space="preserve">לבסוף הושתו על המשיב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שלא יעבור כל עבירת מין מסוג פשע</w:t>
      </w:r>
      <w:r>
        <w:rPr>
          <w:rtl w:val="true"/>
        </w:rPr>
        <w:t xml:space="preserve">, </w:t>
      </w:r>
      <w:r>
        <w:rPr>
          <w:rtl w:val="true"/>
        </w:rPr>
        <w:t xml:space="preserve">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שלא יעבור כל עבירת מין מסוג עוון 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; </w:t>
      </w:r>
      <w:r>
        <w:rPr>
          <w:rtl w:val="true"/>
        </w:rPr>
        <w:t xml:space="preserve">ופיצויים לנפגעות העבירה בסכומים שונים הנעים בין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</w:t>
      </w:r>
      <w:r>
        <w:rPr>
          <w:rtl w:val="true"/>
        </w:rPr>
        <w:t>-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לכל נפגעת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המערערת</w:t>
      </w:r>
      <w:r>
        <w:rPr>
          <w:rtl w:val="true"/>
        </w:rPr>
        <w:t xml:space="preserve">, </w:t>
      </w:r>
      <w:r>
        <w:rPr>
          <w:rtl w:val="true"/>
        </w:rPr>
        <w:t>יש להחמיר באופן משמעותי את עונש המאסר שנגזר על המשיב</w:t>
      </w:r>
      <w:r>
        <w:rPr>
          <w:rtl w:val="true"/>
        </w:rPr>
        <w:t xml:space="preserve">. </w:t>
      </w:r>
      <w:r>
        <w:rPr>
          <w:rtl w:val="true"/>
        </w:rPr>
        <w:t>בית המשפט לא נתן משקל הולם לחומרתם המופלגת של המעשים בשים לב לריבוי הקורבנות</w:t>
      </w:r>
      <w:r>
        <w:rPr>
          <w:rtl w:val="true"/>
        </w:rPr>
        <w:t xml:space="preserve">, </w:t>
      </w:r>
      <w:r>
        <w:rPr>
          <w:rtl w:val="true"/>
        </w:rPr>
        <w:t xml:space="preserve">תשע ילדות כבנות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ולנזקים המשמעותיים שגרמו מעשיו להן</w:t>
      </w:r>
      <w:r>
        <w:rPr>
          <w:rtl w:val="true"/>
        </w:rPr>
        <w:t xml:space="preserve">, </w:t>
      </w:r>
      <w:r>
        <w:rPr>
          <w:rtl w:val="true"/>
        </w:rPr>
        <w:t>למשפחותיהן ואף לתחושת הביטחון של הציבור בכללותו</w:t>
      </w:r>
      <w:r>
        <w:rPr>
          <w:rtl w:val="true"/>
        </w:rPr>
        <w:t xml:space="preserve">. </w:t>
      </w:r>
      <w:r>
        <w:rPr>
          <w:rtl w:val="true"/>
        </w:rPr>
        <w:t>נתונים אלה אינם באים בהלימה עם העונש שהושת עליו</w:t>
      </w:r>
      <w:r>
        <w:rPr>
          <w:rtl w:val="true"/>
        </w:rPr>
        <w:t xml:space="preserve">. </w:t>
      </w:r>
      <w:r>
        <w:rPr>
          <w:rtl w:val="true"/>
        </w:rPr>
        <w:t>לא רק שפגיעתן של עבירות מין בילדים צעירים היא ידועה ואינה טעונה הוכחה</w:t>
      </w:r>
      <w:r>
        <w:rPr>
          <w:rtl w:val="true"/>
        </w:rPr>
        <w:t xml:space="preserve">, </w:t>
      </w:r>
      <w:r>
        <w:rPr>
          <w:rtl w:val="true"/>
        </w:rPr>
        <w:t>אלא שלעובדה זו מצטרפים במקרה זה תסקירי נפגעות העבירה המלמדים על תמונת נזק רחבה ביותר לקטינות ולמשפחותיהן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קביעת עונש של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בגין פגיעה מינית בתשע ילדות בנות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אינה משקפת את ההכרה בכך שכל נפגעת היא עולם בפני עצמו ולכל אחת ואחת נגרמו נזקים שילוו אותה בהמשך חייה</w:t>
      </w:r>
      <w:r>
        <w:rPr>
          <w:rtl w:val="true"/>
        </w:rPr>
        <w:t xml:space="preserve">. </w:t>
      </w:r>
      <w:r>
        <w:rPr>
          <w:rtl w:val="true"/>
        </w:rPr>
        <w:t>בנוסף לפגיעה הקשה שגרם המשיב לקטינות ולמשפחותיהן</w:t>
      </w:r>
      <w:r>
        <w:rPr>
          <w:rtl w:val="true"/>
        </w:rPr>
        <w:t xml:space="preserve">, </w:t>
      </w:r>
      <w:r>
        <w:rPr>
          <w:rtl w:val="true"/>
        </w:rPr>
        <w:t>מעשיו פגעו פגיעה קשה בסדר הציבורי ובתחושות הביטחון של הציבור בכללותו</w:t>
      </w:r>
      <w:r>
        <w:rPr>
          <w:rtl w:val="true"/>
        </w:rPr>
        <w:t xml:space="preserve">, </w:t>
      </w:r>
      <w:r>
        <w:rPr>
          <w:rtl w:val="true"/>
        </w:rPr>
        <w:t>לאור הציפייה הסבירה שילדים הינם מוגנים במוסד החינוכי שבו הם לומדים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 על האמור</w:t>
      </w:r>
      <w:r>
        <w:rPr>
          <w:rtl w:val="true"/>
        </w:rPr>
        <w:t xml:space="preserve">, </w:t>
      </w:r>
      <w:r>
        <w:rPr>
          <w:rtl w:val="true"/>
        </w:rPr>
        <w:t xml:space="preserve">גם לא ניתן משקל מספק למסוכנותו של המשיב הנלמדת בראש ובראשונה מהמעשים עצמם </w:t>
      </w:r>
      <w:r>
        <w:rPr>
          <w:rtl w:val="true"/>
        </w:rPr>
        <w:t>–</w:t>
      </w:r>
      <w:r>
        <w:rPr>
          <w:rtl w:val="true"/>
        </w:rPr>
        <w:t xml:space="preserve"> עבירות מין חמורות ביותר שאת חלקן הגדול ביצע בנוכחות עשרות עדים</w:t>
      </w:r>
      <w:r>
        <w:rPr>
          <w:rtl w:val="true"/>
        </w:rPr>
        <w:t xml:space="preserve">, </w:t>
      </w:r>
      <w:r>
        <w:rPr>
          <w:rtl w:val="true"/>
        </w:rPr>
        <w:t>תוך כדי ניצול מעמדו כדמות חינוכית</w:t>
      </w:r>
      <w:r>
        <w:rPr>
          <w:rtl w:val="true"/>
        </w:rPr>
        <w:t xml:space="preserve">, </w:t>
      </w:r>
      <w:r>
        <w:rPr>
          <w:rtl w:val="true"/>
        </w:rPr>
        <w:t>ניצול פער הגילאים וניצול גילן הצעיר במיוחד של הקטינות</w:t>
      </w:r>
      <w:r>
        <w:rPr>
          <w:rtl w:val="true"/>
        </w:rPr>
        <w:t xml:space="preserve">. </w:t>
      </w:r>
      <w:r>
        <w:rPr>
          <w:rtl w:val="true"/>
        </w:rPr>
        <w:t>המסוכנות הרבה הנשקפת מן המשיב נלמדת גם מהערכת המסוכנות ומתסקיר שירות המבחן שנערכו בעניינו</w:t>
      </w:r>
      <w:r>
        <w:rPr>
          <w:rtl w:val="true"/>
        </w:rPr>
        <w:t xml:space="preserve">. </w:t>
      </w:r>
      <w:r>
        <w:rPr>
          <w:rtl w:val="true"/>
        </w:rPr>
        <w:t>בית המשפט שגה בכך שלא נתן משקל מספיק לצורך להגן על הציבור מפניו ולהרחיקו לתקופה ארוכה ביותר שתמנע פגיעה בקורבנות נוספים</w:t>
      </w:r>
      <w:r>
        <w:rPr>
          <w:rtl w:val="true"/>
        </w:rPr>
        <w:t xml:space="preserve">. </w:t>
      </w:r>
      <w:r>
        <w:rPr>
          <w:rtl w:val="true"/>
        </w:rPr>
        <w:t>כמו כן הודגש כי המשיב טרם שילם את הפיצוי שנפסק לנפגעות העבירה</w:t>
      </w:r>
      <w:r>
        <w:rPr>
          <w:rtl w:val="true"/>
        </w:rPr>
        <w:t xml:space="preserve">, </w:t>
      </w:r>
      <w:r>
        <w:rPr>
          <w:rtl w:val="true"/>
        </w:rPr>
        <w:t>דבר המחזק את המסקנה כי הוא טרם הפנים את חומרת מעשיו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 טען בא</w:t>
      </w:r>
      <w:r>
        <w:rPr>
          <w:rtl w:val="true"/>
        </w:rPr>
        <w:t>-</w:t>
      </w:r>
      <w:r>
        <w:rPr>
          <w:rtl w:val="true"/>
        </w:rPr>
        <w:t>כוח המשיב בדיון לפנינו כי בית המשפט המחוזי לקח בחשבון את מכלול השיקולים הרלוונטיים לעניין בהתייחס לנסיבות המקרה הספציפי בגזירת העונש</w:t>
      </w:r>
      <w:r>
        <w:rPr>
          <w:rtl w:val="true"/>
        </w:rPr>
        <w:t xml:space="preserve">, </w:t>
      </w:r>
      <w:r>
        <w:rPr>
          <w:rtl w:val="true"/>
        </w:rPr>
        <w:t>אשר לא ניתן לומר כי הוא אינו חמור</w:t>
      </w:r>
      <w:r>
        <w:rPr>
          <w:rtl w:val="true"/>
        </w:rPr>
        <w:t xml:space="preserve">. </w:t>
      </w:r>
      <w:r>
        <w:rPr>
          <w:rtl w:val="true"/>
        </w:rPr>
        <w:t>טענת המערערת כי בית המשפט המחוזי לא לקח בחשבון את הפגיעה בכל אחת מנפגעות העבירה אינה יכולה להישמע</w:t>
      </w:r>
      <w:r>
        <w:rPr>
          <w:rtl w:val="true"/>
        </w:rPr>
        <w:t xml:space="preserve">. </w:t>
      </w:r>
      <w:r>
        <w:rPr>
          <w:rtl w:val="true"/>
        </w:rPr>
        <w:t>כמו כן אין מקום להשוות את נסיבות מקרה זה למקרים אחרים שבהם הנאשם פגע בקורבנותיו במשך תקופה ארוכה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בקביעת מתחם העונש ההולם המתאים לכל אישום</w:t>
      </w:r>
      <w:r>
        <w:rPr>
          <w:rtl w:val="true"/>
        </w:rPr>
        <w:t xml:space="preserve">, </w:t>
      </w:r>
      <w:r>
        <w:rPr>
          <w:rtl w:val="true"/>
        </w:rPr>
        <w:t>בית המשפט נתן משקל נכבד למגמת ההחמרה בפסיקה לגבי עבירות דומות</w:t>
      </w:r>
      <w:r>
        <w:rPr>
          <w:rtl w:val="true"/>
        </w:rPr>
        <w:t xml:space="preserve">, </w:t>
      </w:r>
      <w:r>
        <w:rPr>
          <w:rtl w:val="true"/>
        </w:rPr>
        <w:t>כאשר המתחמים אף נקבעו באופן מחמיר</w:t>
      </w:r>
      <w:r>
        <w:rPr>
          <w:rtl w:val="true"/>
        </w:rPr>
        <w:t xml:space="preserve">. </w:t>
      </w:r>
      <w:r>
        <w:rPr>
          <w:rtl w:val="true"/>
        </w:rPr>
        <w:t>בסופו של יום נלקח בחשבון מכלול נסיבות המקרה</w:t>
      </w:r>
      <w:r>
        <w:rPr>
          <w:rtl w:val="true"/>
        </w:rPr>
        <w:t xml:space="preserve">, </w:t>
      </w:r>
      <w:r>
        <w:rPr>
          <w:rtl w:val="true"/>
        </w:rPr>
        <w:t>ובכלל זה היעדר עבר פלילי של המשיב</w:t>
      </w:r>
      <w:r>
        <w:rPr>
          <w:rtl w:val="true"/>
        </w:rPr>
        <w:t xml:space="preserve">, </w:t>
      </w:r>
      <w:r>
        <w:rPr>
          <w:rtl w:val="true"/>
        </w:rPr>
        <w:t>גילו הצעיר והתקופה הקצרה שבה אירעו המעשים</w:t>
      </w:r>
      <w:r>
        <w:rPr>
          <w:rtl w:val="true"/>
        </w:rPr>
        <w:t xml:space="preserve">. </w:t>
      </w:r>
      <w:r>
        <w:rPr>
          <w:rtl w:val="true"/>
        </w:rPr>
        <w:t>המשיב אף היה נכון לקבל טיפול לכל אורך הדרך ונפלו טעויות בתסקיר שירות המבחן שנערך בעניין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ו</w:t>
      </w:r>
      <w:r>
        <w:rPr>
          <w:rtl w:val="true"/>
        </w:rPr>
        <w:t>שמיעת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 </w:t>
      </w:r>
      <w:r>
        <w:rPr>
          <w:rtl w:val="true"/>
        </w:rPr>
        <w:t>שהתקיים</w:t>
      </w:r>
      <w:r>
        <w:rPr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 xml:space="preserve">הגענו </w:t>
      </w:r>
      <w:r>
        <w:rPr>
          <w:rtl w:val="true"/>
        </w:rPr>
        <w:t>לכלל</w:t>
      </w:r>
      <w:r>
        <w:rPr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אין ערכאת הערעור נוהגת להתערב בעונש שהושת על ידי הערכאה הדיונית אלא במקרים שבהם </w:t>
      </w:r>
      <w:r>
        <w:rPr>
          <w:rtl w:val="true"/>
        </w:rPr>
        <w:t>ניכרת</w:t>
      </w:r>
      <w:r>
        <w:rPr>
          <w:rtl w:val="true"/>
        </w:rPr>
        <w:t xml:space="preserve"> סטייה של ממש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כאשר נפלה טעות מהותית ובולטת בגזר הדין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2090/22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29.5.2022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7209/21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18.5.2022</w:t>
      </w:r>
      <w:r>
        <w:rPr>
          <w:rtl w:val="true"/>
        </w:rPr>
        <w:t xml:space="preserve">)). </w:t>
      </w:r>
      <w:r>
        <w:rPr>
          <w:rtl w:val="true"/>
        </w:rPr>
        <w:t>עניינו של המשיב נמנה עם אותם מקרים חריגים בהם נדרשת התערבותנו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 העונש שנגזר עליו איננו מבטא כראוי את חומרת מעשיו</w:t>
      </w:r>
      <w:r>
        <w:rPr>
          <w:rtl w:val="true"/>
        </w:rPr>
        <w:t xml:space="preserve">, </w:t>
      </w:r>
      <w:r>
        <w:rPr>
          <w:rtl w:val="true"/>
        </w:rPr>
        <w:t>את מספר הקטינות שבהן פגע ואת עצמת הנזקים שנגרמו להן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פעם ולא פעמיים עמד בית משפט זה על החומרה הטמונה בעבירות מין בכלל</w:t>
      </w:r>
      <w:r>
        <w:rPr>
          <w:rtl w:val="true"/>
        </w:rPr>
        <w:t xml:space="preserve">, </w:t>
      </w:r>
      <w:r>
        <w:rPr>
          <w:rtl w:val="true"/>
        </w:rPr>
        <w:t>ובעבירות מין בקטינים בפרט</w:t>
      </w:r>
      <w:r>
        <w:rPr>
          <w:rtl w:val="true"/>
        </w:rPr>
        <w:t xml:space="preserve">, </w:t>
      </w:r>
      <w:r>
        <w:rPr>
          <w:rtl w:val="true"/>
        </w:rPr>
        <w:t xml:space="preserve">המתאפיינות בניצול תמימותו וחולשתו של הקטין לסיפוק יצריו של הפוגע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4731/19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3.10.2019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2538/19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13.11.2019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29.1.2020</w:t>
      </w:r>
      <w:r>
        <w:rPr>
          <w:rtl w:val="true"/>
        </w:rPr>
        <w:t xml:space="preserve">)). </w:t>
      </w:r>
      <w:r>
        <w:rPr>
          <w:rtl w:val="true"/>
        </w:rPr>
        <w:t>בהתאם לכך נקבע כי מדיניות הענישה בעבירות מין צריכה להיות מחמירה ולבטא לא רק את האינטרס הציבורי בהרתעתם של עברייני מין פוטנציאליים</w:t>
      </w:r>
      <w:r>
        <w:rPr>
          <w:rtl w:val="true"/>
        </w:rPr>
        <w:t xml:space="preserve">, </w:t>
      </w:r>
      <w:r>
        <w:rPr>
          <w:rtl w:val="true"/>
        </w:rPr>
        <w:t>אלא גם את הנזקים המשמעותיים הנגרמים לגופם ונפשם של נפגעי עבירות אלו</w:t>
      </w:r>
      <w:r>
        <w:rPr>
          <w:rtl w:val="true"/>
        </w:rPr>
        <w:t xml:space="preserve">. </w:t>
      </w:r>
      <w:r>
        <w:rPr>
          <w:rtl w:val="true"/>
        </w:rPr>
        <w:t>זאת כאשר הפגיעה בנפשו של קטין</w:t>
      </w:r>
      <w:r>
        <w:rPr>
          <w:rtl w:val="true"/>
        </w:rPr>
        <w:t xml:space="preserve">, </w:t>
      </w:r>
      <w:r>
        <w:rPr>
          <w:rtl w:val="true"/>
        </w:rPr>
        <w:t>בשלב שבו טרם התגבשה אישיותו באופן מלא</w:t>
      </w:r>
      <w:r>
        <w:rPr>
          <w:rtl w:val="true"/>
        </w:rPr>
        <w:t xml:space="preserve">, </w:t>
      </w:r>
      <w:r>
        <w:rPr>
          <w:rtl w:val="true"/>
        </w:rPr>
        <w:t xml:space="preserve">מותירה בו פעמים רבות צלקות עמוקות ומתמשכות אשר ילוו אותו שנים ארוכות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רימוני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7046/18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18.8.2021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27.2.2022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גזר על המשיב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לאחר שנתן דעתו</w:t>
      </w:r>
      <w:r>
        <w:rPr>
          <w:rtl w:val="true"/>
        </w:rPr>
        <w:t xml:space="preserve">, </w:t>
      </w:r>
      <w:r>
        <w:rPr>
          <w:rtl w:val="true"/>
        </w:rPr>
        <w:t>לצד חומרת המעשים</w:t>
      </w:r>
      <w:r>
        <w:rPr>
          <w:rtl w:val="true"/>
        </w:rPr>
        <w:t xml:space="preserve">, </w:t>
      </w:r>
      <w:r>
        <w:rPr>
          <w:rtl w:val="true"/>
        </w:rPr>
        <w:t>לנסיבות אישיות שונות של המשיב ובהן עברו הפלילי</w:t>
      </w:r>
      <w:r>
        <w:rPr>
          <w:rtl w:val="true"/>
        </w:rPr>
        <w:t xml:space="preserve">, </w:t>
      </w:r>
      <w:r>
        <w:rPr>
          <w:rtl w:val="true"/>
        </w:rPr>
        <w:t>גילו הצעיר</w:t>
      </w:r>
      <w:r>
        <w:rPr>
          <w:rtl w:val="true"/>
        </w:rPr>
        <w:t xml:space="preserve">, </w:t>
      </w:r>
      <w:r>
        <w:rPr>
          <w:rtl w:val="true"/>
        </w:rPr>
        <w:t>הנזק שנגרם למשפחתו כמו גם לעובדה שהודה בשלב מוקדם בעובדות כתב האישום המתוקן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 מקום ליתן משקל לנתונים אלו</w:t>
      </w:r>
      <w:r>
        <w:rPr>
          <w:rtl w:val="true"/>
        </w:rPr>
        <w:t xml:space="preserve">, </w:t>
      </w:r>
      <w:r>
        <w:rPr>
          <w:rtl w:val="true"/>
        </w:rPr>
        <w:t>אולם סבורני כי באיזון הראוי בנסיבות המקרה לא ניתן משקל מספק לעקרון ההלימה</w:t>
      </w:r>
      <w:r>
        <w:rPr>
          <w:rtl w:val="true"/>
        </w:rPr>
        <w:t xml:space="preserve">, </w:t>
      </w:r>
      <w:r>
        <w:rPr>
          <w:rtl w:val="true"/>
        </w:rPr>
        <w:t>בשים לב לחומרת המעשים</w:t>
      </w:r>
      <w:r>
        <w:rPr>
          <w:rtl w:val="true"/>
        </w:rPr>
        <w:t xml:space="preserve">, </w:t>
      </w:r>
      <w:r>
        <w:rPr>
          <w:rtl w:val="true"/>
        </w:rPr>
        <w:t>למספר האירועים והקורבנות שספגו את מעשי המשיב</w:t>
      </w:r>
      <w:r>
        <w:rPr>
          <w:rtl w:val="true"/>
        </w:rPr>
        <w:t xml:space="preserve">, </w:t>
      </w:r>
      <w:r>
        <w:rPr>
          <w:rtl w:val="true"/>
        </w:rPr>
        <w:t xml:space="preserve">ולמעגלי הפגיעה הרבים שנוצרו כתוצאה מכך </w:t>
      </w:r>
      <w:r>
        <w:rPr>
          <w:rtl w:val="true"/>
        </w:rPr>
        <w:t>–</w:t>
      </w:r>
      <w:r>
        <w:rPr>
          <w:rtl w:val="true"/>
        </w:rPr>
        <w:t xml:space="preserve"> בקרב משפחותיהן של נפגעות העבירה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לבית המשפט אכן נתון שיקול דעת רחב בקביעת עונש כולל בגין מספר אירועים</w:t>
      </w:r>
      <w:r>
        <w:rPr>
          <w:rtl w:val="true"/>
        </w:rPr>
        <w:t xml:space="preserve">, </w:t>
      </w:r>
      <w:r>
        <w:rPr>
          <w:rtl w:val="true"/>
        </w:rPr>
        <w:t xml:space="preserve">אולם בעשותו כן עליו להקפיד על קיומה של ההוראה הקבועה </w:t>
      </w:r>
      <w:hyperlink r:id="rId2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המורה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בגזירת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בכגון</w:t>
      </w:r>
      <w:r>
        <w:rPr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 xml:space="preserve">על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 xml:space="preserve">להתחשב בין היתר </w:t>
      </w:r>
      <w:r>
        <w:rPr>
          <w:rtl w:val="true"/>
        </w:rPr>
        <w:t>"</w:t>
      </w:r>
      <w:r>
        <w:rPr>
          <w:rtl w:val="true"/>
        </w:rPr>
        <w:t>במספר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בתדירותן</w:t>
      </w:r>
      <w:r>
        <w:rPr>
          <w:rtl w:val="true"/>
        </w:rPr>
        <w:t xml:space="preserve"> </w:t>
      </w:r>
      <w:r>
        <w:rPr>
          <w:rtl w:val="true"/>
        </w:rPr>
        <w:t>ובזיקה</w:t>
      </w:r>
      <w:r>
        <w:rPr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", </w:t>
      </w:r>
      <w:r>
        <w:rPr>
          <w:rtl w:val="true"/>
        </w:rPr>
        <w:t xml:space="preserve">ולשמור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יחס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מכלול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ומידת</w:t>
      </w:r>
      <w:r>
        <w:rPr>
          <w:rtl w:val="true"/>
        </w:rPr>
        <w:t xml:space="preserve"> </w:t>
      </w:r>
      <w:r>
        <w:rPr>
          <w:rtl w:val="true"/>
        </w:rPr>
        <w:t>אשמו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סוג העונש</w:t>
      </w:r>
      <w:r>
        <w:rPr>
          <w:rtl w:val="true"/>
        </w:rPr>
        <w:t xml:space="preserve">, </w:t>
      </w:r>
      <w:r>
        <w:rPr>
          <w:rtl w:val="true"/>
        </w:rPr>
        <w:t xml:space="preserve">ואם גזר עונש מאסר </w:t>
      </w:r>
      <w:r>
        <w:rPr>
          <w:rtl w:val="true"/>
        </w:rPr>
        <w:t>–</w:t>
      </w:r>
      <w:r>
        <w:rPr>
          <w:rtl w:val="true"/>
        </w:rPr>
        <w:t xml:space="preserve"> לבין </w:t>
      </w:r>
      <w:r>
        <w:rPr>
          <w:rtl w:val="true"/>
        </w:rPr>
        <w:t>תקופת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לשאת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2626/13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6.1.2015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משמעות הדבר</w:t>
      </w:r>
      <w:r>
        <w:rPr>
          <w:rtl w:val="true"/>
        </w:rPr>
        <w:t xml:space="preserve">, </w:t>
      </w:r>
      <w:r>
        <w:rPr>
          <w:rtl w:val="true"/>
        </w:rPr>
        <w:t>כי על בית המשפט לשמור על עיקרון ההלימה כבעל מעמד בכורה בין שיקולי הענישה</w:t>
      </w:r>
      <w:r>
        <w:rPr>
          <w:rtl w:val="true"/>
        </w:rPr>
        <w:t xml:space="preserve">, </w:t>
      </w:r>
      <w:r>
        <w:rPr>
          <w:rtl w:val="true"/>
        </w:rPr>
        <w:t xml:space="preserve">גם כאשר מדובר בענישה כוללת בגין אירועים שונים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5.2.2019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בפסיקת בית משפט זה הובהר כי במלאכת גזירת הדין בגין ביצוע עבירות מין בקטינים</w:t>
      </w:r>
      <w:r>
        <w:rPr>
          <w:rtl w:val="true"/>
        </w:rPr>
        <w:t xml:space="preserve">, </w:t>
      </w:r>
      <w:r>
        <w:rPr>
          <w:rtl w:val="true"/>
        </w:rPr>
        <w:t>יש ליתן את משקל הבכורה לשיקולי הגמול וההרתעה</w:t>
      </w:r>
      <w:r>
        <w:rPr>
          <w:rtl w:val="true"/>
        </w:rPr>
        <w:t xml:space="preserve">, </w:t>
      </w:r>
      <w:r>
        <w:rPr>
          <w:rtl w:val="true"/>
        </w:rPr>
        <w:t xml:space="preserve">ולהעדיפם על פני נסיבותיו האישיות של הנאשם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2661/12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19.11.2012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21.9.2015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אייזק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19.2.2020</w:t>
      </w:r>
      <w:r>
        <w:rPr>
          <w:rtl w:val="true"/>
        </w:rPr>
        <w:t xml:space="preserve">)).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יש לחדד באשר לשיקול שעניינו ביצוע המעשים בתקופה קצרה יחסית</w:t>
      </w:r>
      <w:r>
        <w:rPr>
          <w:rtl w:val="true"/>
        </w:rPr>
        <w:t xml:space="preserve">, </w:t>
      </w:r>
      <w:r>
        <w:rPr>
          <w:rtl w:val="true"/>
        </w:rPr>
        <w:t>אשר בא</w:t>
      </w:r>
      <w:r>
        <w:rPr>
          <w:rtl w:val="true"/>
        </w:rPr>
        <w:t>-</w:t>
      </w:r>
      <w:r>
        <w:rPr>
          <w:rtl w:val="true"/>
        </w:rPr>
        <w:t>כוח המשיב ביקש ליתן לו משקל משמעותי</w:t>
      </w:r>
      <w:r>
        <w:rPr>
          <w:rtl w:val="true"/>
        </w:rPr>
        <w:t xml:space="preserve">, </w:t>
      </w:r>
      <w:r>
        <w:rPr>
          <w:rtl w:val="true"/>
        </w:rPr>
        <w:t>כי לדעתי אין מדובר כלל בנתון אשר ניתן לזקוף לטובת המשיב</w:t>
      </w:r>
      <w:r>
        <w:rPr>
          <w:rtl w:val="true"/>
        </w:rPr>
        <w:t xml:space="preserve">. </w:t>
      </w:r>
      <w:r>
        <w:rPr>
          <w:rtl w:val="true"/>
        </w:rPr>
        <w:t>מעשיו של המשיב בוצעו ללא הפרעה בימים שבהם הוא התנדב בכיתה א</w:t>
      </w:r>
      <w:r>
        <w:rPr>
          <w:rtl w:val="true"/>
        </w:rPr>
        <w:t xml:space="preserve">' </w:t>
      </w:r>
      <w:r>
        <w:rPr>
          <w:rtl w:val="true"/>
        </w:rPr>
        <w:t>בבית הספר</w:t>
      </w:r>
      <w:r>
        <w:rPr>
          <w:rtl w:val="true"/>
        </w:rPr>
        <w:t xml:space="preserve">. </w:t>
      </w:r>
      <w:r>
        <w:rPr>
          <w:rtl w:val="true"/>
        </w:rPr>
        <w:t>המעשים הפסיקו רק בשל כך שאחת הקטינות אותה הוא תקף אזרה אומץ וסיפרה למורתה על אודות מה שהמשיב עולל לה</w:t>
      </w:r>
      <w:r>
        <w:rPr>
          <w:rtl w:val="true"/>
        </w:rPr>
        <w:t xml:space="preserve">. </w:t>
      </w:r>
      <w:r>
        <w:rPr>
          <w:rtl w:val="true"/>
        </w:rPr>
        <w:t>לא היה זה אפוא המשיב אשר חדל ביוזמתו ממעשיו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המשיב פגע בקטינות כבנות שש שנים</w:t>
      </w:r>
      <w:r>
        <w:rPr>
          <w:rtl w:val="true"/>
        </w:rPr>
        <w:t xml:space="preserve">, </w:t>
      </w:r>
      <w:r>
        <w:rPr>
          <w:rtl w:val="true"/>
        </w:rPr>
        <w:t>אשר עשו את צעדיהן הראשונים כתלמידות כיתה א</w:t>
      </w:r>
      <w:r>
        <w:rPr>
          <w:rtl w:val="true"/>
        </w:rPr>
        <w:t xml:space="preserve">' </w:t>
      </w:r>
      <w:r>
        <w:rPr>
          <w:rtl w:val="true"/>
        </w:rPr>
        <w:t>בבית ספר</w:t>
      </w:r>
      <w:r>
        <w:rPr>
          <w:rtl w:val="true"/>
        </w:rPr>
        <w:t xml:space="preserve">, </w:t>
      </w:r>
      <w:r>
        <w:rPr>
          <w:rtl w:val="true"/>
        </w:rPr>
        <w:t>כשהוא מנצל את תמימותן הרבה</w:t>
      </w:r>
      <w:r>
        <w:rPr>
          <w:rtl w:val="true"/>
        </w:rPr>
        <w:t xml:space="preserve">, </w:t>
      </w:r>
      <w:r>
        <w:rPr>
          <w:rtl w:val="true"/>
        </w:rPr>
        <w:t>את חוסר האונים שבו הן היו נתונות</w:t>
      </w:r>
      <w:r>
        <w:rPr>
          <w:rtl w:val="true"/>
        </w:rPr>
        <w:t xml:space="preserve">, </w:t>
      </w:r>
      <w:r>
        <w:rPr>
          <w:rtl w:val="true"/>
        </w:rPr>
        <w:t>את הפגיעוּת המאפיינת ילדות צעירות אשר רק החלו תהליך הסתגלות ראשוני למסגרת חינוכית חדשה ולא מוכרת</w:t>
      </w:r>
      <w:r>
        <w:rPr>
          <w:rtl w:val="true"/>
        </w:rPr>
        <w:t xml:space="preserve">, </w:t>
      </w:r>
      <w:r>
        <w:rPr>
          <w:rtl w:val="true"/>
        </w:rPr>
        <w:t>ואת האמון שהן והוריהן נתנו במשיב בעצם היותו נמנה על הצוות החינוכי</w:t>
      </w:r>
      <w:r>
        <w:rPr>
          <w:rtl w:val="true"/>
        </w:rPr>
        <w:t xml:space="preserve">. </w:t>
      </w:r>
      <w:r>
        <w:rPr>
          <w:rtl w:val="true"/>
        </w:rPr>
        <w:t>המשיב אף הגדיל לעשות ואת מרבית מעשיו ביצע בנוכחותם הקרובה של יתר תלמידי הכיתה והצוות חינוכי שנמצא בכיתה</w:t>
      </w:r>
      <w:r>
        <w:rPr>
          <w:rtl w:val="true"/>
        </w:rPr>
        <w:t xml:space="preserve">. </w:t>
      </w:r>
      <w:r>
        <w:rPr>
          <w:rtl w:val="true"/>
        </w:rPr>
        <w:t>התעוזה הכרוכה בביצוע מעשים כגון דא</w:t>
      </w:r>
      <w:r>
        <w:rPr>
          <w:rtl w:val="true"/>
        </w:rPr>
        <w:t xml:space="preserve">, </w:t>
      </w:r>
      <w:r>
        <w:rPr>
          <w:rtl w:val="true"/>
        </w:rPr>
        <w:t>בכיתת לימודים</w:t>
      </w:r>
      <w:r>
        <w:rPr>
          <w:rtl w:val="true"/>
        </w:rPr>
        <w:t xml:space="preserve">, </w:t>
      </w:r>
      <w:r>
        <w:rPr>
          <w:rtl w:val="true"/>
        </w:rPr>
        <w:t>כשהוא תוקף קטינה אחר קטינה בתוך מוסד חינוכי שהורים שולחים אליו את ילדיהם מתוך הנחה כי הם יהיו מוגנים ושמורים בתוכו</w:t>
      </w:r>
      <w:r>
        <w:rPr>
          <w:rtl w:val="true"/>
        </w:rPr>
        <w:t xml:space="preserve">, </w:t>
      </w:r>
      <w:r>
        <w:rPr>
          <w:rtl w:val="true"/>
        </w:rPr>
        <w:t>ראויה לסלידה וגינוי ומחייבת הרתעה ברמה גבוהה ביותר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למותר לציין כי הערכת המסוכנות שהוגשה בעניינו של המשיב העריכה את מידת מסוכנו כבינונית</w:t>
      </w:r>
      <w:r>
        <w:rPr>
          <w:rtl w:val="true"/>
        </w:rPr>
        <w:t>-</w:t>
      </w:r>
      <w:r>
        <w:rPr>
          <w:rtl w:val="true"/>
        </w:rPr>
        <w:t>גבוהה ושירות המבחן לא בא בהמלצה שיקומית בעניינו</w:t>
      </w:r>
      <w:r>
        <w:rPr>
          <w:rtl w:val="true"/>
        </w:rPr>
        <w:t xml:space="preserve">, </w:t>
      </w:r>
      <w:r>
        <w:rPr>
          <w:rtl w:val="true"/>
        </w:rPr>
        <w:t>בציינו כי קיימת רמת סיכון להישנות ביצוע עבירות דומות בעתיד וכי המשיב מתקשה לקחת אחריות מלאה על מעשיו</w:t>
      </w:r>
      <w:r>
        <w:rPr>
          <w:rtl w:val="true"/>
        </w:rPr>
        <w:t xml:space="preserve">. </w:t>
      </w:r>
      <w:r>
        <w:rPr>
          <w:rtl w:val="true"/>
        </w:rPr>
        <w:t>יצוין כי גם תסקיר מעודכן שהוגש לפנינו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6.10.2022</w:t>
      </w:r>
      <w:r>
        <w:rPr>
          <w:rtl w:val="true"/>
        </w:rPr>
        <w:t xml:space="preserve">, </w:t>
      </w:r>
      <w:r>
        <w:rPr>
          <w:rtl w:val="true"/>
        </w:rPr>
        <w:t>אינו משנה ממסקנה זו</w:t>
      </w:r>
      <w:r>
        <w:rPr>
          <w:rtl w:val="true"/>
        </w:rPr>
        <w:t xml:space="preserve">. </w:t>
      </w:r>
      <w:r>
        <w:rPr>
          <w:rtl w:val="true"/>
        </w:rPr>
        <w:t>לא מצאתי ממש בטענות בא</w:t>
      </w:r>
      <w:r>
        <w:rPr>
          <w:rtl w:val="true"/>
        </w:rPr>
        <w:t>-</w:t>
      </w:r>
      <w:r>
        <w:rPr>
          <w:rtl w:val="true"/>
        </w:rPr>
        <w:t xml:space="preserve">כוח המשיב בדבר </w:t>
      </w:r>
      <w:r>
        <w:rPr>
          <w:rtl w:val="true"/>
        </w:rPr>
        <w:t>"</w:t>
      </w:r>
      <w:r>
        <w:rPr>
          <w:rtl w:val="true"/>
        </w:rPr>
        <w:t>טעויות</w:t>
      </w:r>
      <w:r>
        <w:rPr>
          <w:rtl w:val="true"/>
        </w:rPr>
        <w:t xml:space="preserve">" </w:t>
      </w:r>
      <w:r>
        <w:rPr>
          <w:rtl w:val="true"/>
        </w:rPr>
        <w:t>שנפלו בהערכת שירות המבחן</w:t>
      </w:r>
      <w:r>
        <w:rPr>
          <w:rtl w:val="true"/>
        </w:rPr>
        <w:t xml:space="preserve">, </w:t>
      </w:r>
      <w:r>
        <w:rPr>
          <w:rtl w:val="true"/>
        </w:rPr>
        <w:t>מה גם שכפי שטענה המערערת</w:t>
      </w:r>
      <w:r>
        <w:rPr>
          <w:rtl w:val="true"/>
        </w:rPr>
        <w:t xml:space="preserve">, </w:t>
      </w:r>
      <w:r>
        <w:rPr>
          <w:rtl w:val="true"/>
        </w:rPr>
        <w:t>במידה רבה של צדק</w:t>
      </w:r>
      <w:r>
        <w:rPr>
          <w:rtl w:val="true"/>
        </w:rPr>
        <w:t xml:space="preserve">, </w:t>
      </w:r>
      <w:r>
        <w:rPr>
          <w:rtl w:val="true"/>
        </w:rPr>
        <w:t>אם היה המשיב חפץ בקבלת אחריות מלאה על אשר עולל לקטינות</w:t>
      </w:r>
      <w:r>
        <w:rPr>
          <w:rtl w:val="true"/>
        </w:rPr>
        <w:t xml:space="preserve">, </w:t>
      </w:r>
      <w:r>
        <w:rPr>
          <w:rtl w:val="true"/>
        </w:rPr>
        <w:t>ניתן היה לשער כי היה מזדרז לשלם את הפיצוי שהושת עליו</w:t>
      </w:r>
      <w:r>
        <w:rPr>
          <w:rtl w:val="true"/>
        </w:rPr>
        <w:t xml:space="preserve">. </w:t>
      </w:r>
      <w:r>
        <w:rPr>
          <w:rtl w:val="true"/>
        </w:rPr>
        <w:t>אלא שהמשיב נמנע מלעשות כן וגם בכך יש כדי לחזק את מסקנת שירות המבחן בעניינו</w:t>
      </w:r>
      <w:r>
        <w:rPr>
          <w:rtl w:val="true"/>
        </w:rPr>
        <w:t xml:space="preserve">, </w:t>
      </w:r>
      <w:r>
        <w:rPr>
          <w:rtl w:val="true"/>
        </w:rPr>
        <w:t>נגדה יצא חוצץ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כך יש להוסיף את סבלן הרב של נפגעות העבירה ומשפחותיהן</w:t>
      </w:r>
      <w:r>
        <w:rPr>
          <w:rtl w:val="true"/>
        </w:rPr>
        <w:t xml:space="preserve">, </w:t>
      </w:r>
      <w:r>
        <w:rPr>
          <w:rtl w:val="true"/>
        </w:rPr>
        <w:t>אשר מפאת כבודן אין מקום להאריך דברים על אודותיו</w:t>
      </w:r>
      <w:r>
        <w:rPr>
          <w:rtl w:val="true"/>
        </w:rPr>
        <w:t xml:space="preserve">. </w:t>
      </w:r>
      <w:r>
        <w:rPr>
          <w:rtl w:val="true"/>
        </w:rPr>
        <w:t xml:space="preserve">די שנציין כי מקריאת תסקירי נפגעות העבירה </w:t>
      </w:r>
      <w:r>
        <w:rPr>
          <w:rtl w:val="true"/>
        </w:rPr>
        <w:t>(</w:t>
      </w:r>
      <w:r>
        <w:rPr>
          <w:rtl w:val="true"/>
        </w:rPr>
        <w:t>בעניינן של שמונה מתוך תשע הנפגעות</w:t>
      </w:r>
      <w:r>
        <w:rPr>
          <w:rtl w:val="true"/>
        </w:rPr>
        <w:t xml:space="preserve">) </w:t>
      </w:r>
      <w:r>
        <w:rPr>
          <w:rtl w:val="true"/>
        </w:rPr>
        <w:t>ושמיעת חלק מהורי הנפגעות בדיון שלפנינו</w:t>
      </w:r>
      <w:r>
        <w:rPr>
          <w:rtl w:val="true"/>
        </w:rPr>
        <w:t xml:space="preserve">, </w:t>
      </w:r>
      <w:r>
        <w:rPr>
          <w:rtl w:val="true"/>
        </w:rPr>
        <w:t>ניכר כי נפגעות העבירה ובני משפחותיהן עברו טלטלה קשה</w:t>
      </w:r>
      <w:r>
        <w:rPr>
          <w:rtl w:val="true"/>
        </w:rPr>
        <w:t xml:space="preserve">, </w:t>
      </w:r>
      <w:r>
        <w:rPr>
          <w:rtl w:val="true"/>
        </w:rPr>
        <w:t>טראומתית וכואבת שהשלכותיה מהדהדות למישורי חייהם ברבדים שונים והן צפויות להדהד גם בהמשך חייהם</w:t>
      </w:r>
      <w:r>
        <w:rPr>
          <w:rtl w:val="true"/>
        </w:rPr>
        <w:t xml:space="preserve">. </w:t>
      </w:r>
      <w:r>
        <w:rPr>
          <w:rtl w:val="true"/>
        </w:rPr>
        <w:t>בצדק אפוא טענה המערערת כי העונש שנקבע למכלול האירועים</w:t>
      </w:r>
      <w:r>
        <w:rPr>
          <w:rtl w:val="true"/>
        </w:rPr>
        <w:t xml:space="preserve">, </w:t>
      </w:r>
      <w:r>
        <w:rPr>
          <w:rtl w:val="true"/>
        </w:rPr>
        <w:t>אינו משקף דיו גם לא את חומרת הנזקים שגרמו מעשיו של המשיב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סופו של יום</w:t>
      </w:r>
      <w:r>
        <w:rPr>
          <w:rtl w:val="true"/>
        </w:rPr>
        <w:t xml:space="preserve">, </w:t>
      </w:r>
      <w:r>
        <w:rPr>
          <w:rtl w:val="true"/>
        </w:rPr>
        <w:t>מכלול הנסיבות המחמירות שפורטו לעיל מחייב גזירת עונש חמור במידה משמעותית מזה שנגזר עליו על ידי בית המשפט המחוזי</w:t>
      </w:r>
      <w:r>
        <w:rPr>
          <w:rtl w:val="true"/>
        </w:rPr>
        <w:t xml:space="preserve">. </w:t>
      </w:r>
      <w:r>
        <w:rPr>
          <w:rtl w:val="true"/>
        </w:rPr>
        <w:t>חרף זאת</w:t>
      </w:r>
      <w:r>
        <w:rPr>
          <w:rtl w:val="true"/>
        </w:rPr>
        <w:t xml:space="preserve">, </w:t>
      </w:r>
      <w:r>
        <w:rPr>
          <w:rtl w:val="true"/>
        </w:rPr>
        <w:t>בשים לב לכלל על פיו אין ערכאת הערעור ממצה את הדין עם נאשם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לחבריי לקבל את הערעור ולהעמיד את עונש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שיושת על המשיב על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חלף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השנים שנגזרו עליו בבית המשפט המחוזי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. </w:t>
      </w:r>
      <w:r>
        <w:rPr>
          <w:rtl w:val="true"/>
        </w:rPr>
        <w:t>יתר רכיבי גזר הדין יוותרו על כנם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אני מסכימה לחוות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דעתו של חברי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השופט 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מינץ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עבירות מין בכלל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לא כל שכן כלפי קטינים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פוערות פצעים עמוקים בנפשם של הנפגעים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ואחריתם מי ישורנה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שציינתי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  <w:highlight w:val="yellow"/>
        </w:rPr>
      </w:pPr>
      <w:r>
        <w:rPr>
          <w:rFonts w:cs="FrankRuehl" w:ascii="Arial TUR;Arial" w:hAnsi="Arial TUR;Arial"/>
          <w:spacing w:val="10"/>
          <w:sz w:val="22"/>
          <w:szCs w:val="28"/>
          <w:highlight w:val="yellow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, </w:t>
      </w:r>
      <w:r>
        <w:rPr>
          <w:rtl w:val="true"/>
        </w:rPr>
        <w:t>גורמות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ובאוטונומיה</w:t>
      </w:r>
      <w:r>
        <w:rPr>
          <w:rtl w:val="true"/>
        </w:rPr>
        <w:t xml:space="preserve">, </w:t>
      </w:r>
      <w:r>
        <w:rPr>
          <w:rtl w:val="true"/>
        </w:rPr>
        <w:t>הופכות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וגופניות</w:t>
      </w:r>
      <w:r>
        <w:rPr>
          <w:rtl w:val="true"/>
        </w:rPr>
        <w:t xml:space="preserve">, </w:t>
      </w:r>
      <w:r>
        <w:rPr>
          <w:rtl w:val="true"/>
        </w:rPr>
        <w:t>המצריכות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מורכבים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הגופנית</w:t>
      </w:r>
      <w:r>
        <w:rPr>
          <w:rtl w:val="true"/>
        </w:rPr>
        <w:t xml:space="preserve">, </w:t>
      </w:r>
      <w:r>
        <w:rPr>
          <w:rtl w:val="true"/>
        </w:rPr>
        <w:t>הנפשית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והשכלית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ומאושר</w:t>
      </w:r>
      <w:r>
        <w:rPr>
          <w:rtl w:val="true"/>
        </w:rPr>
        <w:t>" 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8153/19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פלוני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נ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מדינת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20.10.2020</w:t>
      </w:r>
      <w:r>
        <w:rPr>
          <w:rtl w:val="true"/>
        </w:rPr>
        <w:t>).</w:t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rPr>
          <w:rFonts w:ascii="FrankRuehl" w:hAnsi="FrankRuehl" w:eastAsia="FrankRuehl" w:cs="FrankRuehl"/>
          <w:color w:val="000000"/>
          <w:spacing w:val="10"/>
          <w:sz w:val="28"/>
          <w:szCs w:val="28"/>
        </w:rPr>
      </w:pP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אמונו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וביתר שאת – כאשר הפוגע אחראי על הקטין הנפגע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כבענייננו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לא בכדי אפוא חזר בית משפט זה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חזור והדגש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color w:val="000000"/>
          <w:spacing w:val="10"/>
          <w:sz w:val="22"/>
          <w:szCs w:val="28"/>
        </w:rPr>
      </w:pPr>
      <w:r>
        <w:rPr>
          <w:rFonts w:cs="FrankRuehl" w:ascii="Arial TUR;Arial" w:hAnsi="Arial TUR;Arial"/>
          <w:color w:val="000000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rPr/>
      </w:pP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מעשיו של המשיב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אשר בוצעו תוך ניצול מחפיר של האמון שרכשו לו הנפגעות הקטינות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חריגים בחומרתם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ודלה השפה מלתאר את השלכותיהם ההרסניות על עולמן של נפגעות העבירה – </w:t>
      </w:r>
      <w:r>
        <w:rPr>
          <w:rFonts w:ascii="Century" w:hAnsi="Century" w:cs="Miriam"/>
          <w:b/>
          <w:b/>
          <w:sz w:val="22"/>
          <w:sz w:val="22"/>
          <w:rtl w:val="true"/>
        </w:rPr>
        <w:t>תשע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קטינות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בכיתה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תשע נפשות רכות ותמימות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תשעה עולמות שאך החלו וכבר נפגעו כה קשה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rPr/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הורי הנפגעות </w:t>
      </w:r>
      <w:r>
        <w:rPr>
          <w:rFonts w:ascii="Century" w:hAnsi="Century" w:cs="FrankRuehl"/>
          <w:spacing w:val="10"/>
          <w:szCs w:val="28"/>
          <w:rtl w:val="true"/>
        </w:rPr>
        <w:t>עתרו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קולכם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נשמע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יסייעו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במידת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בשיכוך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משפחותיהן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ויהוו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ולצמיחה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end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גרוסקופף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  <w:u w:val="single"/>
        </w:rPr>
      </w:pPr>
      <w:r>
        <w:rPr>
          <w:rFonts w:cs="FrankRuehl" w:ascii="Century" w:hAnsi="Century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מינץ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הנכוחים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וילנר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end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מינץ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bookmarkStart w:id="16" w:name="Nitan"/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, ‏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ז בחשון התשפ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ג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(‏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10.11.2022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22039360</w:t>
      </w:r>
      <w:r>
        <w:rPr>
          <w:sz w:val="16"/>
          <w:rtl w:val="true"/>
        </w:rPr>
        <w:t>_</w:t>
      </w:r>
      <w:r>
        <w:rPr>
          <w:sz w:val="16"/>
        </w:rPr>
        <w:t>N02.docx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54678313-3936/22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567" w:top="1701" w:footer="397" w:bottom="1134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3936/22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יואב בושמיץ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1" TargetMode="External"/><Relationship Id="rId4" Type="http://schemas.openxmlformats.org/officeDocument/2006/relationships/hyperlink" Target="http://www.nevo.co.il/law/70301/345.b.1" TargetMode="External"/><Relationship Id="rId5" Type="http://schemas.openxmlformats.org/officeDocument/2006/relationships/hyperlink" Target="http://www.nevo.co.il/law/70301/348.b" TargetMode="External"/><Relationship Id="rId6" Type="http://schemas.openxmlformats.org/officeDocument/2006/relationships/hyperlink" Target="http://www.nevo.co.il/law/70301/40jc.c" TargetMode="External"/><Relationship Id="rId7" Type="http://schemas.openxmlformats.org/officeDocument/2006/relationships/hyperlink" Target="http://www.nevo.co.il/case/27324658" TargetMode="External"/><Relationship Id="rId8" Type="http://schemas.openxmlformats.org/officeDocument/2006/relationships/hyperlink" Target="http://www.nevo.co.il/law/70301/345.a.1" TargetMode="External"/><Relationship Id="rId9" Type="http://schemas.openxmlformats.org/officeDocument/2006/relationships/hyperlink" Target="http://www.nevo.co.il/law/70301/345.b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8.b" TargetMode="External"/><Relationship Id="rId12" Type="http://schemas.openxmlformats.org/officeDocument/2006/relationships/hyperlink" Target="http://www.nevo.co.il/law/70301/345.a.1" TargetMode="External"/><Relationship Id="rId13" Type="http://schemas.openxmlformats.org/officeDocument/2006/relationships/hyperlink" Target="http://www.nevo.co.il/law/70301/345.b.1" TargetMode="External"/><Relationship Id="rId14" Type="http://schemas.openxmlformats.org/officeDocument/2006/relationships/hyperlink" Target="http://www.nevo.co.il/case/28429424" TargetMode="External"/><Relationship Id="rId15" Type="http://schemas.openxmlformats.org/officeDocument/2006/relationships/hyperlink" Target="http://www.nevo.co.il/case/28044497" TargetMode="External"/><Relationship Id="rId16" Type="http://schemas.openxmlformats.org/officeDocument/2006/relationships/hyperlink" Target="http://www.nevo.co.il/case/25860716" TargetMode="External"/><Relationship Id="rId17" Type="http://schemas.openxmlformats.org/officeDocument/2006/relationships/hyperlink" Target="http://www.nevo.co.il/case/25608114" TargetMode="External"/><Relationship Id="rId18" Type="http://schemas.openxmlformats.org/officeDocument/2006/relationships/hyperlink" Target="http://www.nevo.co.il/case/25430225" TargetMode="External"/><Relationship Id="rId19" Type="http://schemas.openxmlformats.org/officeDocument/2006/relationships/hyperlink" Target="http://www.nevo.co.il/case/27697306" TargetMode="External"/><Relationship Id="rId20" Type="http://schemas.openxmlformats.org/officeDocument/2006/relationships/hyperlink" Target="http://www.nevo.co.il/case/25041571" TargetMode="External"/><Relationship Id="rId21" Type="http://schemas.openxmlformats.org/officeDocument/2006/relationships/hyperlink" Target="http://www.nevo.co.il/case/27567080" TargetMode="External"/><Relationship Id="rId22" Type="http://schemas.openxmlformats.org/officeDocument/2006/relationships/hyperlink" Target="http://www.nevo.co.il/law/70301/40jc.c" TargetMode="External"/><Relationship Id="rId23" Type="http://schemas.openxmlformats.org/officeDocument/2006/relationships/hyperlink" Target="http://www.nevo.co.il/case/7765404" TargetMode="External"/><Relationship Id="rId24" Type="http://schemas.openxmlformats.org/officeDocument/2006/relationships/hyperlink" Target="http://www.nevo.co.il/case/25349522" TargetMode="External"/><Relationship Id="rId25" Type="http://schemas.openxmlformats.org/officeDocument/2006/relationships/hyperlink" Target="http://www.nevo.co.il/case/6244398" TargetMode="External"/><Relationship Id="rId26" Type="http://schemas.openxmlformats.org/officeDocument/2006/relationships/hyperlink" Target="http://www.nevo.co.il/case/7697245" TargetMode="External"/><Relationship Id="rId27" Type="http://schemas.openxmlformats.org/officeDocument/2006/relationships/hyperlink" Target="http://www.nevo.co.il/case/26333867" TargetMode="External"/><Relationship Id="rId28" Type="http://schemas.openxmlformats.org/officeDocument/2006/relationships/hyperlink" Target="http://www.nevo.co.il/case/26256014" TargetMode="External"/><Relationship Id="rId29" Type="http://schemas.openxmlformats.org/officeDocument/2006/relationships/hyperlink" Target="https://supreme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2022-11-13T09:55:00Z</dcterms:created>
  <dc:creator>h4</dc:creator>
  <dc:description/>
  <cp:keywords/>
  <dc:language>en-IL</dc:language>
  <cp:lastModifiedBy>orly</cp:lastModifiedBy>
  <cp:lastPrinted>2022-11-10T11:46:00Z</cp:lastPrinted>
  <dcterms:modified xsi:type="dcterms:W3CDTF">2022-11-13T09:55:00Z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יואב בושמיץ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27324658;28429424;28044497;25860716;25608114;25430225;27697306;25041571;27567080;7765404;25349522;6244398;7697245;26333867;26256014</vt:lpwstr>
  </property>
  <property fmtid="{D5CDD505-2E9C-101B-9397-08002B2CF9AE}" pid="9" name="CITY">
    <vt:lpwstr/>
  </property>
  <property fmtid="{D5CDD505-2E9C-101B-9397-08002B2CF9AE}" pid="10" name="DATE">
    <vt:lpwstr>20221110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מינץ;י' וילנר;ע' גרוסקופף</vt:lpwstr>
  </property>
  <property fmtid="{D5CDD505-2E9C-101B-9397-08002B2CF9AE}" pid="14" name="LAWLISTTMP1">
    <vt:lpwstr>70301/345.a.1:2;345.b.1:2;348.b;40jc.c</vt:lpwstr>
  </property>
  <property fmtid="{D5CDD505-2E9C-101B-9397-08002B2CF9AE}" pid="15" name="LAWYER">
    <vt:lpwstr>רונן יאיר;אביב חדד;עמרי כהן;יעל ויסהוף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בתי-משפט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77;77;77;77;14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ערעור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1446;1446;1446;1446;333</vt:lpwstr>
  </property>
  <property fmtid="{D5CDD505-2E9C-101B-9397-08002B2CF9AE}" pid="48" name="NOSE31">
    <vt:lpwstr>מדיניות ענישה: עבירות מין בקטינים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התפרעות</vt:lpwstr>
  </property>
  <property fmtid="{D5CDD505-2E9C-101B-9397-08002B2CF9AE}" pid="52" name="NOSE34">
    <vt:lpwstr>עקרון ההלימה‏</vt:lpwstr>
  </property>
  <property fmtid="{D5CDD505-2E9C-101B-9397-08002B2CF9AE}" pid="53" name="NOSE35">
    <vt:lpwstr>התערבות במידת העונש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16970;8995;19469;14799;2708</vt:lpwstr>
  </property>
  <property fmtid="{D5CDD505-2E9C-101B-9397-08002B2CF9AE}" pid="59" name="PADIDATE">
    <vt:lpwstr>20221113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3936</vt:lpwstr>
  </property>
  <property fmtid="{D5CDD505-2E9C-101B-9397-08002B2CF9AE}" pid="65" name="PROCYEAR">
    <vt:lpwstr>22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410120221110</vt:lpwstr>
  </property>
  <property fmtid="{D5CDD505-2E9C-101B-9397-08002B2CF9AE}" pid="69" name="TYPE_N_DATE">
    <vt:lpwstr>41020221110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