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394/20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59362-11-16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/>
              <w:t>28.7.2021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1"/>
        <w:gridCol w:w="5152"/>
      </w:tblGrid>
      <w:tr>
        <w:trPr/>
        <w:tc>
          <w:tcPr>
            <w:tcW w:w="321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פשיטת הרגל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42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214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216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94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238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346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414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415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418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420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חדלות פירעון ושיקום כלכלי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346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דוחה את טענות המערער כנגד הרשעתו בעבירות של ניסיון לקבלת דבר במרמה בנסיבות מחמירות וקבלת דבר במרמה אולם מזכה את המערער מהרשעתו בביצוע עבירות זיוף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שימוש במסמך מזויף ובידוי ראייה אשר נסמכה על ראיות נסיבתיות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כמו כן הרשעתו בעבירות לפי 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פשיטת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הרגל</w:t>
        </w:r>
      </w:hyperlink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תוחלף להרשעה לפי 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346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3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לחוק חדלות פירעון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כפועל יוצא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מקל בעונשו של המערער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עבירות – מירמה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עונשין – עבירות – נסיבות מחמירות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ראיות – ראיות נסיבתיות – דרך בחינתן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דיון פלילי – הרשעה – על יסוד ראיות נסיבתיות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ערעור על פס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 מחוזי בגדרו הורשע המערער בעבירות של ניסיון לקבלת דבר במרמה בנסיבות מחמירות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קבלת דבר במרמה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זיוף בכוונה לקבל באמצעותו דבר בנסיבות מחמירות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שימוש במסמך מזויף ובידוי ראייה וכן עבירות נוספות לפי </w:t>
      </w:r>
      <w:hyperlink r:id="rId23" w:tgtFrame="blank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פקודת פשיטת הרגל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על המערער נגזרו תשעה חודשי מאסר על דרך של עבודות שירות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12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קנס בסך של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25,000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150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ימי מאסר תמורתו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ופיצוי בסך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25,000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עניינה של הפרשה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בהתאם לקביעת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ביצוע מרמה בעסקה למכירת דירה בבעלות המערער והנאשמת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2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הוצגה כאשתו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/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גרושתו של המערער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כתב האישום נגדה בוטל בסופו של יום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בכך שהסתיר מהרוכשים את דבר היותו פושט רגל ואת האיסור למכור את הדירה ללא קבלת אישור המנהל המיוחד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הפקיד את השיק שנמסר לו כ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דמי רצינות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 (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18,000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וניסה לקבל מהרוכשים את סכום העסקה כולה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1.2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מיליון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בהמשך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זייף את זיכרון הדברים בכך שהוספה לו הערה לפיה המערער נמצא בהליכי פשיטת רגל והמערער פעל לצירופו לתגובת הנאשמת להמרצת הפתיחה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אלרון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בהסכמת המשנה לנשיאה נ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הנדל והשופט נ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סולברג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קיבל את הערעור באופן חלקי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דוחה את טענות המערער כנגד הרשעתו בעבירות של ניסיון לקבלת דבר במרמה בנסיבות מחמירות וקבלת דבר במרמה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hyperlink r:id="rId24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414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לחוק מגדיר את יסוד 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מרמה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הנכלל בעבירת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קבלת דבר במרמה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":"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טע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עובדה בענין שבעבר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בהווה או בעתיד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הנטענת בכתב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בעל פה או בהתנהגות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ואשר הטוען אותה יודע שאינה אמת או שאינו מאמין שהיא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אמ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לרמות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-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 אדם במרמה לידי מעשה או מחדל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;".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נקבע זה מכבר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כי מרמה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יכולה להיעשות גם על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ידי התנהגות שממנה ניתן להסיק על קיומו של מצב דברים מסוים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לרבות העלמת עובדה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ולאו דווקא על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ידי מצג פוזיטיבי במלה או בכתב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בנסיבות המקרה דנן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כאשר המערער התקשר בזיכרון דברים ולאחר מכן בהסכם המכר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תוך שהוא יודע כי בקשת המנהל המיוחד למימוש הדירה מונחת בפני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בהליך פשיטת הרגל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העלמת עובדות אלו עולה כדי מרמה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טען בחקירתו במשטרה כי עדכן את הרוכשים ואת עורך הדין שם טוב על היותו פושט רגל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טענה זו נמצאה כשקרית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בצדק קבע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 כי התנהלות זו מלמדת על קיומו של היסוד הנפשי הנדרש לצרכי ההרשעה בעבירה זו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טענות המערער כנגד קביעות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קמא לעניין רכיב הקשר הסיבתי הן טענות כנגד ממצאי עובדה ומהימנות אשר לא נמצא להתערב בהם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יתר על כן צויין כי לצורכי גיבוש קשר סיבתי בעבירת קבלת דבר במרמה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כל שנדרש להראות הוא כי למצגי השווא היה תפקיד ניכר בהערכת המצב של המרומה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ואין דרישה כי הן היו הסיבה הבלעדית בהעברת 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דבר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כן נדחתה טענת המערער כי הגשת המרצת הפתיחה לאכיפת הסכם המכר שוללת את קיומו של הקשר הסיבתי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השאלה שאנו נדרשים לבחון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האם לאחר חתימת זיכרון הדברים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הפקדת הצ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 והעברת צ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 נוסף בגין המקדמה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הרוכשים היו חפצים בהשלמת העסקה או בביטולה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חלף זאת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יש לבחון האם הרוכשים היו מתקשרים מלכתחילה בזיכרון הדברים והסכם המכר ומוסרים את הצ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 והמקדמה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אילו המערער היה חושף בפניהם את מלוא העובדות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ובין היתר את היותו פושט רגל ופעולות המנהל המיוחד למימוש הדירה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כן נדחתה הטענה כי לא היה מקום להרשיעו הן בעבירה המושלמת של קבלת דבר במרמה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ביחס לפידיון הצ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ק שנמסר לו כ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דמי רצינות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לאחר החתימה על זכרון הדברים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והן בניסיון לקבלת דבר במרמה בנסיבות מחמירות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שעה שבמעמד החתימה על הסכם המכר במשרד עה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הוא לא גילה לרוכשים את מצבו המשפטי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בפגישה זו הרוכשים מסרו לעורך הדין שם טוב את המקדמה בגין רכישת הדירה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לשיטתו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קיימת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בעיתיות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בהרשעה בעבירה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מוגמרת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ביחס לחלק מן 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עסקה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ובעבירת הניסיון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ביחס לחלקים שונים של אותה התרחשות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נפסק כי בנסיבות העניין ניתן להפריד בין ההתרחשויות העובדתיות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ואין מדובר במצב בו בגין אותם המעשים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מורשע הן בעבירה המושלמת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והן בעבירת הניסיון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כן נדחתה הטענה כי לא מתקיימות בענייננו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נסיבות מחמירות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המערער פעל באופן מתוכנן ומחושב במאמציו לקבל לידיו מהרוכשים סכומי כסף נכבדים ביותר במסגרת עסקת רכישת דירה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טיעונו כי התכוון למסור בתמורה את הבעלות בדירה נותר בגדר השערה חסרת בסיס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בשים לב להעדר היתכנותה של אותה עסקה בשל הליכי פשיטת הרגל בהם המערער היה מצוי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וממילא אין בטיעון זה כדי לגרוע מחומרת נסיבות העבירה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מאידך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סבור כי יש לזכות את המערער מביצוע עבירות של זיוף בכוונה לקבל באמצעותו דבר בנסיבות מחמירות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שימוש במסמך מזויף ובידוי ראייה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בקשר זה הצדדים מסכימים כי קביעת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 לפיה המערער זייף את זיכרון הדברים ופעל לצירופו לתגובת הנאשמת להמרצת הפתיחה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מבוססת על ראיות נסיבתיות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כוחן של ראיות נסיבתיות הוא כשל ראיות ישירות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וניתן לבסס באמצעותן את הרשעת הנאשם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אולם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יש הכרח כי המסקנה המפלילה תהיה המסקנה ההגיונית היחידה העולה ממכלול הראיות הנסיבתיות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מקובל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לבחון ראיות אל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במבחן תלת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שלבי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בשלב הראשון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נבחנת כל ראיה נסיבתית בפני עצמה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ועל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להכריע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ניתן לקבוע על בסיסה ממצא עובדתי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בשלב השני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נבחנת מסכת הראיות כולה לצורך קביעה האם היא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מסבכת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את הנאשם בביצוע העבירה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ובשלב שלישי מועבר הנטל אל הנאשם להציע הסבר העשוי לשלול את ההנחה המפלילה העומדת נגדו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נכון להניח כי בחינת הראיות הנסיבתיות בענייננו צולחת את השלב הראשון והשני אולם במסגרת בחינת השלב השלישי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עלה בידי המערער להצביע על הסבר העשוי לשלול את ההנחה המפלילה כנגדו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לפיו הנאשמת היא זו שזייפה את זיכרון הדברים ופעלה להגשתו לביהמ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יוצא אפוא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כי המשיבה לא הצליחה להוכיח ברף הראייתי הנדרש בהליך הפלילי את אשמת המערער בעבירות אלו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ונותר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ספק סביר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באשר לאשמתו בביצוע עבירות הזיוף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שימוש במסמך מזויף ובידוי ראיות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אשר יוחסו לו בכתב האישום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ויש לקבל את הערעור בחלקו זה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יש טעם גם בטענת המערער כי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 ייחס לו התנהלות חמורה מזו אשר יוחסה לו על ידי המשיבה וגם בשל כך עבירות אלו לא הוכחו ברף הראייתי הנדרש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רשאי להרשיע נאשם בעבירה אשר העובדות בבסיסה לא נכללו בכתב האישום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ובלבד שניתנה לנאשם הזדמנות סבירה להתגונן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אלא שבענייננו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ניכר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כי הן מבחינה טכנית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פרוצדוראלית והן מבחינה מהותית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נפגמה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במידה מסוימת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יכולתו של המערער לגבש ולהציג קו הגנה מובהק יותר ביחס לעבירה זו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גם טעם זה יש לזכות את המערער מעבירות של שימוש במסמך מזויף ובידוי ראיות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בכל הנוגע להרשעת המערער בעבירות לפי 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פשיטת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הרגל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היות ולאחר הכרעת הדין נכנס לתוקפו חוק חדלות פירעון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לאור עמדות הצדדים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ומשהמשיבה טענה כי מדובר בדין המקל עם הנאשם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יש להורות כי חלף הרשעת המערער בעבירות לפי 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214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hyperlink r:id="rId27"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216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4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hyperlink r:id="rId28"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(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6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</w:t>
      </w:r>
      <w:hyperlink r:id="rId29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פשיטת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הרגל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המערער יורשע בעבירה לפי </w:t>
      </w:r>
      <w:hyperlink r:id="rId30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346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3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לחוק חדלות פירעון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באשר לגזר הדין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כעולה מהעדויות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מעשיו החמורים של המערער גבו מחיר כבד מקורבנות העבירה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החורג בהרבה מהנזק הכספי ממנו סבלו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על רקע זה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סבור כי גזר דינו של בית המחוזי מאזן כראוי בין השיקולים השונים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ובוודאי שאין לומר כי הוא חמור יתר על המידה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לאור זיכוי המערער מחלק מהעבירות בהן הורשע והחלפת הרשעת המערער בעבירות לפי </w:t>
      </w:r>
      <w:hyperlink r:id="rId31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פשיטת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הרגל</w:t>
        </w:r>
      </w:hyperlink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להרשעתו לפי </w:t>
      </w:r>
      <w:hyperlink r:id="rId32"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346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shd w:fill="FFFFFF" w:val="clear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</w:rPr>
          <w:t>3</w:t>
        </w:r>
        <w:r>
          <w:rPr>
            <w:rStyle w:val="Hyperlink"/>
            <w:rFonts w:cs="Times New Roman" w:ascii="Times New Roman" w:hAnsi="Times New Roman"/>
            <w:spacing w:val="0"/>
            <w:szCs w:val="26"/>
            <w:shd w:fill="FFFFFF" w:val="clear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לחוק חדלות פירעון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נקבע כי רכיב עונש המאסר בפועל יופחת 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6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  <w:shd w:fill="FFFFFF" w:val="clear"/>
        </w:rPr>
        <w:t>9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חודשי המאסר אשר נגזרו בביהמ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אשר אף הן ירוצו במסגרת עבודות שירות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יתר רכיבי גזה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 יוותרו על כנם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/>
          <w:spacing w:val="0"/>
          <w:szCs w:val="26"/>
          <w:shd w:fill="FFFFFF" w:val="clear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overflowPunct w:val="true"/>
        <w:autoSpaceDE w:val="true"/>
        <w:spacing w:before="0" w:after="420"/>
        <w:ind w:hanging="0" w:start="0" w:end="0"/>
        <w:jc w:val="both"/>
        <w:textAlignment w:val="auto"/>
        <w:rPr/>
      </w:pPr>
      <w:r>
        <w:rPr>
          <w:rtl w:val="true"/>
        </w:rPr>
        <w:t>לפנינו ערעור על הכרעת</w:t>
      </w:r>
      <w:r>
        <w:rPr>
          <w:rtl w:val="true"/>
        </w:rPr>
        <w:t>-</w:t>
      </w:r>
      <w:r>
        <w:rPr>
          <w:rtl w:val="true"/>
        </w:rPr>
        <w:t>דינו וגזר</w:t>
      </w:r>
      <w:r>
        <w:rPr>
          <w:rtl w:val="true"/>
        </w:rPr>
        <w:t>-</w:t>
      </w:r>
      <w:r>
        <w:rPr>
          <w:rtl w:val="true"/>
        </w:rPr>
        <w:t>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59362-11-16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18.7.2019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7.1.2020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בגדרם המערער הורשע בעבירות אשר יוחסו לו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והושת עליו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אשר ירוצו בעבודות שירות 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בצירוף תשלום קנס כספי בסך של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 xml:space="preserve">או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) </w:t>
      </w:r>
      <w:r>
        <w:rPr>
          <w:rtl w:val="true"/>
        </w:rPr>
        <w:t xml:space="preserve">ופיצוי בסך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נגד המערער כלל תחילה גם את הגברת מרי חן</w:t>
      </w:r>
      <w:r>
        <w:rPr>
          <w:rtl w:val="true"/>
        </w:rPr>
        <w:t xml:space="preserve">, </w:t>
      </w:r>
      <w:r>
        <w:rPr>
          <w:rtl w:val="true"/>
        </w:rPr>
        <w:t xml:space="preserve">כנאשמת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הנאשמת</w:t>
      </w:r>
      <w:r>
        <w:rPr>
          <w:rtl w:val="true"/>
        </w:rPr>
        <w:t xml:space="preserve">) </w:t>
      </w:r>
      <w:r>
        <w:rPr>
          <w:rtl w:val="true"/>
        </w:rPr>
        <w:t>לה יוחסו אותן עבירות</w:t>
      </w:r>
      <w:r>
        <w:rPr>
          <w:rtl w:val="true"/>
        </w:rPr>
        <w:t xml:space="preserve">, </w:t>
      </w:r>
      <w:r>
        <w:rPr>
          <w:rtl w:val="true"/>
        </w:rPr>
        <w:t xml:space="preserve">למעט עבירות לפי 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>-</w:t>
      </w:r>
      <w:r>
        <w:rPr/>
        <w:t>1980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פשיטת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הרגל</w:t>
      </w:r>
      <w:r>
        <w:rPr>
          <w:rtl w:val="true"/>
        </w:rPr>
        <w:t xml:space="preserve">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הכרעת הדין התייחסה למערער בלבד מאחר ועניינה פוצל בשלב פרשת ההגנה</w:t>
      </w:r>
      <w:r>
        <w:rPr>
          <w:rtl w:val="true"/>
        </w:rPr>
        <w:t xml:space="preserve">, </w:t>
      </w:r>
      <w:r>
        <w:rPr>
          <w:rtl w:val="true"/>
        </w:rPr>
        <w:t>ונקבע כי ימשיך להתברר לאחר מתן הכרעת הדין בעניינו של המערער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בסופו של יום המשיבה חזרה בה מכתב האישום נגד הנאשמת והוא בוטל מכוח </w:t>
      </w:r>
      <w:hyperlink r:id="rId3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הפלילי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כמתואר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בזמן הרלבנטי לכתב האישום הציגו המערער והנאשמת את עצמם כזוג נשוי</w:t>
      </w:r>
      <w:r>
        <w:rPr>
          <w:rtl w:val="true"/>
        </w:rPr>
        <w:t xml:space="preserve">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היה בהליכי פשיטת רגל בתיק </w:t>
      </w:r>
      <w:hyperlink r:id="rId37">
        <w:r>
          <w:rPr>
            <w:rStyle w:val="Hyperlink"/>
            <w:color w:val="0000FF"/>
            <w:u w:val="single"/>
            <w:rtl w:val="true"/>
          </w:rPr>
          <w:t>פש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1593/02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אשר התנהל בבית המשפט המחוזי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במסגרתם מונה עו</w:t>
      </w:r>
      <w:r>
        <w:rPr>
          <w:rtl w:val="true"/>
        </w:rPr>
        <w:t>"</w:t>
      </w:r>
      <w:r>
        <w:rPr>
          <w:rtl w:val="true"/>
        </w:rPr>
        <w:t xml:space="preserve">ד יניב אינסול כמנהל המיוחד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המנהל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המיוחד</w:t>
      </w:r>
      <w:r>
        <w:rPr>
          <w:rtl w:val="true"/>
        </w:rPr>
        <w:t xml:space="preserve">). </w:t>
      </w:r>
      <w:r>
        <w:rPr>
          <w:rtl w:val="true"/>
        </w:rPr>
        <w:t xml:space="preserve">ביום </w:t>
      </w:r>
      <w:r>
        <w:rPr/>
        <w:t>16.1.2011</w:t>
      </w:r>
      <w:r>
        <w:rPr>
          <w:rtl w:val="true"/>
        </w:rPr>
        <w:t xml:space="preserve">, </w:t>
      </w:r>
      <w:r>
        <w:rPr>
          <w:rtl w:val="true"/>
        </w:rPr>
        <w:t>ניתן למערער הפטר מותנה</w:t>
      </w:r>
      <w:r>
        <w:rPr>
          <w:rtl w:val="true"/>
        </w:rPr>
        <w:t xml:space="preserve">, </w:t>
      </w:r>
      <w:r>
        <w:rPr>
          <w:rtl w:val="true"/>
        </w:rPr>
        <w:t xml:space="preserve">לפיו אם ישלם סכום של </w:t>
      </w:r>
      <w:r>
        <w:rPr/>
        <w:t>170,000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יקבל הפטר מחובותיו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 והנאשמת הם בעלי מלוא הזכויות בדירה ברחוב כחלית ההרים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 xml:space="preserve">במודיעין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הדירה</w:t>
      </w:r>
      <w:r>
        <w:rPr>
          <w:rtl w:val="true"/>
        </w:rPr>
        <w:t xml:space="preserve">), </w:t>
      </w:r>
      <w:r>
        <w:rPr>
          <w:rtl w:val="true"/>
        </w:rPr>
        <w:t>וכי כדי לשלם את סכום ההפטר המותנה</w:t>
      </w:r>
      <w:r>
        <w:rPr>
          <w:rtl w:val="true"/>
        </w:rPr>
        <w:t xml:space="preserve">, </w:t>
      </w:r>
      <w:r>
        <w:rPr>
          <w:rtl w:val="true"/>
        </w:rPr>
        <w:t>התכוון המנהל המיוחד לממש את הדירה</w:t>
      </w:r>
      <w:r>
        <w:rPr>
          <w:rtl w:val="true"/>
        </w:rPr>
        <w:t xml:space="preserve">, </w:t>
      </w:r>
      <w:r>
        <w:rPr>
          <w:rtl w:val="true"/>
        </w:rPr>
        <w:t>כך שעם מכירת הדירה מחצית משוויה יועבר לנושיו של המערער</w:t>
      </w:r>
      <w:r>
        <w:rPr>
          <w:rtl w:val="true"/>
        </w:rPr>
        <w:t xml:space="preserve">. </w:t>
      </w:r>
      <w:r>
        <w:rPr>
          <w:rtl w:val="true"/>
        </w:rPr>
        <w:t>כפועל יוצא מהאמור</w:t>
      </w:r>
      <w:r>
        <w:rPr>
          <w:rtl w:val="true"/>
        </w:rPr>
        <w:t xml:space="preserve">, </w:t>
      </w:r>
      <w:r>
        <w:rPr>
          <w:rtl w:val="true"/>
        </w:rPr>
        <w:t>חל איסור על המערער למכור את הדירה ללא אישורו של המנהל המיוחד</w:t>
      </w:r>
      <w:r>
        <w:rPr>
          <w:rtl w:val="true"/>
        </w:rPr>
        <w:t xml:space="preserve">. </w:t>
      </w:r>
      <w:r>
        <w:rPr>
          <w:rtl w:val="true"/>
        </w:rPr>
        <w:t>הנאשמת הייתה מודעת להליך פשיטת הרגל בו היה מצוי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במהלך חודש מרץ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בעקבות הצעת השניים למכור את הדירה</w:t>
      </w:r>
      <w:r>
        <w:rPr>
          <w:rtl w:val="true"/>
        </w:rPr>
        <w:t xml:space="preserve">, </w:t>
      </w:r>
      <w:r>
        <w:rPr>
          <w:rtl w:val="true"/>
        </w:rPr>
        <w:t xml:space="preserve">הגיעו בני הזוג שושנה ואברהם גז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הרוכשים</w:t>
      </w:r>
      <w:r>
        <w:rPr>
          <w:rtl w:val="true"/>
        </w:rPr>
        <w:t xml:space="preserve">)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כדי לראותה במטרה לרוכשה</w:t>
      </w:r>
      <w:r>
        <w:rPr>
          <w:rtl w:val="true"/>
        </w:rPr>
        <w:t xml:space="preserve">. </w:t>
      </w:r>
      <w:r>
        <w:rPr>
          <w:rtl w:val="true"/>
        </w:rPr>
        <w:t>המערער והנאשמת לא הביאו לידיעת הרוכשים את דבר הימצאו של המערער בהליך פשיטת הרגל</w:t>
      </w:r>
      <w:r>
        <w:rPr>
          <w:rtl w:val="true"/>
        </w:rPr>
        <w:t xml:space="preserve">, </w:t>
      </w:r>
      <w:r>
        <w:rPr>
          <w:rtl w:val="true"/>
        </w:rPr>
        <w:t>וכי נאסר עליו למכור את הדירה ללא אישור המנהל המיוחד</w:t>
      </w:r>
      <w:r>
        <w:rPr>
          <w:rtl w:val="true"/>
        </w:rPr>
        <w:t xml:space="preserve">. </w:t>
      </w:r>
      <w:r>
        <w:rPr>
          <w:rtl w:val="true"/>
        </w:rPr>
        <w:t>במעמד זה</w:t>
      </w:r>
      <w:r>
        <w:rPr>
          <w:rtl w:val="true"/>
        </w:rPr>
        <w:t xml:space="preserve">, </w:t>
      </w:r>
      <w:r>
        <w:rPr>
          <w:rtl w:val="true"/>
        </w:rPr>
        <w:t>ומבלי ליידע את המנהל המיוחד</w:t>
      </w:r>
      <w:r>
        <w:rPr>
          <w:rtl w:val="true"/>
        </w:rPr>
        <w:t xml:space="preserve">, </w:t>
      </w:r>
      <w:r>
        <w:rPr>
          <w:rtl w:val="true"/>
        </w:rPr>
        <w:t xml:space="preserve">סיכמו הצדדים על מכירת הדירה לרוכשים תמורת סך של </w:t>
      </w:r>
      <w:r>
        <w:rPr/>
        <w:t>1,200,000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24.4.2014</w:t>
      </w:r>
      <w:r>
        <w:rPr>
          <w:rtl w:val="true"/>
        </w:rPr>
        <w:t xml:space="preserve"> </w:t>
      </w:r>
      <w:r>
        <w:rPr>
          <w:rtl w:val="true"/>
        </w:rPr>
        <w:t>הגיעו הרוכשים לדירה</w:t>
      </w:r>
      <w:r>
        <w:rPr>
          <w:rtl w:val="true"/>
        </w:rPr>
        <w:t xml:space="preserve">, </w:t>
      </w:r>
      <w:r>
        <w:rPr>
          <w:rtl w:val="true"/>
        </w:rPr>
        <w:t xml:space="preserve">וחתמו על זיכרון דברים עם המערער והנאשמת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זיכרון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tl w:val="true"/>
        </w:rPr>
        <w:t xml:space="preserve">). </w:t>
      </w:r>
      <w:r>
        <w:rPr>
          <w:rtl w:val="true"/>
        </w:rPr>
        <w:t>בזיכרון הדברים לא הוזכר כלל הליך פשיטת הרגל והאיסור על מכירת הדירה</w:t>
      </w:r>
      <w:r>
        <w:rPr>
          <w:rtl w:val="true"/>
        </w:rPr>
        <w:t xml:space="preserve">. </w:t>
      </w:r>
      <w:r>
        <w:rPr>
          <w:rtl w:val="true"/>
        </w:rPr>
        <w:t>באותה העת</w:t>
      </w:r>
      <w:r>
        <w:rPr>
          <w:rtl w:val="true"/>
        </w:rPr>
        <w:t xml:space="preserve">, </w:t>
      </w:r>
      <w:r>
        <w:rPr>
          <w:rtl w:val="true"/>
        </w:rPr>
        <w:t>מסרו הרוכשים לבקשת המערער והנאשמת צ</w:t>
      </w:r>
      <w:r>
        <w:rPr>
          <w:rtl w:val="true"/>
        </w:rPr>
        <w:t>'</w:t>
      </w:r>
      <w:r>
        <w:rPr>
          <w:rtl w:val="true"/>
        </w:rPr>
        <w:t xml:space="preserve">ק בסך של </w:t>
      </w:r>
      <w:r>
        <w:rPr/>
        <w:t>18,000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</w:t>
      </w:r>
      <w:r>
        <w:rPr>
          <w:rtl w:val="true"/>
        </w:rPr>
        <w:t>-"</w:t>
      </w:r>
      <w:r>
        <w:rPr>
          <w:rtl w:val="true"/>
        </w:rPr>
        <w:t>דמי רצינות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וסוכם כי עם חתימת ההסכם לרכישת הדירה הצ</w:t>
      </w:r>
      <w:r>
        <w:rPr>
          <w:rtl w:val="true"/>
        </w:rPr>
        <w:t>'</w:t>
      </w:r>
      <w:r>
        <w:rPr>
          <w:rtl w:val="true"/>
        </w:rPr>
        <w:t>ק יוחזר לרוכשים</w:t>
      </w:r>
      <w:r>
        <w:rPr>
          <w:rtl w:val="true"/>
        </w:rPr>
        <w:t xml:space="preserve">. </w:t>
      </w:r>
      <w:r>
        <w:rPr>
          <w:rtl w:val="true"/>
        </w:rPr>
        <w:t>מספר ימים לאחר מכן</w:t>
      </w:r>
      <w:r>
        <w:rPr>
          <w:rtl w:val="true"/>
        </w:rPr>
        <w:t xml:space="preserve">, </w:t>
      </w:r>
      <w:r>
        <w:rPr>
          <w:rtl w:val="true"/>
        </w:rPr>
        <w:t>פדו השניים את הצ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8.5.2014</w:t>
      </w:r>
      <w:r>
        <w:rPr>
          <w:rtl w:val="true"/>
        </w:rPr>
        <w:t xml:space="preserve"> </w:t>
      </w:r>
      <w:r>
        <w:rPr>
          <w:rtl w:val="true"/>
        </w:rPr>
        <w:t>הגיעו המערער והרוכשים למשרדו של עו</w:t>
      </w:r>
      <w:r>
        <w:rPr>
          <w:rtl w:val="true"/>
        </w:rPr>
        <w:t>"</w:t>
      </w:r>
      <w:r>
        <w:rPr>
          <w:rtl w:val="true"/>
        </w:rPr>
        <w:t>ד אילן שם טוב</w:t>
      </w:r>
      <w:r>
        <w:rPr>
          <w:rtl w:val="true"/>
        </w:rPr>
        <w:t xml:space="preserve">, </w:t>
      </w:r>
      <w:r>
        <w:rPr>
          <w:rtl w:val="true"/>
        </w:rPr>
        <w:t xml:space="preserve">אשר ייצג באותה העת את המערער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טוב</w:t>
      </w:r>
      <w:r>
        <w:rPr>
          <w:rtl w:val="true"/>
        </w:rPr>
        <w:t xml:space="preserve">), </w:t>
      </w:r>
      <w:r>
        <w:rPr>
          <w:rtl w:val="true"/>
        </w:rPr>
        <w:t xml:space="preserve">וחתמו על הסכם מכר לרכישת הדירה על ידי הרוכשים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הסכם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המכר</w:t>
      </w:r>
      <w:r>
        <w:rPr>
          <w:rtl w:val="true"/>
        </w:rPr>
        <w:t xml:space="preserve">), </w:t>
      </w:r>
      <w:r>
        <w:rPr>
          <w:rtl w:val="true"/>
        </w:rPr>
        <w:t>וזאת מבלי לקבל את אישור המנהל המיוחד</w:t>
      </w:r>
      <w:r>
        <w:rPr>
          <w:rtl w:val="true"/>
        </w:rPr>
        <w:t xml:space="preserve">, </w:t>
      </w:r>
      <w:r>
        <w:rPr>
          <w:rtl w:val="true"/>
        </w:rPr>
        <w:t>ומבלי שנכללת בהסכם כל התייחסות המכר להיות המערער תחת צו פשיטת רגל</w:t>
      </w:r>
      <w:r>
        <w:rPr>
          <w:rtl w:val="true"/>
        </w:rPr>
        <w:t xml:space="preserve">. </w:t>
      </w:r>
      <w:r>
        <w:rPr>
          <w:rtl w:val="true"/>
        </w:rPr>
        <w:t>במעמד זה</w:t>
      </w:r>
      <w:r>
        <w:rPr>
          <w:rtl w:val="true"/>
        </w:rPr>
        <w:t xml:space="preserve">, </w:t>
      </w:r>
      <w:r>
        <w:rPr>
          <w:rtl w:val="true"/>
        </w:rPr>
        <w:t>מסרו הרוכשים לעורך הדין שם טוב צ</w:t>
      </w:r>
      <w:r>
        <w:rPr>
          <w:rtl w:val="true"/>
        </w:rPr>
        <w:t>'</w:t>
      </w:r>
      <w:r>
        <w:rPr>
          <w:rtl w:val="true"/>
        </w:rPr>
        <w:t xml:space="preserve">ק על סך </w:t>
      </w:r>
      <w:r>
        <w:rPr/>
        <w:t>500,000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כמקדמה לרכישת הדירה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המקדמה</w:t>
      </w:r>
      <w:r>
        <w:rPr>
          <w:rtl w:val="true"/>
        </w:rPr>
        <w:t xml:space="preserve">). </w:t>
      </w:r>
      <w:r>
        <w:rPr>
          <w:rtl w:val="true"/>
        </w:rPr>
        <w:t>משגילה האחרון עת ביקש לרשום הערת אזהרה לטובת הרוכשים כי המערער מצוי בהליך פשיטת רגל</w:t>
      </w:r>
      <w:r>
        <w:rPr>
          <w:rtl w:val="true"/>
        </w:rPr>
        <w:t xml:space="preserve">, </w:t>
      </w:r>
      <w:r>
        <w:rPr>
          <w:rtl w:val="true"/>
        </w:rPr>
        <w:t>הודיע לרוכשים כי העסקה מבוטלת</w:t>
      </w:r>
      <w:r>
        <w:rPr>
          <w:rtl w:val="true"/>
        </w:rPr>
        <w:t xml:space="preserve">, </w:t>
      </w:r>
      <w:r>
        <w:rPr>
          <w:rtl w:val="true"/>
        </w:rPr>
        <w:t>וכי עליו לפנות ולקבל את הוראות הרשויות בעניין החזרת כספי המקדמה</w:t>
      </w:r>
      <w:r>
        <w:rPr>
          <w:rtl w:val="true"/>
        </w:rPr>
        <w:t xml:space="preserve">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 xml:space="preserve">הרוכשים הגישו ביום </w:t>
      </w:r>
      <w:r>
        <w:rPr/>
        <w:t>28.5.2014</w:t>
      </w:r>
      <w:r>
        <w:rPr>
          <w:rtl w:val="true"/>
        </w:rPr>
        <w:t xml:space="preserve"> </w:t>
      </w:r>
      <w:r>
        <w:rPr>
          <w:rtl w:val="true"/>
        </w:rPr>
        <w:t>לבית המשפט המרצת פתיחה במטרה לאכוף את הסכם המכר</w:t>
      </w:r>
      <w:r>
        <w:rPr>
          <w:rtl w:val="true"/>
        </w:rPr>
        <w:t xml:space="preserve">, </w:t>
      </w:r>
      <w:r>
        <w:rPr>
          <w:rtl w:val="true"/>
        </w:rPr>
        <w:t xml:space="preserve">וזאת לנוכח תשלום כספי המקדמה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המרצת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הפתיחה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זייפו המערער והנאשמת</w:t>
      </w:r>
      <w:r>
        <w:rPr>
          <w:rtl w:val="true"/>
        </w:rPr>
        <w:t xml:space="preserve">, </w:t>
      </w:r>
      <w:r>
        <w:rPr>
          <w:rtl w:val="true"/>
        </w:rPr>
        <w:t>או מי מטעמם</w:t>
      </w:r>
      <w:r>
        <w:rPr>
          <w:rtl w:val="true"/>
        </w:rPr>
        <w:t xml:space="preserve">, </w:t>
      </w:r>
      <w:r>
        <w:rPr>
          <w:rtl w:val="true"/>
        </w:rPr>
        <w:t>את זיכרון הדברים</w:t>
      </w:r>
      <w:r>
        <w:rPr>
          <w:rtl w:val="true"/>
        </w:rPr>
        <w:t xml:space="preserve">, </w:t>
      </w:r>
      <w:r>
        <w:rPr>
          <w:rtl w:val="true"/>
        </w:rPr>
        <w:t xml:space="preserve">כך שהוסיפו לו הערה לפיה המערער נמצא בהליכי פשיטת רגל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זיכרון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המזויף</w:t>
      </w:r>
      <w:r>
        <w:rPr>
          <w:rtl w:val="true"/>
        </w:rPr>
        <w:t xml:space="preserve">). </w:t>
      </w:r>
      <w:r>
        <w:rPr>
          <w:rtl w:val="true"/>
        </w:rPr>
        <w:t xml:space="preserve">בתאריך </w:t>
      </w:r>
      <w:r>
        <w:rPr/>
        <w:t>15.7.2014</w:t>
      </w:r>
      <w:r>
        <w:rPr>
          <w:rtl w:val="true"/>
        </w:rPr>
        <w:t xml:space="preserve">,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הוגשה על ידי הנאשמת תגובה להמרצת הפתיחה</w:t>
      </w:r>
      <w:r>
        <w:rPr>
          <w:rtl w:val="true"/>
        </w:rPr>
        <w:t xml:space="preserve">, </w:t>
      </w:r>
      <w:r>
        <w:rPr>
          <w:rtl w:val="true"/>
        </w:rPr>
        <w:t xml:space="preserve">בה טענה כי היא הבעלים היחיד של הדירה מתוקף הסכם גירושין בינה לבין המערער משנת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וכי המערער היה צד להסכם המכר רק באופן פורמאלי מאחר שהיה רשום ב</w:t>
      </w:r>
      <w:r>
        <w:rPr>
          <w:rtl w:val="true"/>
        </w:rPr>
        <w:t>-"</w:t>
      </w:r>
      <w:r>
        <w:rPr>
          <w:rtl w:val="true"/>
        </w:rPr>
        <w:t>טאבו</w:t>
      </w:r>
      <w:r>
        <w:rPr>
          <w:rtl w:val="true"/>
        </w:rPr>
        <w:t xml:space="preserve">" </w:t>
      </w:r>
      <w:r>
        <w:rPr>
          <w:rtl w:val="true"/>
        </w:rPr>
        <w:t>כבעלי הדירה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הנאשמת טענה בתגובתה כי הרוכשים ידעו שהמערער הוא פושט רגל</w:t>
      </w:r>
      <w:r>
        <w:rPr>
          <w:rtl w:val="true"/>
        </w:rPr>
        <w:t xml:space="preserve">, </w:t>
      </w:r>
      <w:r>
        <w:rPr>
          <w:rtl w:val="true"/>
        </w:rPr>
        <w:t>וצירפה לה את זיכרון הדברים המזויף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בסכמו את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ציין בית המשפט המחוזי כי במעשיהם המתוארים קיבלו השניים </w:t>
      </w:r>
      <w:r>
        <w:rPr/>
        <w:t>18,000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ואף ניסו לקבל את כספם של הרוכשים במרמה</w:t>
      </w:r>
      <w:r>
        <w:rPr>
          <w:rtl w:val="true"/>
        </w:rPr>
        <w:t xml:space="preserve">, </w:t>
      </w:r>
      <w:r>
        <w:rPr>
          <w:rtl w:val="true"/>
        </w:rPr>
        <w:t>וכי המערער והנאשמת</w:t>
      </w:r>
      <w:r>
        <w:rPr>
          <w:rtl w:val="true"/>
        </w:rPr>
        <w:t xml:space="preserve">, </w:t>
      </w:r>
      <w:r>
        <w:rPr>
          <w:rtl w:val="true"/>
        </w:rPr>
        <w:t>או מי מטעמם</w:t>
      </w:r>
      <w:r>
        <w:rPr>
          <w:rtl w:val="true"/>
        </w:rPr>
        <w:t xml:space="preserve">, </w:t>
      </w:r>
      <w:r>
        <w:rPr>
          <w:rtl w:val="true"/>
        </w:rPr>
        <w:t>זייפו את זיכרון הדברים והשתמשו בו כדי לבדות ראייה בכוונה להטעות רשות שיפוטית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נמנע במזיד למסור נכסים הניתנים לחלוקה בין נושיו</w:t>
      </w:r>
      <w:r>
        <w:rPr>
          <w:rtl w:val="true"/>
        </w:rPr>
        <w:t xml:space="preserve">, </w:t>
      </w:r>
      <w:r>
        <w:rPr>
          <w:rtl w:val="true"/>
        </w:rPr>
        <w:t>העלים חלק מנכסיו לאחר שהוגשה בקשה לפשיטת רגל</w:t>
      </w:r>
      <w:r>
        <w:rPr>
          <w:rtl w:val="true"/>
        </w:rPr>
        <w:t xml:space="preserve">, </w:t>
      </w:r>
      <w:r>
        <w:rPr>
          <w:rtl w:val="true"/>
        </w:rPr>
        <w:t>והשמיט דבר בעל חשיבות בעניינו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בגין מעשים אלו</w:t>
      </w:r>
      <w:r>
        <w:rPr>
          <w:rtl w:val="true"/>
        </w:rPr>
        <w:t xml:space="preserve">, </w:t>
      </w:r>
      <w:r>
        <w:rPr>
          <w:rtl w:val="true"/>
        </w:rPr>
        <w:t>יוחסו למערער ולנאשמת עבירות של ניסיון לקבלת דבר במרמה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סיפא 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>קבלת דבר במרמה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רישא לחוק</w:t>
      </w:r>
      <w:r>
        <w:rPr>
          <w:rtl w:val="true"/>
        </w:rPr>
        <w:t xml:space="preserve">; </w:t>
      </w:r>
      <w:r>
        <w:rPr>
          <w:rtl w:val="true"/>
        </w:rPr>
        <w:t>זיוף בכוונה לקבל באמצעותו דבר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; </w:t>
      </w:r>
      <w:r>
        <w:rPr>
          <w:rtl w:val="true"/>
        </w:rPr>
        <w:t>שימוש במסמך מזויף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3">
        <w:r>
          <w:rPr>
            <w:rStyle w:val="Hyperlink"/>
          </w:rPr>
          <w:t>418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; </w:t>
      </w:r>
      <w:r>
        <w:rPr>
          <w:rtl w:val="true"/>
        </w:rPr>
        <w:t>ובידוי ראיה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238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יוחסו למערער עבירות נוספות של הימנעות לעזור בגילוי נכסיו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; </w:t>
      </w:r>
      <w:r>
        <w:rPr>
          <w:rtl w:val="true"/>
        </w:rPr>
        <w:t>והעלמת נכסים והשמטה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8"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 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כפר בעובדות כתב האישום כמיוחס לו ולנאשמת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>בטענה כי לא הובאה לידיעת הרוכשים עובדת היותו בהליך פשיטת רגל והאיסור בדבר מכירת הדירה ללא אישור המנהל המיוחד</w:t>
      </w:r>
      <w:r>
        <w:rPr>
          <w:rtl w:val="true"/>
        </w:rPr>
        <w:t xml:space="preserve">. </w:t>
      </w:r>
      <w:r>
        <w:rPr>
          <w:rtl w:val="true"/>
        </w:rPr>
        <w:t xml:space="preserve">כמו כן טען </w:t>
      </w:r>
      <w:r>
        <w:rPr>
          <w:rtl w:val="true"/>
        </w:rPr>
        <w:t xml:space="preserve">- </w:t>
      </w:r>
      <w:r>
        <w:rPr>
          <w:rtl w:val="true"/>
        </w:rPr>
        <w:t>כי לא היה עליו לדווח למנהל המיוחד על אודות הסיכום עם הרוכשים</w:t>
      </w:r>
      <w:r>
        <w:rPr>
          <w:rtl w:val="true"/>
        </w:rPr>
        <w:t xml:space="preserve">;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 כלל לא נפדה על ידו והוא אינו מחזיק בחשבון בנק</w:t>
      </w:r>
      <w:r>
        <w:rPr>
          <w:rtl w:val="true"/>
        </w:rPr>
        <w:t xml:space="preserve">; </w:t>
      </w:r>
      <w:r>
        <w:rPr>
          <w:rtl w:val="true"/>
        </w:rPr>
        <w:t>עורך הדין שם טוב ידע על מצבו המשפטי</w:t>
      </w:r>
      <w:r>
        <w:rPr>
          <w:rtl w:val="true"/>
        </w:rPr>
        <w:t xml:space="preserve">; </w:t>
      </w:r>
      <w:r>
        <w:rPr>
          <w:rtl w:val="true"/>
        </w:rPr>
        <w:t>כפר</w:t>
      </w:r>
      <w:r>
        <w:rPr>
          <w:rtl w:val="true"/>
        </w:rPr>
        <w:t xml:space="preserve"> </w:t>
      </w:r>
      <w:r>
        <w:rPr>
          <w:rtl w:val="true"/>
        </w:rPr>
        <w:t>בזיוף</w:t>
      </w:r>
      <w:r>
        <w:rPr>
          <w:rtl w:val="true"/>
        </w:rPr>
        <w:t xml:space="preserve"> </w:t>
      </w:r>
      <w:r>
        <w:rPr>
          <w:rtl w:val="true"/>
        </w:rPr>
        <w:t>זיכרון</w:t>
      </w:r>
      <w:r>
        <w:rPr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; </w:t>
      </w:r>
      <w:r>
        <w:rPr>
          <w:rtl w:val="true"/>
        </w:rPr>
        <w:t xml:space="preserve">וכי התגרש מהנאשמת בשנת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אך הגירושין לא עודכנו במרשם האוכלוסין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הרשיע את המערער בתום שמיעת ראיות בכל העבירות שיוחסו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תוך שהוא נותן אמון בעדויותיהם של המנהל המיוחד</w:t>
      </w:r>
      <w:r>
        <w:rPr>
          <w:rtl w:val="true"/>
        </w:rPr>
        <w:t xml:space="preserve">, </w:t>
      </w:r>
      <w:r>
        <w:rPr>
          <w:rtl w:val="true"/>
        </w:rPr>
        <w:t>עורך הדין שם טוב</w:t>
      </w:r>
      <w:r>
        <w:rPr>
          <w:rtl w:val="true"/>
        </w:rPr>
        <w:t xml:space="preserve">, </w:t>
      </w:r>
      <w:r>
        <w:rPr>
          <w:rtl w:val="true"/>
        </w:rPr>
        <w:t>אשר נטל חלק כאמור בהליך מכירת הדירה</w:t>
      </w:r>
      <w:r>
        <w:rPr>
          <w:rtl w:val="true"/>
        </w:rPr>
        <w:t xml:space="preserve">, </w:t>
      </w:r>
      <w:r>
        <w:rPr>
          <w:rtl w:val="true"/>
        </w:rPr>
        <w:t>ועורך דינם של הרוכשים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ציין כי עדויות בני משפחת הרוכשים עשו רושם מהימן מאוד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בחר שלא להעיד בבית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ובהתאם </w:t>
      </w:r>
      <w:hyperlink r:id="rId49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הימנעותו מלהעיד שימשה חיזוק למשקל ראיות התביעה וסיוע לראיות התביעה במקום שדרוש להן סיוע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הוסיף וקבע</w:t>
      </w:r>
      <w:r>
        <w:rPr>
          <w:rtl w:val="true"/>
        </w:rPr>
        <w:t xml:space="preserve">, </w:t>
      </w:r>
      <w:r>
        <w:rPr>
          <w:rtl w:val="true"/>
        </w:rPr>
        <w:t>כי המשיבה הוכיחה מעבר לספק סביר שהמערער ביצע מרמה כלפי הרוכשים בכך שהסתיר מהם את דבר היותו פושט רגל</w:t>
      </w:r>
      <w:r>
        <w:rPr>
          <w:rtl w:val="true"/>
        </w:rPr>
        <w:t xml:space="preserve">, </w:t>
      </w:r>
      <w:r>
        <w:rPr>
          <w:rtl w:val="true"/>
        </w:rPr>
        <w:t>הפקיד את השיק שנמסר לו כ</w:t>
      </w:r>
      <w:r>
        <w:rPr>
          <w:rtl w:val="true"/>
        </w:rPr>
        <w:t>-"</w:t>
      </w:r>
      <w:r>
        <w:rPr>
          <w:rtl w:val="true"/>
        </w:rPr>
        <w:t>דמי רצינות</w:t>
      </w:r>
      <w:r>
        <w:rPr>
          <w:rtl w:val="true"/>
        </w:rPr>
        <w:t xml:space="preserve">", </w:t>
      </w:r>
      <w:r>
        <w:rPr>
          <w:rtl w:val="true"/>
        </w:rPr>
        <w:t>וניסה לקבל מהרוכשים את סכום העסקה כולה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קבע בית המשפט</w:t>
      </w:r>
      <w:r>
        <w:rPr>
          <w:rtl w:val="true"/>
        </w:rPr>
        <w:t xml:space="preserve">, </w:t>
      </w:r>
      <w:r>
        <w:rPr>
          <w:rtl w:val="true"/>
        </w:rPr>
        <w:t>כי זיכרון הדברים שצורף לתגובת הנאשמת להמרצת הפתיחה הוא מזויף</w:t>
      </w:r>
      <w:r>
        <w:rPr>
          <w:rtl w:val="true"/>
        </w:rPr>
        <w:t xml:space="preserve">, </w:t>
      </w:r>
      <w:r>
        <w:rPr>
          <w:rtl w:val="true"/>
        </w:rPr>
        <w:t>והוא כולל שתי שורות שהוספו בהן נכתב כי המערער פושט רגל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 מתוך מכלול הנסיבות עולה מסקנה חד משמעית לפיה המערער נושא באחריות לזיוף זיכרון הדברים</w:t>
      </w:r>
      <w:r>
        <w:rPr>
          <w:rtl w:val="true"/>
        </w:rPr>
        <w:t xml:space="preserve">. </w:t>
      </w:r>
      <w:r>
        <w:rPr>
          <w:rtl w:val="true"/>
        </w:rPr>
        <w:t>בית המשפט דחה טענות נוספות של המערער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tl w:val="true"/>
        </w:rPr>
        <w:t xml:space="preserve">, </w:t>
      </w:r>
      <w:r>
        <w:rPr>
          <w:rtl w:val="true"/>
        </w:rPr>
        <w:t xml:space="preserve">טענה </w:t>
      </w:r>
      <w:r>
        <w:rPr>
          <w:rtl w:val="true"/>
        </w:rPr>
        <w:t>"</w:t>
      </w:r>
      <w:r>
        <w:rPr>
          <w:rtl w:val="true"/>
        </w:rPr>
        <w:t>להגנה מן הצדק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בית המשפט המחוזי נתן ביטוי לנסיבותיו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ובכלל זה גילו ומצבו הרפואי</w:t>
      </w:r>
      <w:r>
        <w:rPr>
          <w:rtl w:val="true"/>
        </w:rPr>
        <w:t xml:space="preserve">, </w:t>
      </w:r>
      <w:r>
        <w:rPr>
          <w:rtl w:val="true"/>
        </w:rPr>
        <w:t>ולצד זאת</w:t>
      </w:r>
      <w:r>
        <w:rPr>
          <w:rtl w:val="true"/>
        </w:rPr>
        <w:t xml:space="preserve">, </w:t>
      </w:r>
      <w:r>
        <w:rPr>
          <w:rtl w:val="true"/>
        </w:rPr>
        <w:t>התחשב בכך שהמערער לא נטל אחריות למעשיו</w:t>
      </w:r>
      <w:r>
        <w:rPr>
          <w:rtl w:val="true"/>
        </w:rPr>
        <w:t xml:space="preserve">, </w:t>
      </w:r>
      <w:r>
        <w:rPr>
          <w:rtl w:val="true"/>
        </w:rPr>
        <w:t>לא עשה כל מאמץ לתקן את תוצאות העבירה</w:t>
      </w:r>
      <w:r>
        <w:rPr>
          <w:rtl w:val="true"/>
        </w:rPr>
        <w:t xml:space="preserve">, </w:t>
      </w:r>
      <w:r>
        <w:rPr>
          <w:rtl w:val="true"/>
        </w:rPr>
        <w:t>ולא השיב את סכום הצ</w:t>
      </w:r>
      <w:r>
        <w:rPr>
          <w:rtl w:val="true"/>
        </w:rPr>
        <w:t>'</w:t>
      </w:r>
      <w:r>
        <w:rPr>
          <w:rtl w:val="true"/>
        </w:rPr>
        <w:t>ק לרוכשים</w:t>
      </w:r>
      <w:r>
        <w:rPr>
          <w:rtl w:val="true"/>
        </w:rPr>
        <w:t xml:space="preserve">. </w:t>
      </w:r>
      <w:r>
        <w:rPr>
          <w:rtl w:val="true"/>
        </w:rPr>
        <w:t>בית המשפט נתן דעתו גם לעברו הפלילי של המערער ולשיקולים נוספים</w:t>
      </w:r>
      <w:r>
        <w:rPr>
          <w:rtl w:val="true"/>
        </w:rPr>
        <w:t xml:space="preserve">, </w:t>
      </w:r>
      <w:r>
        <w:rPr>
          <w:rtl w:val="true"/>
        </w:rPr>
        <w:t>וקבע כי באיזון בין כלל השיקולים</w:t>
      </w:r>
      <w:r>
        <w:rPr>
          <w:rtl w:val="true"/>
        </w:rPr>
        <w:t xml:space="preserve">, </w:t>
      </w:r>
      <w:r>
        <w:rPr>
          <w:rtl w:val="true"/>
        </w:rPr>
        <w:t xml:space="preserve">יש לגזור על המערער עונש של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מאסר אשר ירוצו בעבודות שירות 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בצירוף תשלום קנס כספי בסך של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 xml:space="preserve">או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) </w:t>
      </w:r>
      <w:r>
        <w:rPr>
          <w:rtl w:val="true"/>
        </w:rPr>
        <w:t xml:space="preserve">ופיצוי בסך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בקביעתו כי הייתה מוטלת עליו חובה לגלות לרוכשים כי הוא מצוי בהליכי פשיטת רגל</w:t>
      </w:r>
      <w:r>
        <w:rPr>
          <w:rtl w:val="true"/>
        </w:rPr>
        <w:t xml:space="preserve">, </w:t>
      </w:r>
      <w:r>
        <w:rPr>
          <w:rtl w:val="true"/>
        </w:rPr>
        <w:t>מאחר שלנוכח ההפטר המותנה</w:t>
      </w:r>
      <w:r>
        <w:rPr>
          <w:rtl w:val="true"/>
        </w:rPr>
        <w:t xml:space="preserve">, </w:t>
      </w:r>
      <w:r>
        <w:rPr>
          <w:rtl w:val="true"/>
        </w:rPr>
        <w:t>עובדה זו אינה רלבנטית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גם כאשר קבע כי קיים קשר סיבתי בין הימנעותו מלגלות על הליכים אלו לבין החלטת הרוכשים לרכוש את הדירה</w:t>
      </w:r>
      <w:r>
        <w:rPr>
          <w:rtl w:val="true"/>
        </w:rPr>
        <w:t xml:space="preserve">, </w:t>
      </w:r>
      <w:r>
        <w:rPr>
          <w:rtl w:val="true"/>
        </w:rPr>
        <w:t>בין היתר לאור הגשת המרצת הפתיחה בה התבקש כאמור סעד של אכיפת הסכם המכר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הוסיף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בקביעה כי קיבל דבר במרמה כאשר הפקיד את הצ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ובייחסו למערער עבירת 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>מאחר שלדבריו התכוון לקיים את העסקה ולהעביר את הזכויות בדירה לידי הרוכשים</w:t>
      </w:r>
      <w:r>
        <w:rPr>
          <w:rtl w:val="true"/>
        </w:rPr>
        <w:t xml:space="preserve">, </w:t>
      </w:r>
      <w:r>
        <w:rPr>
          <w:rtl w:val="true"/>
        </w:rPr>
        <w:t xml:space="preserve">ובכך לתת </w:t>
      </w:r>
      <w:r>
        <w:rPr>
          <w:rtl w:val="true"/>
        </w:rPr>
        <w:t>"</w:t>
      </w:r>
      <w:r>
        <w:rPr>
          <w:rtl w:val="true"/>
        </w:rPr>
        <w:t>ערך תמורת ערך</w:t>
      </w:r>
      <w:r>
        <w:rPr>
          <w:rtl w:val="true"/>
        </w:rPr>
        <w:t xml:space="preserve">".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 xml:space="preserve">כי קיימת </w:t>
      </w:r>
      <w:r>
        <w:rPr>
          <w:rtl w:val="true"/>
        </w:rPr>
        <w:t>"</w:t>
      </w:r>
      <w:r>
        <w:rPr>
          <w:rtl w:val="true"/>
        </w:rPr>
        <w:t>בעייתיות</w:t>
      </w:r>
      <w:r>
        <w:rPr>
          <w:rtl w:val="true"/>
        </w:rPr>
        <w:t xml:space="preserve">" </w:t>
      </w:r>
      <w:r>
        <w:rPr>
          <w:rtl w:val="true"/>
        </w:rPr>
        <w:t xml:space="preserve">בהרשעתו הן בעבירה </w:t>
      </w:r>
      <w:r>
        <w:rPr>
          <w:rtl w:val="true"/>
        </w:rPr>
        <w:t>"</w:t>
      </w:r>
      <w:r>
        <w:rPr>
          <w:rtl w:val="true"/>
        </w:rPr>
        <w:t>מוגמרת</w:t>
      </w:r>
      <w:r>
        <w:rPr>
          <w:rtl w:val="true"/>
        </w:rPr>
        <w:t xml:space="preserve">" </w:t>
      </w:r>
      <w:r>
        <w:rPr>
          <w:rtl w:val="true"/>
        </w:rPr>
        <w:t>ביחס לחלק מן ה</w:t>
      </w:r>
      <w:r>
        <w:rPr>
          <w:rtl w:val="true"/>
        </w:rPr>
        <w:t>-"</w:t>
      </w:r>
      <w:r>
        <w:rPr>
          <w:rtl w:val="true"/>
        </w:rPr>
        <w:t>עסקה</w:t>
      </w:r>
      <w:r>
        <w:rPr>
          <w:rtl w:val="true"/>
        </w:rPr>
        <w:t>" (</w:t>
      </w:r>
      <w:r>
        <w:rPr>
          <w:rtl w:val="true"/>
        </w:rPr>
        <w:t>קבלת סכום הצ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), </w:t>
      </w:r>
      <w:r>
        <w:rPr>
          <w:rtl w:val="true"/>
        </w:rPr>
        <w:t>והן בניסיון לביצוע העבירה</w:t>
      </w:r>
      <w:r>
        <w:rPr>
          <w:rtl w:val="true"/>
        </w:rPr>
        <w:t xml:space="preserve">, </w:t>
      </w:r>
      <w:r>
        <w:rPr>
          <w:rtl w:val="true"/>
        </w:rPr>
        <w:t>בגין אותם המעשים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טען עוד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בהרשעתו בעבירות זיוף</w:t>
      </w:r>
      <w:r>
        <w:rPr>
          <w:rtl w:val="true"/>
        </w:rPr>
        <w:t xml:space="preserve">, </w:t>
      </w:r>
      <w:r>
        <w:rPr>
          <w:rtl w:val="true"/>
        </w:rPr>
        <w:t>שימוש במסמך מזויף ובידוי ראיות</w:t>
      </w:r>
      <w:r>
        <w:rPr>
          <w:rtl w:val="true"/>
        </w:rPr>
        <w:t xml:space="preserve">, </w:t>
      </w:r>
      <w:r>
        <w:rPr>
          <w:rtl w:val="true"/>
        </w:rPr>
        <w:t>מאחר שלשיטתו הרשעה זו נסמכה על ראיות נסיבתיות אשר אינן מספקות על מנת להביא להרשעתו</w:t>
      </w:r>
      <w:r>
        <w:rPr>
          <w:rtl w:val="true"/>
        </w:rPr>
        <w:t xml:space="preserve">. </w:t>
      </w:r>
      <w:r>
        <w:rPr>
          <w:rtl w:val="true"/>
        </w:rPr>
        <w:t xml:space="preserve">בהתייחס לעבירות בהן הורשע לפי 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, </w:t>
      </w:r>
      <w:r>
        <w:rPr>
          <w:rtl w:val="true"/>
        </w:rPr>
        <w:t>המערער טען כי יש לדון בעניינו לפי הקבוע ב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חדלות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פירעון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ושיקום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כלכלי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2018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פירעון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טען נגד חומרת גזר דינו</w:t>
      </w:r>
      <w:r>
        <w:rPr>
          <w:rtl w:val="true"/>
        </w:rPr>
        <w:t xml:space="preserve">. </w:t>
      </w:r>
      <w:r>
        <w:rPr>
          <w:rtl w:val="true"/>
        </w:rPr>
        <w:t xml:space="preserve">נטען כי בית המשפט המחוזי שגה כאשר קבע כי חלקו של המערער בביצוע העבירות היה </w:t>
      </w:r>
      <w:r>
        <w:rPr>
          <w:rtl w:val="true"/>
        </w:rPr>
        <w:t>"</w:t>
      </w:r>
      <w:r>
        <w:rPr>
          <w:rtl w:val="true"/>
        </w:rPr>
        <w:t>בלעדי</w:t>
      </w:r>
      <w:r>
        <w:rPr>
          <w:rtl w:val="true"/>
        </w:rPr>
        <w:t xml:space="preserve">", </w:t>
      </w:r>
      <w:r>
        <w:rPr>
          <w:rtl w:val="true"/>
        </w:rPr>
        <w:t xml:space="preserve">וכן בכך שהשית על המערער קנס בסכום של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מבלי לקבוע את מתחם הקנס התואם את יכולותיו הכלכליות של המערער</w:t>
      </w:r>
      <w:r>
        <w:rPr>
          <w:rtl w:val="true"/>
        </w:rPr>
        <w:t xml:space="preserve">. </w:t>
      </w:r>
      <w:r>
        <w:rPr>
          <w:rtl w:val="true"/>
        </w:rPr>
        <w:t>צוין עוד</w:t>
      </w:r>
      <w:r>
        <w:rPr>
          <w:rtl w:val="true"/>
        </w:rPr>
        <w:t xml:space="preserve">, </w:t>
      </w:r>
      <w:r>
        <w:rPr>
          <w:rtl w:val="true"/>
        </w:rPr>
        <w:t>כי בסופו של יום הליכי פשיטת הרגל הסתיימו בהפטר</w:t>
      </w:r>
      <w:r>
        <w:rPr>
          <w:rtl w:val="true"/>
        </w:rPr>
        <w:t xml:space="preserve">, </w:t>
      </w:r>
      <w:r>
        <w:rPr>
          <w:rtl w:val="true"/>
        </w:rPr>
        <w:t>והמערער לא הרוויח דבר מביצוע העבירות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טענה כי קביעת בית המשפט המחוזי לפיה המערער היה חייב להודיע לרוכשים על הליכי פשיטת הרגל בהם הוא מצוי</w:t>
      </w:r>
      <w:r>
        <w:rPr>
          <w:rtl w:val="true"/>
        </w:rPr>
        <w:t xml:space="preserve">, </w:t>
      </w:r>
      <w:r>
        <w:rPr>
          <w:rtl w:val="true"/>
        </w:rPr>
        <w:t>בדין יסודה</w:t>
      </w:r>
      <w:r>
        <w:rPr>
          <w:rtl w:val="true"/>
        </w:rPr>
        <w:t xml:space="preserve">, </w:t>
      </w:r>
      <w:r>
        <w:rPr>
          <w:rtl w:val="true"/>
        </w:rPr>
        <w:t>וכי התקיים קשר סיבתי בין אי הגילוי לבין החלטת הרוכשים להתקשר בהסכם המכר</w:t>
      </w:r>
      <w:r>
        <w:rPr>
          <w:rtl w:val="true"/>
        </w:rPr>
        <w:t xml:space="preserve">. </w:t>
      </w:r>
      <w:r>
        <w:rPr>
          <w:rtl w:val="true"/>
        </w:rPr>
        <w:t>הוסבר</w:t>
      </w:r>
      <w:r>
        <w:rPr>
          <w:rtl w:val="true"/>
        </w:rPr>
        <w:t xml:space="preserve">, </w:t>
      </w:r>
      <w:r>
        <w:rPr>
          <w:rtl w:val="true"/>
        </w:rPr>
        <w:t>כי אמנם הרוכשים עצמם לא העידו בבית המשפט</w:t>
      </w:r>
      <w:r>
        <w:rPr>
          <w:rtl w:val="true"/>
        </w:rPr>
        <w:t xml:space="preserve">, </w:t>
      </w:r>
      <w:r>
        <w:rPr>
          <w:rtl w:val="true"/>
        </w:rPr>
        <w:t>בשל פטירת מר גז בטרם עת תוך כדי ההליך המשפטי</w:t>
      </w:r>
      <w:r>
        <w:rPr>
          <w:rtl w:val="true"/>
        </w:rPr>
        <w:t xml:space="preserve">, </w:t>
      </w:r>
      <w:r>
        <w:rPr>
          <w:rtl w:val="true"/>
        </w:rPr>
        <w:t>ומאחר שהמשיבה ויתרה על עדותה של גב</w:t>
      </w:r>
      <w:r>
        <w:rPr>
          <w:rtl w:val="true"/>
        </w:rPr>
        <w:t xml:space="preserve">'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אולם תחת זאת העידו קרובי משפחתם שניהלו את הליך המשא ומתן לרכישת הדירה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הגשת המרצת הפתיחה אינה מנתקת את הקשר הסיבתי</w:t>
      </w:r>
      <w:r>
        <w:rPr>
          <w:rtl w:val="true"/>
        </w:rPr>
        <w:t xml:space="preserve">, </w:t>
      </w:r>
      <w:r>
        <w:rPr>
          <w:rtl w:val="true"/>
        </w:rPr>
        <w:t>משהוכח כי אילו הרוכשים היו יודעים על אודות הליך פשיטת הרגל</w:t>
      </w:r>
      <w:r>
        <w:rPr>
          <w:rtl w:val="true"/>
        </w:rPr>
        <w:t xml:space="preserve">, </w:t>
      </w:r>
      <w:r>
        <w:rPr>
          <w:rtl w:val="true"/>
        </w:rPr>
        <w:t>לא היו חותמים על הסכם המכר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הוסיפה</w:t>
      </w:r>
      <w:r>
        <w:rPr>
          <w:rtl w:val="true"/>
        </w:rPr>
        <w:t xml:space="preserve">, </w:t>
      </w:r>
      <w:r>
        <w:rPr>
          <w:rtl w:val="true"/>
        </w:rPr>
        <w:t>כי מאחר שמדובר במעשה מתמשך</w:t>
      </w:r>
      <w:r>
        <w:rPr>
          <w:rtl w:val="true"/>
        </w:rPr>
        <w:t xml:space="preserve">, </w:t>
      </w:r>
      <w:r>
        <w:rPr>
          <w:rtl w:val="true"/>
        </w:rPr>
        <w:t>אין כל קושי בהרשעת המערער בעבירה המושלמת של קבלת דבר במרמה</w:t>
      </w:r>
      <w:r>
        <w:rPr>
          <w:rtl w:val="true"/>
        </w:rPr>
        <w:t xml:space="preserve">, </w:t>
      </w:r>
      <w:r>
        <w:rPr>
          <w:rtl w:val="true"/>
        </w:rPr>
        <w:t>ובנוסף להרשיעו בעבירה של ניסיון לקבלת דבר במרמה בנסיבות מחמירות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הסכימה כי קביעת בית המשפט המחוזי שהמערער הוא שזייף את זיכרון הדברים אשר צורף לתגובת הנאשמת להמרצת הפתיחה</w:t>
      </w:r>
      <w:r>
        <w:rPr>
          <w:rtl w:val="true"/>
        </w:rPr>
        <w:t xml:space="preserve">, </w:t>
      </w:r>
      <w:r>
        <w:rPr>
          <w:rtl w:val="true"/>
        </w:rPr>
        <w:t>נסמכת על ראיות נסיבתיות</w:t>
      </w:r>
      <w:r>
        <w:rPr>
          <w:rtl w:val="true"/>
        </w:rPr>
        <w:t xml:space="preserve">. </w:t>
      </w:r>
      <w:r>
        <w:rPr>
          <w:rtl w:val="true"/>
        </w:rPr>
        <w:t>אולם לשיטתה</w:t>
      </w:r>
      <w:r>
        <w:rPr>
          <w:rtl w:val="true"/>
        </w:rPr>
        <w:t xml:space="preserve">, </w:t>
      </w:r>
      <w:r>
        <w:rPr>
          <w:rtl w:val="true"/>
        </w:rPr>
        <w:t>בית המשפט המחוזי צדק בקביעתו כי על רקע בחינת מכלול העדויות בתיק</w:t>
      </w:r>
      <w:r>
        <w:rPr>
          <w:rtl w:val="true"/>
        </w:rPr>
        <w:t xml:space="preserve">, </w:t>
      </w:r>
      <w:r>
        <w:rPr>
          <w:rtl w:val="true"/>
        </w:rPr>
        <w:t>אין תרחיש חלופי הגיוני</w:t>
      </w:r>
      <w:r>
        <w:rPr>
          <w:rtl w:val="true"/>
        </w:rPr>
        <w:t xml:space="preserve">. </w:t>
      </w:r>
      <w:r>
        <w:rPr>
          <w:rtl w:val="true"/>
        </w:rPr>
        <w:t xml:space="preserve">באשר לנסיבות המחמירות </w:t>
      </w:r>
      <w:r>
        <w:rPr>
          <w:rtl w:val="true"/>
        </w:rPr>
        <w:t>–</w:t>
      </w:r>
      <w:r>
        <w:rPr>
          <w:rtl w:val="true"/>
        </w:rPr>
        <w:t xml:space="preserve"> נטען דבר קיומן בענייננו בין היתר מאחר שמדובר במרמה המתייחסת למכר דירה</w:t>
      </w:r>
      <w:r>
        <w:rPr>
          <w:rtl w:val="true"/>
        </w:rPr>
        <w:t xml:space="preserve">, </w:t>
      </w:r>
      <w:r>
        <w:rPr>
          <w:rtl w:val="true"/>
        </w:rPr>
        <w:t>ולאור זאת שעבירות המרמה בוצעו כלפי שלל גורמים</w:t>
      </w:r>
      <w:r>
        <w:rPr>
          <w:rtl w:val="true"/>
        </w:rPr>
        <w:t xml:space="preserve">, </w:t>
      </w:r>
      <w:r>
        <w:rPr>
          <w:rtl w:val="true"/>
        </w:rPr>
        <w:t>וביניהם המנהל המיוחד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 xml:space="preserve">כי לאחר שמיעת הערעור הגיש המערער בקשה </w:t>
      </w:r>
      <w:r>
        <w:rPr>
          <w:rtl w:val="true"/>
        </w:rPr>
        <w:t>"</w:t>
      </w:r>
      <w:r>
        <w:rPr>
          <w:rtl w:val="true"/>
        </w:rPr>
        <w:t>לפיטורי</w:t>
      </w:r>
      <w:r>
        <w:rPr>
          <w:rtl w:val="true"/>
        </w:rPr>
        <w:t xml:space="preserve">" </w:t>
      </w:r>
      <w:r>
        <w:rPr>
          <w:rtl w:val="true"/>
        </w:rPr>
        <w:t>סנגורו ולהוספת ראיות וטענות חדשות</w:t>
      </w:r>
      <w:r>
        <w:rPr>
          <w:rtl w:val="true"/>
        </w:rPr>
        <w:t xml:space="preserve">. </w:t>
      </w:r>
      <w:r>
        <w:rPr>
          <w:rtl w:val="true"/>
        </w:rPr>
        <w:t>בקשת המערער לפיטורי סנגורו נמחקה</w:t>
      </w:r>
      <w:r>
        <w:rPr>
          <w:rtl w:val="true"/>
        </w:rPr>
        <w:t xml:space="preserve">, </w:t>
      </w:r>
      <w:r>
        <w:rPr>
          <w:rtl w:val="true"/>
        </w:rPr>
        <w:t>ובקשתו להוספת ראיות וטענות חדשות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המערער הגיש</w:t>
      </w:r>
      <w:r>
        <w:rPr>
          <w:rtl w:val="true"/>
        </w:rPr>
        <w:t xml:space="preserve">, </w:t>
      </w:r>
      <w:r>
        <w:rPr>
          <w:rtl w:val="true"/>
        </w:rPr>
        <w:t>שלא באמצעות סנגורו</w:t>
      </w:r>
      <w:r>
        <w:rPr>
          <w:rtl w:val="true"/>
        </w:rPr>
        <w:t xml:space="preserve">, </w:t>
      </w:r>
      <w:r>
        <w:rPr>
          <w:rtl w:val="true"/>
        </w:rPr>
        <w:t>מספר בקשות נוספות להגשת ראיות חדשות</w:t>
      </w:r>
      <w:r>
        <w:rPr>
          <w:rtl w:val="true"/>
        </w:rPr>
        <w:t xml:space="preserve">, </w:t>
      </w:r>
      <w:r>
        <w:rPr>
          <w:rtl w:val="true"/>
        </w:rPr>
        <w:t>אשר נדחו אף הן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הלכה 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לא בנקל יתערב בית המשפט שלערעור בקביעות מהימנות ובממצאי עובדה שנקבעו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ובפרט כאשר אלה </w:t>
      </w:r>
      <w:r>
        <w:rPr>
          <w:rtl w:val="true"/>
        </w:rPr>
        <w:t>מתבססות</w:t>
      </w:r>
      <w:r>
        <w:rPr>
          <w:rtl w:val="true"/>
        </w:rPr>
        <w:t xml:space="preserve"> על הערכת עדויות </w:t>
      </w:r>
      <w:r>
        <w:rPr>
          <w:rtl w:val="true"/>
        </w:rPr>
        <w:t>שנשמעו</w:t>
      </w:r>
      <w:r>
        <w:rPr>
          <w:rtl w:val="true"/>
        </w:rPr>
        <w:t xml:space="preserve"> בפניו</w:t>
      </w:r>
      <w:r>
        <w:rPr>
          <w:color w:val="000000"/>
          <w:sz w:val="27"/>
          <w:sz w:val="27"/>
          <w:szCs w:val="27"/>
          <w:rtl w:val="true"/>
        </w:rPr>
        <w:t xml:space="preserve">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6295/05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40-36</w:t>
      </w:r>
      <w:r>
        <w:rPr>
          <w:rtl w:val="true"/>
        </w:rPr>
        <w:t xml:space="preserve"> (</w:t>
      </w:r>
      <w:r>
        <w:rPr/>
        <w:t>25.1.2007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(</w:t>
      </w:r>
      <w:r>
        <w:rPr/>
        <w:t>28.2.2018</w:t>
      </w:r>
      <w:r>
        <w:rPr>
          <w:rtl w:val="true"/>
        </w:rPr>
        <w:t>);</w:t>
      </w:r>
      <w:r>
        <w:rPr>
          <w:color w:val="000000"/>
          <w:sz w:val="27"/>
          <w:szCs w:val="27"/>
          <w:rtl w:val="true"/>
        </w:rPr>
        <w:t xml:space="preserve">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4454/19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30.7.2020</w:t>
      </w:r>
      <w:r>
        <w:rPr>
          <w:rtl w:val="true"/>
        </w:rPr>
        <w:t>)‏‏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בבסיס הרשעת המערער קביעות מהימנות ועובדה לרוב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השגותיו של המערער כעולה מנימוקי הערעור ובדיון שבפנינו</w:t>
      </w:r>
      <w:r>
        <w:rPr>
          <w:rtl w:val="true"/>
        </w:rPr>
        <w:t xml:space="preserve">, </w:t>
      </w:r>
      <w:r>
        <w:rPr>
          <w:rtl w:val="true"/>
        </w:rPr>
        <w:t>נבחן טענותיו אלה על פי סדרן</w:t>
      </w:r>
      <w:r>
        <w:rPr>
          <w:rtl w:val="true"/>
        </w:rPr>
        <w:t xml:space="preserve">, </w:t>
      </w:r>
      <w:r>
        <w:rPr>
          <w:rtl w:val="true"/>
        </w:rPr>
        <w:t>ותחילה</w:t>
      </w:r>
      <w:r>
        <w:rPr>
          <w:rtl w:val="true"/>
        </w:rPr>
        <w:t xml:space="preserve">, </w:t>
      </w:r>
      <w:r>
        <w:rPr>
          <w:rtl w:val="true"/>
        </w:rPr>
        <w:t>אפנה להרשעתו בעבירות של קבלת דבר במרמה וניסיון לקבלת דבר במרמה בנסיבות מחמירות</w:t>
      </w:r>
      <w:r>
        <w:rPr>
          <w:rtl w:val="true"/>
        </w:rPr>
        <w:t xml:space="preserve">: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5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414</w:t>
        </w:r>
      </w:hyperlink>
      <w:r>
        <w:rPr>
          <w:rtl w:val="true"/>
        </w:rPr>
        <w:t xml:space="preserve"> </w:t>
      </w:r>
      <w:r>
        <w:rPr>
          <w:rtl w:val="true"/>
        </w:rPr>
        <w:t>לחוק מגדיר את יסוד ה</w:t>
      </w:r>
      <w:r>
        <w:rPr>
          <w:rtl w:val="true"/>
        </w:rPr>
        <w:t>-"</w:t>
      </w:r>
      <w:r>
        <w:rPr>
          <w:rtl w:val="true"/>
        </w:rPr>
        <w:t>מרמה</w:t>
      </w:r>
      <w:r>
        <w:rPr>
          <w:rtl w:val="true"/>
        </w:rPr>
        <w:t xml:space="preserve">" </w:t>
      </w:r>
      <w:r>
        <w:rPr>
          <w:rtl w:val="true"/>
        </w:rPr>
        <w:t xml:space="preserve">הנכלל בעבירת </w:t>
      </w:r>
      <w:r>
        <w:rPr>
          <w:rtl w:val="true"/>
        </w:rPr>
        <w:t>"</w:t>
      </w:r>
      <w:r>
        <w:rPr>
          <w:rtl w:val="true"/>
        </w:rPr>
        <w:t>קבלת דבר במרמה</w:t>
      </w:r>
      <w:r>
        <w:rPr>
          <w:rtl w:val="true"/>
        </w:rPr>
        <w:t>":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טע</w:t>
      </w:r>
      <w:r>
        <w:rPr>
          <w:rtl w:val="true"/>
        </w:rPr>
        <w:t>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שבעבר</w:t>
      </w:r>
      <w:r>
        <w:rPr>
          <w:rtl w:val="true"/>
        </w:rPr>
        <w:t xml:space="preserve">, </w:t>
      </w:r>
      <w:r>
        <w:rPr>
          <w:rtl w:val="true"/>
        </w:rPr>
        <w:t>בהווה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>ת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לרמות</w:t>
      </w:r>
      <w:r>
        <w:rPr>
          <w:rtl w:val="true"/>
        </w:rPr>
        <w:t xml:space="preserve">" - </w:t>
      </w:r>
      <w:r>
        <w:rPr>
          <w:rtl w:val="true"/>
        </w:rPr>
        <w:t>לה</w:t>
      </w:r>
      <w:r>
        <w:rPr>
          <w:rtl w:val="true"/>
        </w:rPr>
        <w:t>בי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</w:t>
      </w:r>
      <w:r>
        <w:rPr>
          <w:rtl w:val="true"/>
        </w:rPr>
        <w:t>;".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נקבע זה מכבר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...</w:t>
      </w:r>
      <w:r>
        <w:rPr>
          <w:rtl w:val="true"/>
        </w:rPr>
        <w:t xml:space="preserve"> </w:t>
      </w:r>
      <w:r>
        <w:rPr>
          <w:rtl w:val="true"/>
        </w:rPr>
        <w:t>יכולה מרמה להיעשות גם על</w:t>
      </w:r>
      <w:r>
        <w:rPr>
          <w:rtl w:val="true"/>
        </w:rPr>
        <w:t>-</w:t>
      </w:r>
      <w:r>
        <w:rPr>
          <w:rtl w:val="true"/>
        </w:rPr>
        <w:t>ידי התנהגות ולאו דווקא על</w:t>
      </w:r>
      <w:r>
        <w:rPr>
          <w:rtl w:val="true"/>
        </w:rPr>
        <w:t>-</w:t>
      </w:r>
      <w:r>
        <w:rPr>
          <w:rtl w:val="true"/>
        </w:rPr>
        <w:t>ידי מצג פוזיטיבי במלה או בכתב</w:t>
      </w:r>
      <w:r>
        <w:rPr>
          <w:rtl w:val="true"/>
        </w:rPr>
        <w:t xml:space="preserve">, </w:t>
      </w:r>
      <w:r>
        <w:rPr>
          <w:rtl w:val="true"/>
        </w:rPr>
        <w:t>ודי בהתנהגות</w:t>
      </w:r>
      <w:r>
        <w:rPr>
          <w:rtl w:val="true"/>
        </w:rPr>
        <w:t xml:space="preserve">, </w:t>
      </w:r>
      <w:r>
        <w:rPr>
          <w:rtl w:val="true"/>
        </w:rPr>
        <w:t>שממנה ניתן להסיק על קיומו של מצב דברים מסוים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שתעלה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מירמה</w:t>
      </w:r>
      <w:r>
        <w:rPr>
          <w:rtl w:val="true"/>
        </w:rPr>
        <w:t>.</w:t>
      </w:r>
      <w:r>
        <w:rPr>
          <w:rtl w:val="true"/>
        </w:rPr>
        <w:t>"</w:t>
      </w:r>
      <w:r>
        <w:rPr>
          <w:rtl w:val="true"/>
        </w:rPr>
        <w:t xml:space="preserve"> [</w:t>
      </w:r>
      <w:r>
        <w:rPr>
          <w:rtl w:val="true"/>
        </w:rPr>
        <w:t xml:space="preserve">ההדגשה אינה במקור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 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593/81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מנדלבאום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505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וראו גם ב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223/88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 דעתו של השופט בייסקי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011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איני סבור כי יש ממש בטענת המערער כי לא הייתה מוטלת עליו חובת גילוי כלפי הרוכשים את דבר הליכי פשיטת הרגל בעניינו</w:t>
      </w:r>
      <w:r>
        <w:rPr>
          <w:rtl w:val="true"/>
        </w:rPr>
        <w:t xml:space="preserve">, </w:t>
      </w:r>
      <w:r>
        <w:rPr>
          <w:rtl w:val="true"/>
        </w:rPr>
        <w:t>וכי בהעדר חובה שכזו</w:t>
      </w:r>
      <w:r>
        <w:rPr>
          <w:rtl w:val="true"/>
        </w:rPr>
        <w:t xml:space="preserve">, </w:t>
      </w:r>
      <w:r>
        <w:rPr>
          <w:rtl w:val="true"/>
        </w:rPr>
        <w:t>אין מדובר במצג שווא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כפי שנקבע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בחודש מרץ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ביקש המנהל המיוחד מבית המשפט הדן בהליך פשיטת הרגל בעניינו של המערער</w:t>
      </w:r>
      <w:r>
        <w:rPr>
          <w:rtl w:val="true"/>
        </w:rPr>
        <w:t xml:space="preserve">, </w:t>
      </w:r>
      <w:r>
        <w:rPr>
          <w:rtl w:val="true"/>
        </w:rPr>
        <w:t>אישור לממש את דירת המערער והנאשמת</w:t>
      </w:r>
      <w:r>
        <w:rPr>
          <w:rtl w:val="true"/>
        </w:rPr>
        <w:t xml:space="preserve">. </w:t>
      </w:r>
      <w:r>
        <w:rPr>
          <w:rtl w:val="true"/>
        </w:rPr>
        <w:t>בסמוך לאחר מכן</w:t>
      </w:r>
      <w:r>
        <w:rPr>
          <w:rtl w:val="true"/>
        </w:rPr>
        <w:t xml:space="preserve">, </w:t>
      </w:r>
      <w:r>
        <w:rPr>
          <w:rtl w:val="true"/>
        </w:rPr>
        <w:t>נחתם זיכרון הדברים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 xml:space="preserve">זמן רב לאחר ההכרזה על הקניית נכסי המערער למנהל המיוחד </w:t>
      </w:r>
      <w:r>
        <w:rPr>
          <w:rtl w:val="true"/>
        </w:rPr>
        <w:t>(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איני רואה כל קושי לקבוע כי בנסיבות המקרה דנן</w:t>
      </w:r>
      <w:r>
        <w:rPr>
          <w:rtl w:val="true"/>
        </w:rPr>
        <w:t xml:space="preserve">, </w:t>
      </w:r>
      <w:r>
        <w:rPr>
          <w:rtl w:val="true"/>
        </w:rPr>
        <w:t>כאשר המערער התקשר בזיכרון דברים ולאחר מכן בהסכם המכר</w:t>
      </w:r>
      <w:r>
        <w:rPr>
          <w:rtl w:val="true"/>
        </w:rPr>
        <w:t xml:space="preserve">, </w:t>
      </w:r>
      <w:r>
        <w:rPr>
          <w:rtl w:val="true"/>
        </w:rPr>
        <w:t>תוך שהוא יודע כי בקשת המנהל המיוחד למימוש הדירה מונחת בפני בית המשפט בהליך פשיטת הרגל</w:t>
      </w:r>
      <w:r>
        <w:rPr>
          <w:rtl w:val="true"/>
        </w:rPr>
        <w:t xml:space="preserve">, </w:t>
      </w:r>
      <w:r>
        <w:rPr>
          <w:rtl w:val="true"/>
        </w:rPr>
        <w:t>העלמת עובדות אלו עולה כדי מרמה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טען בחקירתו במשטרה כי עדכן את הרוכשים ואת עורך הדין שם טוב על היותו פושט רגל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טענה זו נמצאה כשקרית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בצדק קבע בית המשפט המחוזי כי התנהלות זו מלמדת על קיומו של היסוד הנפשי הנדרש לצרכי ההרשעה בעבירה 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רכיב אחר מבין יסודות העבירה עליו משיג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רכיב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הסיבתי</w:t>
      </w:r>
      <w:r>
        <w:rPr>
          <w:rtl w:val="true"/>
        </w:rPr>
        <w:t xml:space="preserve">. </w:t>
      </w:r>
      <w:r>
        <w:rPr>
          <w:rtl w:val="true"/>
        </w:rPr>
        <w:t>המערער טען לפנינו כי ממצאיו העובדתיים של בית המשפט המחוזי בהקשר זה שגויים</w:t>
      </w:r>
      <w:r>
        <w:rPr>
          <w:rtl w:val="true"/>
        </w:rPr>
        <w:t xml:space="preserve">, </w:t>
      </w:r>
      <w:r>
        <w:rPr>
          <w:rtl w:val="true"/>
        </w:rPr>
        <w:t>וכי הגשת המרצת הפתיחה על ידי הרוכשים</w:t>
      </w:r>
      <w:r>
        <w:rPr>
          <w:rtl w:val="true"/>
        </w:rPr>
        <w:t xml:space="preserve">, </w:t>
      </w:r>
      <w:r>
        <w:rPr>
          <w:rtl w:val="true"/>
        </w:rPr>
        <w:t>לצורכי אכיפת הסכם המכר</w:t>
      </w:r>
      <w:r>
        <w:rPr>
          <w:rtl w:val="true"/>
        </w:rPr>
        <w:t xml:space="preserve">, </w:t>
      </w:r>
      <w:r>
        <w:rPr>
          <w:rtl w:val="true"/>
        </w:rPr>
        <w:t>ולא ביטולו</w:t>
      </w:r>
      <w:r>
        <w:rPr>
          <w:rtl w:val="true"/>
        </w:rPr>
        <w:t xml:space="preserve">, </w:t>
      </w:r>
      <w:r>
        <w:rPr>
          <w:rtl w:val="true"/>
        </w:rPr>
        <w:t xml:space="preserve">היא כלשונו </w:t>
      </w:r>
      <w:r>
        <w:rPr>
          <w:rtl w:val="true"/>
        </w:rPr>
        <w:t>- "...</w:t>
      </w:r>
      <w:r>
        <w:rPr>
          <w:rtl w:val="true"/>
        </w:rPr>
        <w:t>ראיה מוחצת לכך</w:t>
      </w:r>
      <w:r>
        <w:rPr>
          <w:rtl w:val="true"/>
        </w:rPr>
        <w:t xml:space="preserve">, </w:t>
      </w:r>
      <w:r>
        <w:rPr>
          <w:rtl w:val="true"/>
        </w:rPr>
        <w:t>שהרוכשים חפצו בעסקה ודבקו בה גם כאשר נודע להם מצבו של המערער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אף טיעונים אלו איני רואה לקבל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 קביעות חמורות</w:t>
      </w:r>
      <w:r>
        <w:rPr>
          <w:rtl w:val="true"/>
        </w:rPr>
        <w:t xml:space="preserve">, </w:t>
      </w:r>
      <w:r>
        <w:rPr>
          <w:rtl w:val="true"/>
        </w:rPr>
        <w:t>חדות ונחרצות באשר לאי מהימנות המערער וגרסתו</w:t>
      </w:r>
      <w:r>
        <w:rPr>
          <w:rtl w:val="true"/>
        </w:rPr>
        <w:t xml:space="preserve">. </w:t>
      </w:r>
      <w:r>
        <w:rPr>
          <w:rtl w:val="true"/>
        </w:rPr>
        <w:t>בעוד המערער נמצא כמי שלא אמר אמת פעמים רבות</w:t>
      </w:r>
      <w:r>
        <w:rPr>
          <w:rtl w:val="true"/>
        </w:rPr>
        <w:t xml:space="preserve">, </w:t>
      </w:r>
      <w:r>
        <w:rPr>
          <w:rtl w:val="true"/>
        </w:rPr>
        <w:t>עדי המשיבה נמצאו מהימנים</w:t>
      </w:r>
      <w:r>
        <w:rPr>
          <w:rtl w:val="true"/>
        </w:rPr>
        <w:t xml:space="preserve">, </w:t>
      </w:r>
      <w:r>
        <w:rPr>
          <w:rtl w:val="true"/>
        </w:rPr>
        <w:t>ועדויותיהם אומצו במלואן</w:t>
      </w:r>
      <w:r>
        <w:rPr>
          <w:rtl w:val="true"/>
        </w:rPr>
        <w:t xml:space="preserve">. </w:t>
      </w:r>
      <w:r>
        <w:rPr>
          <w:rtl w:val="true"/>
        </w:rPr>
        <w:t>בהינתן זאת</w:t>
      </w:r>
      <w:r>
        <w:rPr>
          <w:rtl w:val="true"/>
        </w:rPr>
        <w:t xml:space="preserve">, </w:t>
      </w:r>
      <w:r>
        <w:rPr>
          <w:rtl w:val="true"/>
        </w:rPr>
        <w:t>איני רואה להתערב בקביעת בית המשפט המחוזי כי אילו הרוכשים היו יודעים על אודות מצבו המשפטי של המערער</w:t>
      </w:r>
      <w:r>
        <w:rPr>
          <w:rtl w:val="true"/>
        </w:rPr>
        <w:t xml:space="preserve">, </w:t>
      </w:r>
      <w:r>
        <w:rPr>
          <w:rtl w:val="true"/>
        </w:rPr>
        <w:t>הם לא היו מתקשרים עמו ועם הנאשמת בזיכרון הדברים או בהסכם המכר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יש להזכיר</w:t>
      </w:r>
      <w:r>
        <w:rPr>
          <w:rtl w:val="true"/>
        </w:rPr>
        <w:t xml:space="preserve">, </w:t>
      </w:r>
      <w:r>
        <w:rPr>
          <w:rtl w:val="true"/>
        </w:rPr>
        <w:t>כי לצורכי גיבוש קשר סיבתי בעבירת קבלת דבר במרמה</w:t>
      </w:r>
      <w:r>
        <w:rPr>
          <w:rtl w:val="true"/>
        </w:rPr>
        <w:t xml:space="preserve">, </w:t>
      </w:r>
      <w:r>
        <w:rPr>
          <w:rtl w:val="true"/>
        </w:rPr>
        <w:t xml:space="preserve">כל שנדרש להראות הוא כי למצגי השווא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תפקיד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ניכר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בהערכת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המרומה</w:t>
      </w:r>
      <w:r>
        <w:rPr>
          <w:rtl w:val="true"/>
        </w:rPr>
        <w:t xml:space="preserve">, </w:t>
      </w:r>
      <w:r>
        <w:rPr>
          <w:rtl w:val="true"/>
        </w:rPr>
        <w:t>ואין דרישה כי הן היו הסיבה הבלעדית בהעברת ה</w:t>
      </w:r>
      <w:r>
        <w:rPr>
          <w:rtl w:val="true"/>
        </w:rPr>
        <w:t>-"</w:t>
      </w:r>
      <w:r>
        <w:rPr>
          <w:rtl w:val="true"/>
        </w:rPr>
        <w:t>דבר</w:t>
      </w:r>
      <w:r>
        <w:rPr>
          <w:rtl w:val="true"/>
        </w:rPr>
        <w:t>" 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5.2.2009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7621/14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גוטסדינר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לחוות דעתו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1.3.2017</w:t>
      </w:r>
      <w:r>
        <w:rPr>
          <w:rtl w:val="true"/>
        </w:rPr>
        <w:t>)(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גוטסדינר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אף איני רואה ממש בטענת המערער כי הגשת המרצת הפתיחה לאכיפת הסכם המכר שוללת את קיומו של הקשר הסיבתי</w:t>
      </w:r>
      <w:r>
        <w:rPr>
          <w:rtl w:val="true"/>
        </w:rPr>
        <w:t xml:space="preserve">. </w:t>
      </w:r>
      <w:r>
        <w:rPr>
          <w:rtl w:val="true"/>
        </w:rPr>
        <w:t>השאלה שאנו נדרשים לבחון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 xml:space="preserve">האם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חתימת זיכרון הדברים</w:t>
      </w:r>
      <w:r>
        <w:rPr>
          <w:rtl w:val="true"/>
        </w:rPr>
        <w:t xml:space="preserve">, </w:t>
      </w:r>
      <w:r>
        <w:rPr>
          <w:rtl w:val="true"/>
        </w:rPr>
        <w:t>הפקדת הצ</w:t>
      </w:r>
      <w:r>
        <w:rPr>
          <w:rtl w:val="true"/>
        </w:rPr>
        <w:t>'</w:t>
      </w:r>
      <w:r>
        <w:rPr>
          <w:rtl w:val="true"/>
        </w:rPr>
        <w:t>ק והעברת צ</w:t>
      </w:r>
      <w:r>
        <w:rPr>
          <w:rtl w:val="true"/>
        </w:rPr>
        <w:t>'</w:t>
      </w:r>
      <w:r>
        <w:rPr>
          <w:rtl w:val="true"/>
        </w:rPr>
        <w:t>ק נוסף בגין המקדמה</w:t>
      </w:r>
      <w:r>
        <w:rPr>
          <w:rtl w:val="true"/>
        </w:rPr>
        <w:t xml:space="preserve">, </w:t>
      </w:r>
      <w:r>
        <w:rPr>
          <w:rtl w:val="true"/>
        </w:rPr>
        <w:t>הרוכשים היו חפצים בהשלמת העסקה או בביטולה</w:t>
      </w:r>
      <w:r>
        <w:rPr>
          <w:rtl w:val="true"/>
        </w:rPr>
        <w:t xml:space="preserve">. </w:t>
      </w:r>
      <w:r>
        <w:rPr>
          <w:rtl w:val="true"/>
        </w:rPr>
        <w:t>חלף זאת</w:t>
      </w:r>
      <w:r>
        <w:rPr>
          <w:rtl w:val="true"/>
        </w:rPr>
        <w:t xml:space="preserve">, </w:t>
      </w:r>
      <w:r>
        <w:rPr>
          <w:rtl w:val="true"/>
        </w:rPr>
        <w:t xml:space="preserve">יש לבחון האם הרוכשים היו מתקשרים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מלכתחילה</w:t>
      </w:r>
      <w:r>
        <w:rPr>
          <w:rtl w:val="true"/>
        </w:rPr>
        <w:t xml:space="preserve"> בזיכרון הדברים והסכם המכר ומוסרים את הצ</w:t>
      </w:r>
      <w:r>
        <w:rPr>
          <w:rtl w:val="true"/>
        </w:rPr>
        <w:t>'</w:t>
      </w:r>
      <w:r>
        <w:rPr>
          <w:rtl w:val="true"/>
        </w:rPr>
        <w:t>ק והמקדמה</w:t>
      </w:r>
      <w:r>
        <w:rPr>
          <w:rtl w:val="true"/>
        </w:rPr>
        <w:t xml:space="preserve">, </w:t>
      </w:r>
      <w:r>
        <w:rPr>
          <w:rtl w:val="true"/>
        </w:rPr>
        <w:t>אילו המערער היה חושף בפניהם את מלוא העובדות</w:t>
      </w:r>
      <w:r>
        <w:rPr>
          <w:rtl w:val="true"/>
        </w:rPr>
        <w:t xml:space="preserve">, </w:t>
      </w:r>
      <w:r>
        <w:rPr>
          <w:rtl w:val="true"/>
        </w:rPr>
        <w:t>ובין היתר את היותו פושט רגל ופעולות המנהל המיוחד למימוש הדירה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firstLine="720" w:start="0" w:end="0"/>
        <w:jc w:val="both"/>
        <w:rPr/>
      </w:pP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טיעונו זה של המערער מופנה פעם נוספת לטיעון אל מול ממצאיו העובדתיים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בהם איני רואה להתערב 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טיעון אחר בפי המערער</w:t>
      </w:r>
      <w:r>
        <w:rPr>
          <w:rtl w:val="true"/>
        </w:rPr>
        <w:t xml:space="preserve">, </w:t>
      </w:r>
      <w:r>
        <w:rPr>
          <w:rtl w:val="true"/>
        </w:rPr>
        <w:t>הוא כי לא היה מקום להרשיעו הן בעבירה המושלמת של קבלת דבר במרמה</w:t>
      </w:r>
      <w:r>
        <w:rPr>
          <w:rtl w:val="true"/>
        </w:rPr>
        <w:t xml:space="preserve">, </w:t>
      </w:r>
      <w:r>
        <w:rPr>
          <w:rtl w:val="true"/>
        </w:rPr>
        <w:t>והן בניסיון לקבלת דבר במרמה בנסיבות מחמירות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 xml:space="preserve">קיימת </w:t>
      </w:r>
      <w:r>
        <w:rPr>
          <w:rtl w:val="true"/>
        </w:rPr>
        <w:t>"</w:t>
      </w:r>
      <w:r>
        <w:rPr>
          <w:rtl w:val="true"/>
        </w:rPr>
        <w:t>בעיתיות</w:t>
      </w:r>
      <w:r>
        <w:rPr>
          <w:rtl w:val="true"/>
        </w:rPr>
        <w:t xml:space="preserve">" </w:t>
      </w:r>
      <w:r>
        <w:rPr>
          <w:rtl w:val="true"/>
        </w:rPr>
        <w:t xml:space="preserve">בהרשעה בעבירה </w:t>
      </w:r>
      <w:r>
        <w:rPr>
          <w:rtl w:val="true"/>
        </w:rPr>
        <w:t>"</w:t>
      </w:r>
      <w:r>
        <w:rPr>
          <w:rtl w:val="true"/>
        </w:rPr>
        <w:t>מוגמרת</w:t>
      </w:r>
      <w:r>
        <w:rPr>
          <w:rtl w:val="true"/>
        </w:rPr>
        <w:t xml:space="preserve">" </w:t>
      </w:r>
      <w:r>
        <w:rPr>
          <w:rtl w:val="true"/>
        </w:rPr>
        <w:t>ביחס לחלק מן ה</w:t>
      </w:r>
      <w:r>
        <w:rPr>
          <w:rtl w:val="true"/>
        </w:rPr>
        <w:t>-"</w:t>
      </w:r>
      <w:r>
        <w:rPr>
          <w:rtl w:val="true"/>
        </w:rPr>
        <w:t>עסקה</w:t>
      </w:r>
      <w:r>
        <w:rPr>
          <w:rtl w:val="true"/>
        </w:rPr>
        <w:t xml:space="preserve">", </w:t>
      </w:r>
      <w:r>
        <w:rPr>
          <w:rtl w:val="true"/>
        </w:rPr>
        <w:t xml:space="preserve">ובעבירת הניסיון </w:t>
      </w:r>
      <w:r>
        <w:rPr>
          <w:rtl w:val="true"/>
        </w:rPr>
        <w:t>"</w:t>
      </w:r>
      <w:r>
        <w:rPr>
          <w:rtl w:val="true"/>
        </w:rPr>
        <w:t>ביחס לחלקים שונים של אותה התרחשות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סבור כי גם דינו של טיעון זה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 xml:space="preserve">המערער קיבל לידיו את השיק עם חתימת זיכרון הדברים ביום </w:t>
      </w:r>
      <w:r>
        <w:rPr/>
        <w:t>24.4.2014</w:t>
      </w:r>
      <w:r>
        <w:rPr>
          <w:rtl w:val="true"/>
        </w:rPr>
        <w:t xml:space="preserve">, </w:t>
      </w:r>
      <w:r>
        <w:rPr>
          <w:rtl w:val="true"/>
        </w:rPr>
        <w:t>והוא נפדה מספר ימים לאחר מכן</w:t>
      </w:r>
      <w:r>
        <w:rPr>
          <w:rtl w:val="true"/>
        </w:rPr>
        <w:t xml:space="preserve">. </w:t>
      </w:r>
      <w:r>
        <w:rPr>
          <w:rtl w:val="true"/>
        </w:rPr>
        <w:t xml:space="preserve">בכך ביצע המערער עבירה מושלמת של קבלת דבר במרמה </w:t>
      </w:r>
      <w:r>
        <w:rPr>
          <w:rtl w:val="true"/>
        </w:rPr>
        <w:t>(</w:t>
      </w:r>
      <w:r>
        <w:rPr>
          <w:rtl w:val="true"/>
        </w:rPr>
        <w:t>על אודות המבנה הייחודי של הרכיב התוצאתי בעבירה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ראו בפסקה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לחוות דעתו של השופט אלון ב</w:t>
      </w:r>
      <w:hyperlink r:id="rId6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849/07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זוהר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21.1.2008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מספר שבועות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8.5.2014</w:t>
      </w:r>
      <w:r>
        <w:rPr>
          <w:rtl w:val="true"/>
        </w:rPr>
        <w:t xml:space="preserve">, </w:t>
      </w:r>
      <w:r>
        <w:rPr>
          <w:rtl w:val="true"/>
        </w:rPr>
        <w:t>התקיימה פגישה במשרדו של עורך דין שם טוב בה נחתם הסכם המכר</w:t>
      </w:r>
      <w:r>
        <w:rPr>
          <w:rtl w:val="true"/>
        </w:rPr>
        <w:t xml:space="preserve">, </w:t>
      </w:r>
      <w:r>
        <w:rPr>
          <w:rtl w:val="true"/>
        </w:rPr>
        <w:t>תוך שהמערער לא מגלה לרוכשים את מצבו המשפטי</w:t>
      </w:r>
      <w:r>
        <w:rPr>
          <w:rtl w:val="true"/>
        </w:rPr>
        <w:t xml:space="preserve">. </w:t>
      </w:r>
      <w:r>
        <w:rPr>
          <w:rtl w:val="true"/>
        </w:rPr>
        <w:t>בפגישה זו הרוכשים מסרו לעורך הדין שם טוב את המקדמה בגין רכישת הדירה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עולה בבירור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 בנסיבות העניין ניתן להפריד בין ההתרחשויות העובדתיות</w:t>
      </w:r>
      <w:r>
        <w:rPr>
          <w:rtl w:val="true"/>
        </w:rPr>
        <w:t xml:space="preserve">, </w:t>
      </w:r>
      <w:r>
        <w:rPr>
          <w:rtl w:val="true"/>
        </w:rPr>
        <w:t>ואין מדובר במצב בו בגין אותם המעשים</w:t>
      </w:r>
      <w:r>
        <w:rPr>
          <w:rtl w:val="true"/>
        </w:rPr>
        <w:t xml:space="preserve">, </w:t>
      </w:r>
      <w:r>
        <w:rPr>
          <w:rtl w:val="true"/>
        </w:rPr>
        <w:t>המערער מורשע הן בעבירה המושלמת</w:t>
      </w:r>
      <w:r>
        <w:rPr>
          <w:rtl w:val="true"/>
        </w:rPr>
        <w:t xml:space="preserve">, </w:t>
      </w:r>
      <w:r>
        <w:rPr>
          <w:rtl w:val="true"/>
        </w:rPr>
        <w:t>והן בעבירת הניסיון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למעלה מהנדרש</w:t>
      </w:r>
      <w:r>
        <w:rPr>
          <w:rtl w:val="true"/>
        </w:rPr>
        <w:t xml:space="preserve">, </w:t>
      </w:r>
      <w:r>
        <w:rPr>
          <w:rtl w:val="true"/>
        </w:rPr>
        <w:t>אף לו הייתי נכון לאמץ את טענת המערער כי יש לבחון את הדברים כחלק מהתרחשות עובדתית אחת</w:t>
      </w:r>
      <w:r>
        <w:rPr>
          <w:rtl w:val="true"/>
        </w:rPr>
        <w:t xml:space="preserve">, </w:t>
      </w:r>
      <w:r>
        <w:rPr>
          <w:rtl w:val="true"/>
        </w:rPr>
        <w:t xml:space="preserve">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גוטסדינר</w:t>
      </w:r>
      <w:r>
        <w:rPr>
          <w:rtl w:val="true"/>
        </w:rPr>
        <w:t xml:space="preserve">, </w:t>
      </w:r>
      <w:r>
        <w:rPr>
          <w:rtl w:val="true"/>
        </w:rPr>
        <w:t>עליו ביקש המערער להסתמך</w:t>
      </w:r>
      <w:r>
        <w:rPr>
          <w:rtl w:val="true"/>
        </w:rPr>
        <w:t xml:space="preserve">, </w:t>
      </w:r>
      <w:r>
        <w:rPr>
          <w:rtl w:val="true"/>
        </w:rPr>
        <w:t>נחלקו הנמקות השופטים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 xml:space="preserve">סבר כי </w:t>
      </w:r>
      <w:r>
        <w:rPr>
          <w:rtl w:val="true"/>
        </w:rPr>
        <w:t xml:space="preserve">"...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מבחינה עיונית</w:t>
      </w:r>
      <w:r>
        <w:rPr>
          <w:rtl w:val="true"/>
        </w:rPr>
        <w:t xml:space="preserve">, </w:t>
      </w:r>
      <w:r>
        <w:rPr>
          <w:rtl w:val="true"/>
        </w:rPr>
        <w:t>להרשיע בגין מעשה מרמה אחד</w:t>
      </w:r>
      <w:r>
        <w:rPr>
          <w:rtl w:val="true"/>
        </w:rPr>
        <w:t xml:space="preserve">, </w:t>
      </w:r>
      <w:r>
        <w:rPr>
          <w:rtl w:val="true"/>
        </w:rPr>
        <w:t>גם בעבירה המושלמת של קבלת דבר במרמה וגם בעבירת הניסיון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), </w:t>
      </w:r>
      <w:r>
        <w:rPr>
          <w:rtl w:val="true"/>
        </w:rPr>
        <w:t>אך כי בנסיבות אותו מקרה לא נכון להותיר על כנה את ההרשעה בעבירת הניסיון</w:t>
      </w:r>
      <w:r>
        <w:rPr>
          <w:rtl w:val="true"/>
        </w:rPr>
        <w:t xml:space="preserve">. </w:t>
      </w:r>
      <w:r>
        <w:rPr>
          <w:rtl w:val="true"/>
        </w:rPr>
        <w:t>זאת בשים לב לכך שמדובר היה בהרשעה ב</w:t>
      </w:r>
      <w:r>
        <w:rPr>
          <w:rtl w:val="true"/>
        </w:rPr>
        <w:t>-</w:t>
      </w:r>
      <w:r>
        <w:rPr/>
        <w:t>1,352</w:t>
      </w:r>
      <w:r>
        <w:rPr>
          <w:rtl w:val="true"/>
        </w:rPr>
        <w:t xml:space="preserve"> </w:t>
      </w:r>
      <w:r>
        <w:rPr>
          <w:rtl w:val="true"/>
        </w:rPr>
        <w:t>מקרים של 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>לצד הרשעה ב</w:t>
      </w:r>
      <w:r>
        <w:rPr>
          <w:rtl w:val="true"/>
        </w:rPr>
        <w:t>-</w:t>
      </w:r>
      <w:r>
        <w:rPr/>
        <w:t>1,352</w:t>
      </w:r>
      <w:r>
        <w:rPr>
          <w:rtl w:val="true"/>
        </w:rPr>
        <w:t xml:space="preserve"> </w:t>
      </w:r>
      <w:r>
        <w:rPr>
          <w:rtl w:val="true"/>
        </w:rPr>
        <w:t>עבירות של ניסיון לקבלת דבר במרמה בנסיבות מחמירות</w:t>
      </w:r>
      <w:r>
        <w:rPr>
          <w:rtl w:val="true"/>
        </w:rPr>
        <w:t xml:space="preserve">, </w:t>
      </w:r>
      <w:r>
        <w:rPr>
          <w:rtl w:val="true"/>
        </w:rPr>
        <w:t>ובשל הנסיבות הדיוניות של אותו המקרה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 xml:space="preserve">הבהיר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כי ממילא אין בקביעתו בכדי להצדיק הקלה בעונשו של הנאשם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הביע עמדה לפיה </w:t>
      </w:r>
      <w:r>
        <w:rPr>
          <w:color w:val="000000"/>
          <w:sz w:val="28"/>
          <w:sz w:val="28"/>
          <w:rtl w:val="true"/>
        </w:rPr>
        <w:t>ככלל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אין מקום להוסיף על ההרשעה בעבירה המושלמת גם הרשעה </w:t>
      </w:r>
      <w:r>
        <w:rPr>
          <w:color w:val="000000"/>
          <w:sz w:val="28"/>
          <w:rtl w:val="true"/>
        </w:rPr>
        <w:t>"</w:t>
      </w:r>
      <w:r>
        <w:rPr>
          <w:color w:val="000000"/>
          <w:sz w:val="28"/>
          <w:sz w:val="28"/>
          <w:rtl w:val="true"/>
        </w:rPr>
        <w:t>מלאכותית</w:t>
      </w:r>
      <w:r>
        <w:rPr>
          <w:color w:val="000000"/>
          <w:sz w:val="28"/>
          <w:rtl w:val="true"/>
        </w:rPr>
        <w:t xml:space="preserve">" </w:t>
      </w:r>
      <w:r>
        <w:rPr>
          <w:color w:val="000000"/>
          <w:sz w:val="28"/>
          <w:sz w:val="28"/>
          <w:rtl w:val="true"/>
        </w:rPr>
        <w:t xml:space="preserve">בעבירת ניסיון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  <w:sz w:val="28"/>
          <w:rtl w:val="true"/>
        </w:rPr>
        <w:t xml:space="preserve">פסקה </w:t>
      </w:r>
      <w:r>
        <w:rPr>
          <w:color w:val="000000"/>
          <w:sz w:val="28"/>
        </w:rPr>
        <w:t>33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לחוות דעתו</w:t>
      </w:r>
      <w:r>
        <w:rPr>
          <w:color w:val="000000"/>
          <w:sz w:val="28"/>
          <w:rtl w:val="true"/>
        </w:rPr>
        <w:t xml:space="preserve">), </w:t>
      </w:r>
      <w:r>
        <w:rPr>
          <w:color w:val="000000"/>
          <w:sz w:val="28"/>
          <w:sz w:val="28"/>
          <w:rtl w:val="true"/>
        </w:rPr>
        <w:t>ואילו</w:t>
      </w:r>
      <w:r>
        <w:rPr>
          <w:color w:val="000000"/>
          <w:sz w:val="28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color w:val="000000"/>
          <w:sz w:val="28"/>
          <w:sz w:val="28"/>
          <w:rtl w:val="true"/>
        </w:rPr>
        <w:t xml:space="preserve"> הותירה את הסוגיה בגדר צריך עיון</w:t>
      </w:r>
      <w:r>
        <w:rPr>
          <w:color w:val="000000"/>
          <w:sz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בנסיבות ענייננו </w:t>
      </w:r>
      <w:r>
        <w:rPr>
          <w:rtl w:val="true"/>
        </w:rPr>
        <w:t>–</w:t>
      </w:r>
      <w:r>
        <w:rPr>
          <w:rtl w:val="true"/>
        </w:rPr>
        <w:t xml:space="preserve"> דומה כי חומרתה של הרשעה בעבירה המושלמת של קבלת </w:t>
      </w:r>
      <w:r>
        <w:rPr/>
        <w:t>18,000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במרמה</w:t>
      </w:r>
      <w:r>
        <w:rPr>
          <w:rtl w:val="true"/>
        </w:rPr>
        <w:t xml:space="preserve">, </w:t>
      </w:r>
      <w:r>
        <w:rPr>
          <w:rtl w:val="true"/>
        </w:rPr>
        <w:t xml:space="preserve">פחותה באופן ניכר מן הניסיון לקבל במרמה </w:t>
      </w:r>
      <w:r>
        <w:rPr/>
        <w:t>1.2</w:t>
      </w:r>
      <w:r>
        <w:rPr>
          <w:rtl w:val="true"/>
        </w:rPr>
        <w:t xml:space="preserve"> </w:t>
      </w:r>
      <w:r>
        <w:rPr>
          <w:rtl w:val="true"/>
        </w:rPr>
        <w:t xml:space="preserve">מיליון </w:t>
      </w:r>
      <w:r>
        <w:rPr>
          <w:rFonts w:ascii="Times New Roman" w:hAnsi="Times New Roman" w:cs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מחיר הדירה לפי הסכם המכר</w:t>
      </w:r>
      <w:r>
        <w:rPr>
          <w:rtl w:val="true"/>
        </w:rPr>
        <w:t xml:space="preserve">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הרשעת המערער רק בביצוע העבירה המושלמת</w:t>
      </w:r>
      <w:r>
        <w:rPr>
          <w:rtl w:val="true"/>
        </w:rPr>
        <w:t xml:space="preserve">, </w:t>
      </w:r>
      <w:r>
        <w:rPr>
          <w:rtl w:val="true"/>
        </w:rPr>
        <w:t>כאשר הוכח כי מתקיימים היסודות בדין להרשעתו גם בעבירת הניסיון</w:t>
      </w:r>
      <w:r>
        <w:rPr>
          <w:rtl w:val="true"/>
        </w:rPr>
        <w:t xml:space="preserve">, </w:t>
      </w:r>
      <w:r>
        <w:rPr>
          <w:rtl w:val="true"/>
        </w:rPr>
        <w:t>תקל עמו ללא הצדקה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>איני סבור כי נסיבות ענייננו מחייבות הכרעה בסוגיה זו</w:t>
      </w:r>
      <w:r>
        <w:rPr>
          <w:rtl w:val="true"/>
        </w:rPr>
        <w:t xml:space="preserve">, </w:t>
      </w:r>
      <w:r>
        <w:rPr>
          <w:rtl w:val="true"/>
        </w:rPr>
        <w:t>בשים לב לכך שאין מדובר במצב דברים בו המערער הורשע בגין אותו המעשה הן בעבירה המושלמת והן בעבירת ניסיון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אני דוחה את טענת המערער כי לא מתקיימות בענייננו </w:t>
      </w:r>
      <w:r>
        <w:rPr>
          <w:rtl w:val="true"/>
        </w:rPr>
        <w:t>"</w:t>
      </w:r>
      <w:r>
        <w:rPr>
          <w:rtl w:val="true"/>
        </w:rPr>
        <w:t>נסיבות מחמירות</w:t>
      </w:r>
      <w:r>
        <w:rPr>
          <w:rtl w:val="true"/>
        </w:rPr>
        <w:t xml:space="preserve">". </w:t>
      </w:r>
      <w:r>
        <w:rPr>
          <w:rtl w:val="true"/>
        </w:rPr>
        <w:t>כפי שנקבע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 xml:space="preserve">לצורך ההבחנה בין הרישא לבין הסיפא של </w:t>
      </w:r>
      <w:hyperlink r:id="rId64">
        <w:r>
          <w:rPr>
            <w:rStyle w:val="Hyperlink"/>
            <w:rtl w:val="true"/>
          </w:rPr>
          <w:t>הסעיף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האמור עשויים להשפיע הצורה בה מבוצעת המירמה</w:t>
      </w:r>
      <w:r>
        <w:rPr>
          <w:rtl w:val="true"/>
        </w:rPr>
        <w:t xml:space="preserve">, </w:t>
      </w:r>
      <w:r>
        <w:rPr>
          <w:rtl w:val="true"/>
        </w:rPr>
        <w:t>השיטה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tl w:val="true"/>
        </w:rPr>
        <w:t xml:space="preserve">, </w:t>
      </w:r>
      <w:r>
        <w:rPr>
          <w:rtl w:val="true"/>
        </w:rPr>
        <w:t>התחכום</w:t>
      </w:r>
      <w:r>
        <w:rPr>
          <w:rtl w:val="true"/>
        </w:rPr>
        <w:t xml:space="preserve">, </w:t>
      </w:r>
      <w:r>
        <w:rPr>
          <w:rtl w:val="true"/>
        </w:rPr>
        <w:t>ההיקף וכדומה גורמים</w:t>
      </w:r>
      <w:r>
        <w:rPr>
          <w:rtl w:val="true"/>
        </w:rPr>
        <w:t xml:space="preserve">. </w:t>
      </w:r>
      <w:r>
        <w:rPr>
          <w:rtl w:val="true"/>
        </w:rPr>
        <w:t>יש שגם גורם אחד מאלה</w:t>
      </w:r>
      <w:r>
        <w:rPr>
          <w:rtl w:val="true"/>
        </w:rPr>
        <w:t xml:space="preserve">, </w:t>
      </w:r>
      <w:r>
        <w:rPr>
          <w:rtl w:val="true"/>
        </w:rPr>
        <w:t>כגון ההיקף הגדול</w:t>
      </w:r>
      <w:r>
        <w:rPr>
          <w:rtl w:val="true"/>
        </w:rPr>
        <w:t xml:space="preserve">, </w:t>
      </w:r>
      <w:r>
        <w:rPr>
          <w:rtl w:val="true"/>
        </w:rPr>
        <w:t>בא ללמד על החומרה של המעשה</w:t>
      </w:r>
      <w:r>
        <w:rPr>
          <w:rtl w:val="true"/>
        </w:rPr>
        <w:t xml:space="preserve">, </w:t>
      </w:r>
      <w:r>
        <w:rPr>
          <w:rtl w:val="true"/>
        </w:rPr>
        <w:t>המכניסו לגדר נסיבות מחמירות של הסיפא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לחוות דעתו של השופט בייסקי</w:t>
      </w:r>
      <w:r>
        <w:rPr>
          <w:rtl w:val="true"/>
        </w:rPr>
        <w:t xml:space="preserve">, </w:t>
      </w:r>
      <w:r>
        <w:rPr>
          <w:rtl w:val="true"/>
        </w:rPr>
        <w:t>מד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705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>)‏‏</w:t>
      </w:r>
      <w:r>
        <w:rPr>
          <w:rtl w:val="true"/>
        </w:rPr>
        <w:t xml:space="preserve">; </w:t>
      </w:r>
      <w:r>
        <w:rPr>
          <w:rtl w:val="true"/>
        </w:rPr>
        <w:t xml:space="preserve">ראו גם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8573/96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מרקדו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78</w:t>
      </w:r>
      <w:r>
        <w:rPr>
          <w:rtl w:val="true"/>
        </w:rPr>
        <w:t xml:space="preserve">,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481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1997</w:t>
      </w:r>
      <w:r>
        <w:rPr>
          <w:rtl w:val="true"/>
        </w:rPr>
        <w:t xml:space="preserve">)).  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פעל באופן מתוכנן ומחושב במאמציו לקבל לידיו מהרוכשים סכומי כסף נכבדים ביותר במסגרת עסקת רכישת דירה</w:t>
      </w:r>
      <w:r>
        <w:rPr>
          <w:rtl w:val="true"/>
        </w:rPr>
        <w:t xml:space="preserve">. </w:t>
      </w:r>
      <w:r>
        <w:rPr>
          <w:rtl w:val="true"/>
        </w:rPr>
        <w:t>טיעונו כי התכוון למסור בתמורה את הבעלות בדירה נותר בגדר השערה חסרת בסיס</w:t>
      </w:r>
      <w:r>
        <w:rPr>
          <w:rtl w:val="true"/>
        </w:rPr>
        <w:t xml:space="preserve">, </w:t>
      </w:r>
      <w:r>
        <w:rPr>
          <w:rtl w:val="true"/>
        </w:rPr>
        <w:t>בשים לב להעדר היתכנותה של אותה עסקה בשל הליכי פשיטת הרגל בהם המערער היה מצוי</w:t>
      </w:r>
      <w:r>
        <w:rPr>
          <w:rtl w:val="true"/>
        </w:rPr>
        <w:t xml:space="preserve">, </w:t>
      </w:r>
      <w:r>
        <w:rPr>
          <w:rtl w:val="true"/>
        </w:rPr>
        <w:t>וממילא אין בטיעון זה כדי לגרוע מחומרת נסיבות העבירה</w:t>
      </w:r>
      <w:r>
        <w:rPr>
          <w:rtl w:val="true"/>
        </w:rPr>
        <w:t xml:space="preserve">. </w:t>
      </w:r>
      <w:r>
        <w:rPr>
          <w:rtl w:val="true"/>
        </w:rPr>
        <w:t>על כן אני מאמץ</w:t>
      </w:r>
      <w:r>
        <w:rPr>
          <w:rtl w:val="true"/>
        </w:rPr>
        <w:t xml:space="preserve">, </w:t>
      </w:r>
      <w:r>
        <w:rPr>
          <w:rtl w:val="true"/>
        </w:rPr>
        <w:t>גם בהקשר זה</w:t>
      </w:r>
      <w:r>
        <w:rPr>
          <w:rtl w:val="true"/>
        </w:rPr>
        <w:t xml:space="preserve">, </w:t>
      </w:r>
      <w:r>
        <w:rPr>
          <w:rtl w:val="true"/>
        </w:rPr>
        <w:t>את קביעות בית המשפט המחוזי כי לאור מכלול הנסיבות והיקף העסקה מדובר בניסיון לקבל דבר בנסיבות מחמירות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אפנה עתה לדון בהרשעת המערער בעבירה של זיוף בכוונה לקבל באמצעותו דבר בנסיבות מחמירות</w:t>
      </w:r>
      <w:r>
        <w:rPr>
          <w:rtl w:val="true"/>
        </w:rPr>
        <w:t xml:space="preserve">, </w:t>
      </w:r>
      <w:r>
        <w:rPr>
          <w:rtl w:val="true"/>
        </w:rPr>
        <w:t>שימוש במסמך מזויף ובידוי ראייה</w:t>
      </w:r>
      <w:r>
        <w:rPr>
          <w:rtl w:val="true"/>
        </w:rPr>
        <w:t xml:space="preserve">. </w:t>
      </w:r>
      <w:r>
        <w:rPr>
          <w:rtl w:val="true"/>
        </w:rPr>
        <w:t>אקדים ואציין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אני סבור שיש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לזכות</w:t>
      </w:r>
      <w:r>
        <w:rPr>
          <w:rtl w:val="true"/>
        </w:rPr>
        <w:t xml:space="preserve"> את המערער מעבירות אלו</w:t>
      </w:r>
      <w:r>
        <w:rPr>
          <w:rtl w:val="true"/>
        </w:rPr>
        <w:t xml:space="preserve">. </w:t>
      </w:r>
      <w:r>
        <w:rPr>
          <w:rtl w:val="true"/>
        </w:rPr>
        <w:t>וכך אציע לחבריי לעשות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אחד החריגים לכלל אי</w:t>
      </w:r>
      <w:r>
        <w:rPr>
          <w:rtl w:val="true"/>
        </w:rPr>
        <w:t>-</w:t>
      </w:r>
      <w:r>
        <w:rPr>
          <w:rtl w:val="true"/>
        </w:rPr>
        <w:t>התערבות</w:t>
      </w:r>
      <w:r>
        <w:rPr>
          <w:rtl w:val="true"/>
        </w:rPr>
        <w:t>ה של ערכאת הערעור</w:t>
      </w:r>
      <w:r>
        <w:rPr>
          <w:rtl w:val="true"/>
        </w:rPr>
        <w:t xml:space="preserve">, </w:t>
      </w:r>
      <w:r>
        <w:rPr>
          <w:rtl w:val="true"/>
        </w:rPr>
        <w:t>מתקיים</w:t>
      </w:r>
      <w:r>
        <w:rPr>
          <w:rtl w:val="true"/>
        </w:rPr>
        <w:t xml:space="preserve"> כאשר ממצאים אלו מתבססים על שיקולים שבהגיון או מסקנות משפטיות שגויות</w:t>
      </w:r>
      <w:r>
        <w:rPr>
          <w:rtl w:val="true"/>
        </w:rPr>
        <w:t xml:space="preserve">, </w:t>
      </w:r>
      <w:r>
        <w:rPr>
          <w:rtl w:val="true"/>
        </w:rPr>
        <w:t xml:space="preserve">להבדיל מהערכת מהימנות ברורה וחד משמעית של העדים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30.12.2019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כפי שארחיב כעת</w:t>
      </w:r>
      <w:r>
        <w:rPr>
          <w:rtl w:val="true"/>
        </w:rPr>
        <w:t xml:space="preserve">, </w:t>
      </w:r>
      <w:r>
        <w:rPr>
          <w:rtl w:val="true"/>
        </w:rPr>
        <w:t>אני סבור כי קביעת בית המשפט המחוזי לפיה המערער הוא שזייף את זיכרון הדברים ופעל להגשתו במסגרת הליך המרצת הפתיחה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את התערבותנו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הצדדים מסכימים כי קביעת בית המשפט המחוזי לפיה המערער זייף את זיכרון הדברים ופעל לצירופו לתגובת הנאשמת להמרצת הפתיחה</w:t>
      </w:r>
      <w:r>
        <w:rPr>
          <w:rtl w:val="true"/>
        </w:rPr>
        <w:t xml:space="preserve">, </w:t>
      </w:r>
      <w:r>
        <w:rPr>
          <w:rtl w:val="true"/>
        </w:rPr>
        <w:t>מבוססת על ראיות נסיבתיות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ראיה נסיבתית</w:t>
      </w:r>
      <w:r>
        <w:rPr>
          <w:rtl w:val="true"/>
        </w:rPr>
        <w:t xml:space="preserve">, </w:t>
      </w:r>
      <w:r>
        <w:rPr>
          <w:rtl w:val="true"/>
        </w:rPr>
        <w:t>בניגוד לראיה ישירה</w:t>
      </w:r>
      <w:r>
        <w:rPr>
          <w:rtl w:val="true"/>
        </w:rPr>
        <w:t xml:space="preserve">, </w:t>
      </w:r>
      <w:r>
        <w:rPr>
          <w:rtl w:val="true"/>
        </w:rPr>
        <w:t>אינה מוכיחה במישרין עובדה הטעונה הוכחה</w:t>
      </w:r>
      <w:r>
        <w:rPr>
          <w:rtl w:val="true"/>
        </w:rPr>
        <w:t xml:space="preserve">, </w:t>
      </w:r>
      <w:r>
        <w:rPr>
          <w:rtl w:val="true"/>
        </w:rPr>
        <w:t>אלא מבססת נסיבה מסוימת</w:t>
      </w:r>
      <w:r>
        <w:rPr>
          <w:rtl w:val="true"/>
        </w:rPr>
        <w:t xml:space="preserve">, </w:t>
      </w:r>
      <w:r>
        <w:rPr>
          <w:rtl w:val="true"/>
        </w:rPr>
        <w:t xml:space="preserve">ממנה ניתן להסיק את דבר התקיימותה של העובדה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2697/14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חדאד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לחוות דעתו של השופט ג</w:t>
      </w:r>
      <w:r>
        <w:rPr>
          <w:rtl w:val="true"/>
        </w:rPr>
        <w:t>'</w:t>
      </w:r>
      <w:r>
        <w:rPr>
          <w:rtl w:val="true"/>
        </w:rPr>
        <w:t xml:space="preserve">ובראן </w:t>
      </w:r>
      <w:r>
        <w:rPr>
          <w:rtl w:val="true"/>
        </w:rPr>
        <w:t>(</w:t>
      </w:r>
      <w:r>
        <w:rPr/>
        <w:t>6.9.2016</w:t>
      </w:r>
      <w:r>
        <w:rPr>
          <w:rtl w:val="true"/>
        </w:rPr>
        <w:t>)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חדאד</w:t>
      </w:r>
      <w:r>
        <w:rPr>
          <w:rtl w:val="true"/>
        </w:rPr>
        <w:t xml:space="preserve">)). </w:t>
      </w:r>
      <w:r>
        <w:rPr>
          <w:color w:val="000000"/>
          <w:rtl w:val="true"/>
        </w:rPr>
        <w:t xml:space="preserve">עוד נקבע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חדאד</w:t>
      </w:r>
      <w:r>
        <w:rPr>
          <w:color w:val="000000"/>
          <w:rtl w:val="true"/>
        </w:rPr>
        <w:t xml:space="preserve">: </w:t>
      </w:r>
    </w:p>
    <w:p>
      <w:pPr>
        <w:pStyle w:val="Ruller4"/>
        <w:ind w:end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...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הנסיבתית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אינהרנטי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).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כוחן של ראיות נסיבתיות הוא כשל ראיות ישירות</w:t>
      </w:r>
      <w:r>
        <w:rPr>
          <w:rtl w:val="true"/>
        </w:rPr>
        <w:t xml:space="preserve">, </w:t>
      </w:r>
      <w:r>
        <w:rPr>
          <w:rtl w:val="true"/>
        </w:rPr>
        <w:t>וניתן לבסס באמצעותן את הרשעת 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>: "...</w:t>
      </w:r>
      <w:r>
        <w:rPr>
          <w:rtl w:val="true"/>
        </w:rPr>
        <w:t xml:space="preserve"> </w:t>
      </w:r>
      <w:r>
        <w:rPr>
          <w:rtl w:val="true"/>
        </w:rPr>
        <w:t>יש הכרח כי המסקנה המפלילה תהיה המסקנה ההגיונית היחידה העולה ממכלול הראיות הנסיבתיות</w:t>
      </w:r>
      <w:r>
        <w:rPr>
          <w:rtl w:val="true"/>
        </w:rPr>
        <w:t>" 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6.7.2020</w:t>
      </w:r>
      <w:r>
        <w:rPr>
          <w:rtl w:val="true"/>
        </w:rPr>
        <w:t>)‏</w:t>
      </w:r>
      <w:r>
        <w:rPr>
          <w:rtl w:val="true"/>
        </w:rPr>
        <w:t xml:space="preserve">). </w:t>
      </w:r>
      <w:r>
        <w:rPr>
          <w:rtl w:val="true"/>
        </w:rPr>
        <w:t>‏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לצורך</w:t>
      </w:r>
      <w:r>
        <w:rPr>
          <w:rtl w:val="true"/>
        </w:rPr>
        <w:t xml:space="preserve"> הרשעה על בסיס ראיות נסיבתיות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tl w:val="true"/>
        </w:rPr>
        <w:t xml:space="preserve"> לבחון ראיות אל</w:t>
      </w:r>
      <w:r>
        <w:rPr>
          <w:rtl w:val="true"/>
        </w:rPr>
        <w:t>ו</w:t>
      </w:r>
      <w:r>
        <w:rPr>
          <w:rtl w:val="true"/>
        </w:rPr>
        <w:t xml:space="preserve"> במבחן תלת</w:t>
      </w:r>
      <w:r>
        <w:rPr>
          <w:rtl w:val="true"/>
        </w:rPr>
        <w:t>-</w:t>
      </w:r>
      <w:r>
        <w:rPr>
          <w:rtl w:val="true"/>
        </w:rPr>
        <w:t xml:space="preserve">שלבי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8422/14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מוגאהד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פסקאות </w:t>
      </w:r>
      <w:r>
        <w:rPr/>
        <w:t>32-30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10.5.2015</w:t>
      </w:r>
      <w:r>
        <w:rPr>
          <w:rtl w:val="true"/>
        </w:rPr>
        <w:t xml:space="preserve">)), </w:t>
      </w:r>
      <w:r>
        <w:rPr>
          <w:rtl w:val="true"/>
        </w:rPr>
        <w:t>אשר תמציתו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נבחנת כל ראיה נסיבתית בפני עצמה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ועל בית המשפט </w:t>
      </w:r>
      <w:r>
        <w:rPr>
          <w:rtl w:val="true"/>
        </w:rPr>
        <w:t>להכריע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ניתן לקבוע על בסיסה ממצא עובדתי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 xml:space="preserve">נבחנת מסכת הראיות כולה לצורך קביעה האם היא </w:t>
      </w:r>
      <w:r>
        <w:rPr>
          <w:rtl w:val="true"/>
        </w:rPr>
        <w:t>מסבכת</w:t>
      </w:r>
      <w:r>
        <w:rPr>
          <w:rtl w:val="true"/>
        </w:rPr>
        <w:t xml:space="preserve"> את הנאשם בביצוע העבירה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ובשלב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</w:t>
      </w:r>
      <w:r>
        <w:rPr>
          <w:rtl w:val="true"/>
        </w:rPr>
        <w:t xml:space="preserve"> מועבר הנטל אל הנאשם להציע הסבר העשוי לשלול את ההנחה המפלילה העומדת נגדו </w:t>
      </w:r>
      <w:r>
        <w:rPr>
          <w:rtl w:val="true"/>
        </w:rPr>
        <w:t>(</w:t>
      </w:r>
      <w:r>
        <w:rPr>
          <w:rtl w:val="true"/>
        </w:rPr>
        <w:t xml:space="preserve">לגישה חלופית </w:t>
      </w:r>
      <w:r>
        <w:rPr>
          <w:rtl w:val="true"/>
        </w:rPr>
        <w:t xml:space="preserve">של </w:t>
      </w:r>
      <w:r>
        <w:rPr>
          <w:rtl w:val="true"/>
        </w:rPr>
        <w:t>בחינה דו שלבית</w:t>
      </w:r>
      <w:r>
        <w:rPr>
          <w:rtl w:val="true"/>
        </w:rPr>
        <w:t xml:space="preserve">, </w:t>
      </w:r>
      <w:r>
        <w:rPr>
          <w:rtl w:val="true"/>
        </w:rPr>
        <w:t>ראו חוות דעתו של חברי</w:t>
      </w:r>
      <w:r>
        <w:rPr>
          <w:rtl w:val="true"/>
        </w:rPr>
        <w:t xml:space="preserve">, </w:t>
      </w:r>
      <w:r>
        <w:rPr>
          <w:rtl w:val="true"/>
        </w:rPr>
        <w:t>המשנה לנשיאה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ב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קריאף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21.1.2015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מאחר שהרשעה על יסוד ראיות נסיבתיות מבוססת על הסקת מסקנות לוגיות</w:t>
      </w:r>
      <w:r>
        <w:rPr>
          <w:rtl w:val="true"/>
        </w:rPr>
        <w:t xml:space="preserve">, </w:t>
      </w:r>
      <w:r>
        <w:rPr>
          <w:rtl w:val="true"/>
        </w:rPr>
        <w:t>נקבע כי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...</w:t>
      </w:r>
      <w:r>
        <w:rPr>
          <w:rtl w:val="true"/>
        </w:rPr>
        <w:t>עובדה זו מקלה על ערכאת הערעור לבחון ולהתערב בהליך הסקת המסקנות של הערכאה הדיונית</w:t>
      </w:r>
      <w:r>
        <w:rPr>
          <w:rtl w:val="true"/>
        </w:rPr>
        <w:t>...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72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9710/10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7"/>
          <w:szCs w:val="27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7"/>
          <w:sz w:val="27"/>
          <w:szCs w:val="27"/>
          <w:rtl w:val="true"/>
        </w:rPr>
        <w:t xml:space="preserve">פסקה </w:t>
      </w:r>
      <w:r>
        <w:rPr>
          <w:sz w:val="27"/>
          <w:szCs w:val="27"/>
        </w:rPr>
        <w:t>54</w:t>
      </w:r>
      <w:r>
        <w:rPr>
          <w:sz w:val="27"/>
          <w:szCs w:val="27"/>
          <w:rtl w:val="true"/>
        </w:rPr>
        <w:t xml:space="preserve"> </w:t>
      </w:r>
      <w:r>
        <w:rPr>
          <w:sz w:val="27"/>
          <w:szCs w:val="27"/>
          <w:rtl w:val="true"/>
        </w:rPr>
        <w:t>(</w:t>
      </w:r>
      <w:r>
        <w:rPr>
          <w:sz w:val="27"/>
          <w:szCs w:val="27"/>
        </w:rPr>
        <w:t>7.11.2012</w:t>
      </w:r>
      <w:r>
        <w:rPr>
          <w:sz w:val="27"/>
          <w:szCs w:val="27"/>
          <w:rtl w:val="true"/>
        </w:rPr>
        <w:t>)</w:t>
      </w:r>
      <w:r>
        <w:rPr>
          <w:sz w:val="27"/>
          <w:szCs w:val="27"/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מן האמור נגזר</w:t>
      </w:r>
      <w:r>
        <w:rPr>
          <w:rtl w:val="true"/>
        </w:rPr>
        <w:t xml:space="preserve">, </w:t>
      </w:r>
      <w:r>
        <w:rPr>
          <w:rtl w:val="true"/>
        </w:rPr>
        <w:t>כי בבחינת ערכאת הערעור את יישומו של המבחן התלת</w:t>
      </w:r>
      <w:r>
        <w:rPr>
          <w:rtl w:val="true"/>
        </w:rPr>
        <w:t>-</w:t>
      </w:r>
      <w:r>
        <w:rPr>
          <w:rtl w:val="true"/>
        </w:rPr>
        <w:t>שלבי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ככל שהדברים </w:t>
      </w:r>
      <w:r>
        <w:rPr>
          <w:rtl w:val="true"/>
        </w:rPr>
        <w:t>מתייחסים</w:t>
      </w:r>
      <w:r>
        <w:rPr>
          <w:rtl w:val="true"/>
        </w:rPr>
        <w:t xml:space="preserve"> לשלב הראשון</w:t>
      </w:r>
      <w:r>
        <w:rPr>
          <w:rtl w:val="true"/>
        </w:rPr>
        <w:t xml:space="preserve"> של הבחינה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 xml:space="preserve">שלב </w:t>
      </w:r>
      <w:r>
        <w:rPr>
          <w:rtl w:val="true"/>
        </w:rPr>
        <w:t>קביעת הממצאים העובדתיים</w:t>
      </w:r>
      <w:r>
        <w:rPr>
          <w:rtl w:val="true"/>
        </w:rPr>
        <w:t xml:space="preserve">, </w:t>
      </w:r>
      <w:r>
        <w:rPr>
          <w:rtl w:val="true"/>
        </w:rPr>
        <w:t xml:space="preserve">ערכאת הערעור לא תיטה להתערב בממצאי עובדה ומהימנות שנקבעו על ידי הערכאה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אלא במצבים חריגים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נטיית בית המשפט </w:t>
      </w:r>
      <w:r>
        <w:rPr>
          <w:rtl w:val="true"/>
        </w:rPr>
        <w:t>בערכאת הערעור</w:t>
      </w:r>
      <w:r>
        <w:rPr>
          <w:rtl w:val="true"/>
        </w:rPr>
        <w:t xml:space="preserve"> להתערב בממצאים הנוגעים לשלב השני ולשלב השלישי תהיה מקלה 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בהיעדר יתרון</w:t>
      </w:r>
      <w:r>
        <w:rPr>
          <w:rtl w:val="true"/>
        </w:rPr>
        <w:t xml:space="preserve"> לערכאה הדיונית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>כי ממכלול הנסיבות עולה מסקנה חד משמעית שהמערער הוא שזייף את זיכרון הדברים</w:t>
      </w:r>
      <w:r>
        <w:rPr>
          <w:rtl w:val="true"/>
        </w:rPr>
        <w:t xml:space="preserve">, </w:t>
      </w:r>
      <w:r>
        <w:rPr>
          <w:rtl w:val="true"/>
        </w:rPr>
        <w:t>וכי הוא פעל</w:t>
      </w:r>
      <w:r>
        <w:rPr>
          <w:rtl w:val="true"/>
        </w:rPr>
        <w:t xml:space="preserve">, </w:t>
      </w:r>
      <w:r>
        <w:rPr>
          <w:rtl w:val="true"/>
        </w:rPr>
        <w:t>באמצעות הנאשמת</w:t>
      </w:r>
      <w:r>
        <w:rPr>
          <w:rtl w:val="true"/>
        </w:rPr>
        <w:t xml:space="preserve">, </w:t>
      </w:r>
      <w:r>
        <w:rPr>
          <w:rtl w:val="true"/>
        </w:rPr>
        <w:t>להגשתו לבית המשפט בהליך המרצת הפתיחה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מספר חיזוקים למסקנתו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ראשון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עדותה של גב</w:t>
      </w:r>
      <w:r>
        <w:rPr>
          <w:rtl w:val="true"/>
        </w:rPr>
        <w:t xml:space="preserve">' </w:t>
      </w:r>
      <w:r>
        <w:rPr>
          <w:rtl w:val="true"/>
        </w:rPr>
        <w:t>עלווה גז</w:t>
      </w:r>
      <w:r>
        <w:rPr>
          <w:rtl w:val="true"/>
        </w:rPr>
        <w:t xml:space="preserve">, </w:t>
      </w:r>
      <w:r>
        <w:rPr>
          <w:rtl w:val="true"/>
        </w:rPr>
        <w:t>לפיה זיכרון הדברים המקורי נותר אצל המערער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הודעתו של המערער במשטרה בה נקט בקו דומה לזה אשר מופיע בזיכרון הדברים המזויף וגרסתו התבררה כשקרית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חיזוק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תשובת המערער לכתב האישום ובה כפירה בטענה כי יחד עם הנאשמת לא הביאו לידיעת הרוכשים את עובדת היותו בהליך פשיטת רגל</w:t>
      </w:r>
      <w:r>
        <w:rPr>
          <w:rtl w:val="true"/>
        </w:rPr>
        <w:t xml:space="preserve">, </w:t>
      </w:r>
      <w:r>
        <w:rPr>
          <w:rtl w:val="true"/>
        </w:rPr>
        <w:t>ואשר בה נטען כי זיכרון הדברים נכרת תוך שנושא מעמדו המשפטי הוזכר והיה ידוע</w:t>
      </w:r>
      <w:r>
        <w:rPr>
          <w:rtl w:val="true"/>
        </w:rPr>
        <w:t xml:space="preserve">, </w:t>
      </w:r>
      <w:r>
        <w:rPr>
          <w:rtl w:val="true"/>
        </w:rPr>
        <w:t>אך גם טענה זו התבררה כלא נכונה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זקף לחובת המערער את העובדה שלא זימן לעדות את עו</w:t>
      </w:r>
      <w:r>
        <w:rPr>
          <w:rtl w:val="true"/>
        </w:rPr>
        <w:t>"</w:t>
      </w:r>
      <w:r>
        <w:rPr>
          <w:rtl w:val="true"/>
        </w:rPr>
        <w:t>ד גלעד ברמן</w:t>
      </w:r>
      <w:r>
        <w:rPr>
          <w:rtl w:val="true"/>
        </w:rPr>
        <w:t xml:space="preserve">, </w:t>
      </w:r>
      <w:r>
        <w:rPr>
          <w:rtl w:val="true"/>
        </w:rPr>
        <w:t>החתום על תגובת הנאשמת להמרצת הפתיחה</w:t>
      </w:r>
      <w:r>
        <w:rPr>
          <w:rtl w:val="true"/>
        </w:rPr>
        <w:t xml:space="preserve">, </w:t>
      </w:r>
      <w:r>
        <w:rPr>
          <w:rtl w:val="true"/>
        </w:rPr>
        <w:t>כאשר זימונו עשוי היה להבהיר האם זיכרון הדברים המזויף הוגש לבית המשפט והאם הוגש בידיעתו או על דעתו של 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חומר הראיות כפי שהובא בפנינו</w:t>
      </w:r>
      <w:r>
        <w:rPr>
          <w:rtl w:val="true"/>
        </w:rPr>
        <w:t xml:space="preserve">, </w:t>
      </w:r>
      <w:r>
        <w:rPr>
          <w:rtl w:val="true"/>
        </w:rPr>
        <w:t>אינו מאפשר לקבוע בהתאם לרף הראייתי הנדרש בהליך הפלילי כי המערער הוא שזייף את זיכרון הדברים</w:t>
      </w:r>
      <w:r>
        <w:rPr>
          <w:rtl w:val="true"/>
        </w:rPr>
        <w:t xml:space="preserve">, </w:t>
      </w:r>
      <w:r>
        <w:rPr>
          <w:rtl w:val="true"/>
        </w:rPr>
        <w:t>וכי הוא שפעל להגשתו לבית המשפט בהליך המרצת הפתיחה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אבהיר </w:t>
      </w:r>
      <w:r>
        <w:rPr>
          <w:rtl w:val="true"/>
        </w:rPr>
        <w:t>–</w:t>
      </w:r>
      <w:r>
        <w:rPr>
          <w:rtl w:val="true"/>
        </w:rPr>
        <w:t xml:space="preserve"> איני רואה מקום להתערב בקביעותיו העובדתיות של בית המשפט המחוזי לפיהן זיכרון הדברים המקורי היה בידו של המערער לאחר חתימתו</w:t>
      </w:r>
      <w:r>
        <w:rPr>
          <w:rtl w:val="true"/>
        </w:rPr>
        <w:t xml:space="preserve">, </w:t>
      </w:r>
      <w:r>
        <w:rPr>
          <w:rtl w:val="true"/>
        </w:rPr>
        <w:t>וכי טענת המערער שמעמדו המשפטי היה ידוע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לרוכשים</w:t>
      </w:r>
      <w:r>
        <w:rPr>
          <w:rtl w:val="true"/>
        </w:rPr>
        <w:t xml:space="preserve">, </w:t>
      </w:r>
      <w:r>
        <w:rPr>
          <w:rtl w:val="true"/>
        </w:rPr>
        <w:t>אינן אמת</w:t>
      </w:r>
      <w:r>
        <w:rPr>
          <w:rtl w:val="true"/>
        </w:rPr>
        <w:t xml:space="preserve">. </w:t>
      </w:r>
      <w:r>
        <w:rPr>
          <w:rtl w:val="true"/>
        </w:rPr>
        <w:t>אני נכון אף להניח</w:t>
      </w:r>
      <w:r>
        <w:rPr>
          <w:rtl w:val="true"/>
        </w:rPr>
        <w:t xml:space="preserve">, </w:t>
      </w:r>
      <w:r>
        <w:rPr>
          <w:rtl w:val="true"/>
        </w:rPr>
        <w:t>כי בחינת הראיות הנסיבתיות בענייננו צולחת את השלב הראשון השני במסגרת המבחן התלת שלבי האמור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במסגרת בחינת השלב השלישי</w:t>
      </w:r>
      <w:r>
        <w:rPr>
          <w:rtl w:val="true"/>
        </w:rPr>
        <w:t xml:space="preserve">, </w:t>
      </w:r>
      <w:r>
        <w:rPr>
          <w:rtl w:val="true"/>
        </w:rPr>
        <w:t>עלה בידי המערער להצביע על הסבר העשוי לשלול את ההנחה המפלילה כנגדו</w:t>
      </w:r>
      <w:r>
        <w:rPr>
          <w:rtl w:val="true"/>
        </w:rPr>
        <w:t xml:space="preserve">, </w:t>
      </w:r>
      <w:r>
        <w:rPr>
          <w:rtl w:val="true"/>
        </w:rPr>
        <w:t>לפיו הנאשמת היא זו שזייפה את זיכרון הדברים ופעלה להגשתו לבית המשפט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פני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גם לנאשמת היה </w:t>
      </w:r>
      <w:r>
        <w:rPr>
          <w:rtl w:val="true"/>
        </w:rPr>
        <w:t>"</w:t>
      </w:r>
      <w:r>
        <w:rPr>
          <w:rtl w:val="true"/>
        </w:rPr>
        <w:t>תמריץ</w:t>
      </w:r>
      <w:r>
        <w:rPr>
          <w:rtl w:val="true"/>
        </w:rPr>
        <w:t xml:space="preserve">" </w:t>
      </w:r>
      <w:r>
        <w:rPr>
          <w:rtl w:val="true"/>
        </w:rPr>
        <w:t>לייצר מצג לפיו נעשה גילוי נאות על ידי המערער טרם חתימת זיכרון הדברים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זיכרון הדברים המקורי נותר לאחר חתימתו בידי המערער</w:t>
      </w:r>
      <w:r>
        <w:rPr>
          <w:rtl w:val="true"/>
        </w:rPr>
        <w:t xml:space="preserve">, </w:t>
      </w:r>
      <w:r>
        <w:rPr>
          <w:rtl w:val="true"/>
        </w:rPr>
        <w:t>אך לתגובת הנאשמת להמרצת הפתיחה צורף זיכרון הדברים המזויף</w:t>
      </w:r>
      <w:r>
        <w:rPr>
          <w:rtl w:val="true"/>
        </w:rPr>
        <w:t xml:space="preserve">, </w:t>
      </w:r>
      <w:r>
        <w:rPr>
          <w:rtl w:val="true"/>
        </w:rPr>
        <w:t>כך שקיים קושי לקבוע באיזה שלב זויף</w:t>
      </w:r>
      <w:r>
        <w:rPr>
          <w:rtl w:val="true"/>
        </w:rPr>
        <w:t xml:space="preserve">, </w:t>
      </w:r>
      <w:r>
        <w:rPr>
          <w:rtl w:val="true"/>
        </w:rPr>
        <w:t>ועל ידי מי</w:t>
      </w:r>
      <w:r>
        <w:rPr>
          <w:rtl w:val="true"/>
        </w:rPr>
        <w:t xml:space="preserve">. </w:t>
      </w:r>
      <w:r>
        <w:rPr>
          <w:rtl w:val="true"/>
        </w:rPr>
        <w:t>בעוד טענות אלו עמדו במוקד הערעור שלפנינו</w:t>
      </w:r>
      <w:r>
        <w:rPr>
          <w:rtl w:val="true"/>
        </w:rPr>
        <w:t xml:space="preserve">, </w:t>
      </w:r>
      <w:r>
        <w:rPr>
          <w:rtl w:val="true"/>
        </w:rPr>
        <w:t>לא עלה בידי המשיבה להשיב להן באופן משכנע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יוצא אפוא</w:t>
      </w:r>
      <w:r>
        <w:rPr>
          <w:rtl w:val="true"/>
        </w:rPr>
        <w:t xml:space="preserve">, </w:t>
      </w:r>
      <w:r>
        <w:rPr>
          <w:rtl w:val="true"/>
        </w:rPr>
        <w:t>כי המשיבה לא הצליחה להוכיח ברף הראייתי הנדרש בהליך הפלילי את אשמת המערער בעבירות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ונותר </w:t>
      </w:r>
      <w:r>
        <w:rPr>
          <w:rtl w:val="true"/>
        </w:rPr>
        <w:t>"</w:t>
      </w:r>
      <w:r>
        <w:rPr>
          <w:rtl w:val="true"/>
        </w:rPr>
        <w:t>ספק סביר</w:t>
      </w:r>
      <w:r>
        <w:rPr>
          <w:rtl w:val="true"/>
        </w:rPr>
        <w:t xml:space="preserve">". </w:t>
      </w:r>
      <w:r>
        <w:rPr>
          <w:rtl w:val="true"/>
        </w:rPr>
        <w:t>כפי שנזדמן לי לכתוב בעניין אחר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השכנוע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ספק</w:t>
      </w:r>
      <w:r>
        <w:rPr>
          <w:rtl w:val="true"/>
        </w:rPr>
        <w:t xml:space="preserve">"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במציאות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וביכולתה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  <w:r>
        <w:rPr>
          <w:rtl w:val="true"/>
        </w:rPr>
        <w:t>" (</w:t>
      </w:r>
      <w:hyperlink r:id="rId73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229/19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sz w:val="27"/>
          <w:sz w:val="27"/>
          <w:szCs w:val="27"/>
          <w:rtl w:val="true"/>
        </w:rPr>
        <w:t>פסקה</w:t>
      </w:r>
      <w:r>
        <w:rPr>
          <w:rFonts w:eastAsia="Arial TUR;Arial" w:cs="Arial TUR;Arial"/>
          <w:color w:val="000000"/>
          <w:sz w:val="27"/>
          <w:sz w:val="27"/>
          <w:szCs w:val="27"/>
          <w:rtl w:val="true"/>
        </w:rPr>
        <w:t xml:space="preserve"> </w:t>
      </w:r>
      <w:r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  <w:rtl w:val="true"/>
        </w:rPr>
        <w:t xml:space="preserve"> (</w:t>
      </w:r>
      <w:r>
        <w:rPr>
          <w:color w:val="000000"/>
          <w:sz w:val="27"/>
          <w:szCs w:val="27"/>
        </w:rPr>
        <w:t>30.12.2019</w:t>
      </w:r>
      <w:r>
        <w:rPr>
          <w:color w:val="000000"/>
          <w:sz w:val="27"/>
          <w:szCs w:val="27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אני סבור אפוא</w:t>
      </w:r>
      <w:r>
        <w:rPr>
          <w:rtl w:val="true"/>
        </w:rPr>
        <w:t xml:space="preserve">, </w:t>
      </w:r>
      <w:r>
        <w:rPr>
          <w:rtl w:val="true"/>
        </w:rPr>
        <w:t xml:space="preserve">כי לא ניתן לקבוע כי </w:t>
      </w:r>
      <w:r>
        <w:rPr>
          <w:rtl w:val="true"/>
        </w:rPr>
        <w:t xml:space="preserve">המסקנה המפלילה </w:t>
      </w:r>
      <w:r>
        <w:rPr>
          <w:rtl w:val="true"/>
        </w:rPr>
        <w:t>את המערער היא</w:t>
      </w:r>
      <w:r>
        <w:rPr>
          <w:rtl w:val="true"/>
        </w:rPr>
        <w:t xml:space="preserve"> המסקנה ההגיונית היחידה העולה ממכלול הראיות הנסיבתיות</w:t>
      </w:r>
      <w:r>
        <w:rPr>
          <w:rtl w:val="true"/>
        </w:rPr>
        <w:t xml:space="preserve">, </w:t>
      </w:r>
      <w:r>
        <w:rPr>
          <w:rtl w:val="true"/>
        </w:rPr>
        <w:t>וכן כי הגרסה העובדתית החלופית אשר הוצגה על ידו לפיה הנאשמת היא שזייפה את זיכרון הדברים</w:t>
      </w:r>
      <w:r>
        <w:rPr>
          <w:rtl w:val="true"/>
        </w:rPr>
        <w:t xml:space="preserve">, </w:t>
      </w:r>
      <w:r>
        <w:rPr>
          <w:rtl w:val="true"/>
        </w:rPr>
        <w:t>אינה אפשרית או חסרת אחיזה הגיונית במציאות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הצליח לעורר </w:t>
      </w:r>
      <w:r>
        <w:rPr>
          <w:rtl w:val="true"/>
        </w:rPr>
        <w:t>"</w:t>
      </w:r>
      <w:r>
        <w:rPr>
          <w:rtl w:val="true"/>
        </w:rPr>
        <w:t>ספק סביר</w:t>
      </w:r>
      <w:r>
        <w:rPr>
          <w:rtl w:val="true"/>
        </w:rPr>
        <w:t xml:space="preserve">" </w:t>
      </w:r>
      <w:r>
        <w:rPr>
          <w:rtl w:val="true"/>
        </w:rPr>
        <w:t>באשר לאשמתו בביצוע עבירות הזיוף</w:t>
      </w:r>
      <w:r>
        <w:rPr>
          <w:rtl w:val="true"/>
        </w:rPr>
        <w:t xml:space="preserve">, </w:t>
      </w:r>
      <w:r>
        <w:rPr>
          <w:rtl w:val="true"/>
        </w:rPr>
        <w:t>שימוש במסמך מזויף ובידוי ראיות</w:t>
      </w:r>
      <w:r>
        <w:rPr>
          <w:rtl w:val="true"/>
        </w:rPr>
        <w:t xml:space="preserve">, </w:t>
      </w:r>
      <w:r>
        <w:rPr>
          <w:rtl w:val="true"/>
        </w:rPr>
        <w:t>אשר יוחסו לו בכתב האישום</w:t>
      </w:r>
      <w:r>
        <w:rPr>
          <w:rtl w:val="true"/>
        </w:rPr>
        <w:t xml:space="preserve">, </w:t>
      </w:r>
      <w:r>
        <w:rPr>
          <w:rtl w:val="true"/>
        </w:rPr>
        <w:t>והשתכנעתי כי יש לקבל את הערעור בחלקו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יש טעם גם בטענת המערער כי בית המשפט המחוזי ייחס לו התנהלות חמורה מזו אשר יוחסה לו על ידי המשיבה</w:t>
      </w:r>
      <w:r>
        <w:rPr>
          <w:rtl w:val="true"/>
        </w:rPr>
        <w:t xml:space="preserve">. </w:t>
      </w:r>
      <w:r>
        <w:rPr>
          <w:rtl w:val="true"/>
        </w:rPr>
        <w:t>בכתב האישום נטען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או מי מטעמם</w:t>
      </w:r>
      <w:r>
        <w:rPr>
          <w:rtl w:val="true"/>
        </w:rPr>
        <w:t xml:space="preserve">" </w:t>
      </w:r>
      <w:r>
        <w:rPr>
          <w:rtl w:val="true"/>
        </w:rPr>
        <w:t xml:space="preserve">זייפו את זיכרון הדברים והשתמשו בו על מנת לבדות ראייה בכוונה להטעות רשות שיפוטית </w:t>
      </w:r>
      <w:r>
        <w:rPr>
          <w:rtl w:val="true"/>
        </w:rPr>
        <w:t>(</w:t>
      </w:r>
      <w:r>
        <w:rPr>
          <w:rtl w:val="true"/>
        </w:rPr>
        <w:t xml:space="preserve">סעיף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לכתב האישום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טענה המשיבה כי הגשת תצהירה של הנאשמת בצירוף זיכרון הדברים המזויף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tl w:val="true"/>
        </w:rPr>
        <w:t xml:space="preserve"> מיוחסת למערער</w:t>
      </w:r>
      <w:r>
        <w:rPr>
          <w:rtl w:val="true"/>
        </w:rPr>
        <w:t xml:space="preserve">, </w:t>
      </w:r>
      <w:r>
        <w:rPr>
          <w:rtl w:val="true"/>
        </w:rPr>
        <w:t xml:space="preserve">אלא לנאשמת </w:t>
      </w:r>
      <w:r>
        <w:rPr>
          <w:rtl w:val="true"/>
        </w:rPr>
        <w:t>(</w:t>
      </w:r>
      <w:r>
        <w:rPr>
          <w:rtl w:val="true"/>
        </w:rPr>
        <w:t xml:space="preserve">ראו פרוטוקול הדיון מיום </w:t>
      </w:r>
      <w:r>
        <w:rPr/>
        <w:t>3.6.2019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291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16-10</w:t>
      </w:r>
      <w:r>
        <w:rPr>
          <w:rtl w:val="true"/>
        </w:rPr>
        <w:t>):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כשקוראים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התצהיר</w:t>
      </w:r>
      <w:r>
        <w:rPr>
          <w:rtl w:val="true"/>
        </w:rPr>
        <w:t xml:space="preserve">, </w:t>
      </w:r>
      <w:r>
        <w:rPr>
          <w:rtl w:val="true"/>
        </w:rPr>
        <w:t>התגובה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הפתיחה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רשום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נאשמת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[</w:t>
      </w:r>
      <w:r>
        <w:rPr>
          <w:rtl w:val="true"/>
        </w:rPr>
        <w:t>הנאשמת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. ...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הפעולה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האקטיבית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המרצת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הפתיחה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חתם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התצהיר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להליך</w:t>
      </w:r>
      <w:r>
        <w:rPr>
          <w:rtl w:val="true"/>
        </w:rPr>
        <w:t>." [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280"/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בהכרעת הדין נכתב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"...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פעל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הנאשמת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להגשת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זיכרון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המזויף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הפתיחה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זיוף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>". [</w:t>
      </w:r>
      <w:r>
        <w:rPr>
          <w:rtl w:val="true"/>
        </w:rPr>
        <w:t>ההדגשות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](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דומה כי קביעות אלו בהכרעת הדין חורגות אף מטענות המשיבה</w:t>
      </w:r>
      <w:r>
        <w:rPr>
          <w:rtl w:val="true"/>
        </w:rPr>
        <w:t xml:space="preserve">, </w:t>
      </w:r>
      <w:r>
        <w:rPr>
          <w:rtl w:val="true"/>
        </w:rPr>
        <w:t>וגם בשל כך הן לא הוכחו ברף הראייתי הנדרש</w:t>
      </w:r>
      <w:r>
        <w:rPr>
          <w:rtl w:val="true"/>
        </w:rPr>
        <w:t xml:space="preserve">. </w:t>
      </w:r>
      <w:r>
        <w:rPr>
          <w:rtl w:val="true"/>
        </w:rPr>
        <w:t xml:space="preserve">קיים הבדל של ממש בין טענות המשיבה לפיהן המערער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tl w:val="true"/>
        </w:rPr>
        <w:t xml:space="preserve"> לצירופו של זיכרון הדברים המזויף</w:t>
      </w:r>
      <w:r>
        <w:rPr>
          <w:rtl w:val="true"/>
        </w:rPr>
        <w:t xml:space="preserve">, </w:t>
      </w:r>
      <w:r>
        <w:rPr>
          <w:rtl w:val="true"/>
        </w:rPr>
        <w:t xml:space="preserve">לבין קביעת בית המשפט המחוזי  כי הוא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קרי</w:t>
      </w:r>
      <w:r>
        <w:rPr>
          <w:rtl w:val="true"/>
        </w:rPr>
        <w:t xml:space="preserve">, </w:t>
      </w:r>
      <w:r>
        <w:rPr>
          <w:rtl w:val="true"/>
        </w:rPr>
        <w:t xml:space="preserve">באופן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אקטיבי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להגשתו לבית המשפט בהליך המרצת הפתיחה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 המשפט רשאי להרשיע נאשם בעבירה אשר העובדות בבסיסה לא נכללו בכתב האישום</w:t>
      </w:r>
      <w:r>
        <w:rPr>
          <w:rtl w:val="true"/>
        </w:rPr>
        <w:t xml:space="preserve">. </w:t>
      </w:r>
      <w:r>
        <w:rPr>
          <w:rtl w:val="true"/>
        </w:rPr>
        <w:t xml:space="preserve">כך מורה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240"/>
        <w:ind w:hanging="0" w:start="0" w:end="0"/>
        <w:jc w:val="both"/>
        <w:rPr/>
      </w:pPr>
      <w:r>
        <w:rPr>
          <w:rtl w:val="true"/>
        </w:rPr>
        <w:t>בהקשר זה נקבע בפסיקה</w:t>
      </w:r>
      <w:r>
        <w:rPr>
          <w:rtl w:val="true"/>
        </w:rPr>
        <w:t xml:space="preserve">, </w:t>
      </w:r>
      <w:r>
        <w:rPr>
          <w:rtl w:val="true"/>
        </w:rPr>
        <w:t>כי המבחן לבחינת קיומה של הזדמנות סבירה להתגונן</w:t>
      </w:r>
      <w:r>
        <w:rPr>
          <w:rtl w:val="true"/>
        </w:rPr>
        <w:t xml:space="preserve">, </w:t>
      </w:r>
      <w:r>
        <w:rPr>
          <w:rtl w:val="true"/>
        </w:rPr>
        <w:t>או העדרה</w:t>
      </w:r>
      <w:r>
        <w:rPr>
          <w:rtl w:val="true"/>
        </w:rPr>
        <w:t xml:space="preserve">, </w:t>
      </w:r>
      <w:r>
        <w:rPr>
          <w:rtl w:val="true"/>
        </w:rPr>
        <w:t>הוא מבחן כפול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>-</w:t>
      </w:r>
      <w:r>
        <w:rPr>
          <w:rtl w:val="true"/>
        </w:rPr>
        <w:t>פרוצדוראלית</w:t>
      </w:r>
      <w:r>
        <w:rPr>
          <w:rtl w:val="true"/>
        </w:rPr>
        <w:t xml:space="preserve">, </w:t>
      </w:r>
      <w:r>
        <w:rPr>
          <w:rtl w:val="true"/>
        </w:rPr>
        <w:t>שעיקרה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וכדומה</w:t>
      </w:r>
      <w:r>
        <w:rPr>
          <w:rtl w:val="true"/>
        </w:rPr>
        <w:t xml:space="preserve">, </w:t>
      </w:r>
      <w:r>
        <w:rPr>
          <w:rtl w:val="true"/>
        </w:rPr>
        <w:t>וסופו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שעיקרה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76"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color w:val="0000FF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color w:val="0000FF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7"/>
            <w:szCs w:val="27"/>
            <w:u w:val="single"/>
          </w:rPr>
          <w:t>9256/04</w:t>
        </w:r>
      </w:hyperlink>
      <w:r>
        <w:rPr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7"/>
          <w:szCs w:val="27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7"/>
          <w:sz w:val="27"/>
          <w:szCs w:val="27"/>
          <w:rtl w:val="true"/>
        </w:rPr>
        <w:t>פסקה</w:t>
      </w:r>
      <w:r>
        <w:rPr>
          <w:rFonts w:eastAsia="Arial TUR;Arial" w:cs="Arial TUR;Arial"/>
          <w:sz w:val="27"/>
          <w:sz w:val="27"/>
          <w:szCs w:val="27"/>
          <w:rtl w:val="true"/>
        </w:rPr>
        <w:t xml:space="preserve"> </w:t>
      </w:r>
      <w:r>
        <w:rPr>
          <w:sz w:val="27"/>
          <w:szCs w:val="27"/>
        </w:rPr>
        <w:t>11</w:t>
      </w:r>
      <w:r>
        <w:rPr>
          <w:sz w:val="27"/>
          <w:szCs w:val="27"/>
          <w:rtl w:val="true"/>
        </w:rPr>
        <w:t xml:space="preserve"> </w:t>
      </w:r>
      <w:r>
        <w:rPr>
          <w:sz w:val="27"/>
          <w:sz w:val="27"/>
          <w:szCs w:val="27"/>
          <w:rtl w:val="true"/>
        </w:rPr>
        <w:t>לחוות</w:t>
      </w:r>
      <w:r>
        <w:rPr>
          <w:rFonts w:eastAsia="Arial TUR;Arial" w:cs="Arial TUR;Arial"/>
          <w:sz w:val="27"/>
          <w:sz w:val="27"/>
          <w:szCs w:val="27"/>
          <w:rtl w:val="true"/>
        </w:rPr>
        <w:t xml:space="preserve"> </w:t>
      </w:r>
      <w:r>
        <w:rPr>
          <w:sz w:val="27"/>
          <w:sz w:val="27"/>
          <w:szCs w:val="27"/>
          <w:rtl w:val="true"/>
        </w:rPr>
        <w:t>דעתו</w:t>
      </w:r>
      <w:r>
        <w:rPr>
          <w:rFonts w:eastAsia="Arial TUR;Arial" w:cs="Arial TUR;Arial"/>
          <w:sz w:val="27"/>
          <w:sz w:val="27"/>
          <w:szCs w:val="27"/>
          <w:rtl w:val="true"/>
        </w:rPr>
        <w:t xml:space="preserve"> </w:t>
      </w:r>
      <w:r>
        <w:rPr>
          <w:sz w:val="27"/>
          <w:sz w:val="27"/>
          <w:szCs w:val="27"/>
          <w:rtl w:val="true"/>
        </w:rPr>
        <w:t>של</w:t>
      </w:r>
      <w:r>
        <w:rPr>
          <w:rFonts w:eastAsia="Arial TUR;Arial" w:cs="Arial TUR;Arial"/>
          <w:sz w:val="27"/>
          <w:sz w:val="27"/>
          <w:szCs w:val="27"/>
          <w:rtl w:val="true"/>
        </w:rPr>
        <w:t xml:space="preserve"> </w:t>
      </w:r>
      <w:r>
        <w:rPr>
          <w:sz w:val="27"/>
          <w:sz w:val="27"/>
          <w:szCs w:val="27"/>
          <w:rtl w:val="true"/>
        </w:rPr>
        <w:t>השופט</w:t>
      </w:r>
      <w:r>
        <w:rPr>
          <w:rFonts w:eastAsia="Arial TUR;Arial" w:cs="Arial TUR;Arial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;Arial" w:cs="Arial TUR;Arial"/>
          <w:sz w:val="27"/>
          <w:sz w:val="27"/>
          <w:szCs w:val="27"/>
          <w:rtl w:val="true"/>
        </w:rPr>
        <w:t xml:space="preserve"> </w:t>
      </w:r>
      <w:r>
        <w:rPr>
          <w:sz w:val="27"/>
          <w:szCs w:val="27"/>
          <w:rtl w:val="true"/>
        </w:rPr>
        <w:t>(</w:t>
      </w:r>
      <w:r>
        <w:rPr>
          <w:sz w:val="27"/>
          <w:szCs w:val="27"/>
        </w:rPr>
        <w:t>10.8.2005</w:t>
      </w:r>
      <w:r>
        <w:rPr>
          <w:sz w:val="27"/>
          <w:szCs w:val="27"/>
          <w:rtl w:val="true"/>
        </w:rPr>
        <w:t>)‏</w:t>
      </w:r>
      <w:r>
        <w:rPr>
          <w:rtl w:val="true"/>
        </w:rPr>
        <w:t>‏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בענייננו </w:t>
      </w:r>
      <w:r>
        <w:rPr>
          <w:rtl w:val="true"/>
        </w:rPr>
        <w:t xml:space="preserve">- </w:t>
      </w:r>
      <w:r>
        <w:rPr>
          <w:rtl w:val="true"/>
        </w:rPr>
        <w:t>המשיבה טענה כאמור</w:t>
      </w:r>
      <w:r>
        <w:rPr>
          <w:rtl w:val="true"/>
        </w:rPr>
        <w:t xml:space="preserve">, </w:t>
      </w:r>
      <w:r>
        <w:rPr>
          <w:rtl w:val="true"/>
        </w:rPr>
        <w:t xml:space="preserve">אף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כי היא אינה מייחסת למערער כי פעל להגשת התצהיר</w:t>
      </w:r>
      <w:r>
        <w:rPr>
          <w:rtl w:val="true"/>
        </w:rPr>
        <w:t xml:space="preserve">, </w:t>
      </w:r>
      <w:r>
        <w:rPr>
          <w:rtl w:val="true"/>
        </w:rPr>
        <w:t xml:space="preserve">אלא רק כי היה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tl w:val="true"/>
        </w:rPr>
        <w:t xml:space="preserve"> לכך</w:t>
      </w:r>
      <w:r>
        <w:rPr>
          <w:rtl w:val="true"/>
        </w:rPr>
        <w:t xml:space="preserve">. </w:t>
      </w:r>
      <w:r>
        <w:rPr>
          <w:rtl w:val="true"/>
        </w:rPr>
        <w:t>על כן ניכר</w:t>
      </w:r>
      <w:r>
        <w:rPr>
          <w:rtl w:val="true"/>
        </w:rPr>
        <w:t xml:space="preserve">, </w:t>
      </w:r>
      <w:r>
        <w:rPr>
          <w:rtl w:val="true"/>
        </w:rPr>
        <w:t>כי הן מבחינה טכנית</w:t>
      </w:r>
      <w:r>
        <w:rPr>
          <w:rtl w:val="true"/>
        </w:rPr>
        <w:t>-</w:t>
      </w:r>
      <w:r>
        <w:rPr>
          <w:rtl w:val="true"/>
        </w:rPr>
        <w:t>פרוצדוראלית והן מבחינה מהותית</w:t>
      </w:r>
      <w:r>
        <w:rPr>
          <w:rtl w:val="true"/>
        </w:rPr>
        <w:t xml:space="preserve">, </w:t>
      </w:r>
      <w:r>
        <w:rPr>
          <w:rtl w:val="true"/>
        </w:rPr>
        <w:t>אכן נפגמה</w:t>
      </w:r>
      <w:r>
        <w:rPr>
          <w:rtl w:val="true"/>
        </w:rPr>
        <w:t xml:space="preserve">, </w:t>
      </w:r>
      <w:r>
        <w:rPr>
          <w:rtl w:val="true"/>
        </w:rPr>
        <w:t>במידה מסוימת</w:t>
      </w:r>
      <w:r>
        <w:rPr>
          <w:rtl w:val="true"/>
        </w:rPr>
        <w:t xml:space="preserve">, </w:t>
      </w:r>
      <w:r>
        <w:rPr>
          <w:rtl w:val="true"/>
        </w:rPr>
        <w:t>יכולתו של המערער לגבש ולהציג קו הגנה מובהק יותר ביחס לעבירה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במידה רבה</w:t>
      </w:r>
      <w:r>
        <w:rPr>
          <w:rtl w:val="true"/>
        </w:rPr>
        <w:t xml:space="preserve">, </w:t>
      </w:r>
      <w:r>
        <w:rPr>
          <w:rtl w:val="true"/>
        </w:rPr>
        <w:t xml:space="preserve">בחינה זו בדבר התקיימות הוראות </w:t>
      </w:r>
      <w:hyperlink r:id="rId7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נעשית בגדר למעלה מן הנדרש</w:t>
      </w:r>
      <w:r>
        <w:rPr>
          <w:rtl w:val="true"/>
        </w:rPr>
        <w:t xml:space="preserve">, </w:t>
      </w:r>
      <w:r>
        <w:rPr>
          <w:rtl w:val="true"/>
        </w:rPr>
        <w:t>מאחר שבית המשפט המחוזי לא ראה בהרשעת המערער ככזו הנסמכת על עובדות אשר לא נטענו</w:t>
      </w:r>
      <w:r>
        <w:rPr>
          <w:rtl w:val="true"/>
        </w:rPr>
        <w:t xml:space="preserve">, </w:t>
      </w:r>
      <w:r>
        <w:rPr>
          <w:rtl w:val="true"/>
        </w:rPr>
        <w:t>ובשל כך שקביעותיו חורגות מטענות המשיבה אף בסופו של ההליך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גם מטעם זה</w:t>
      </w:r>
      <w:r>
        <w:rPr>
          <w:rtl w:val="true"/>
        </w:rPr>
        <w:t xml:space="preserve">, </w:t>
      </w:r>
      <w:r>
        <w:rPr>
          <w:rtl w:val="true"/>
        </w:rPr>
        <w:t>אציע לזכות את המערער מעבירות של שימוש במסמך מזויף ובידוי ראיות</w:t>
      </w:r>
      <w:r>
        <w:rPr>
          <w:rtl w:val="true"/>
        </w:rPr>
        <w:t xml:space="preserve">, </w:t>
      </w:r>
      <w:r>
        <w:rPr>
          <w:rtl w:val="true"/>
        </w:rPr>
        <w:t>בהן הורשע על ידי בית המשפט המחוזי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אבחן עתה את הרשעת המערער בעבירות לפי </w:t>
      </w:r>
      <w:hyperlink r:id="rId7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בנימוקי הערעור</w:t>
      </w:r>
      <w:r>
        <w:rPr>
          <w:rtl w:val="true"/>
        </w:rPr>
        <w:t xml:space="preserve">, </w:t>
      </w:r>
      <w:r>
        <w:rPr>
          <w:rtl w:val="true"/>
        </w:rPr>
        <w:t>טען המערער</w:t>
      </w:r>
      <w:r>
        <w:rPr>
          <w:rtl w:val="true"/>
        </w:rPr>
        <w:t xml:space="preserve">, </w:t>
      </w:r>
      <w:r>
        <w:rPr>
          <w:rtl w:val="true"/>
        </w:rPr>
        <w:t>כי היות ולאחר הכרעת הדין נכנס לתוקפו חוק חדלות פירעון</w:t>
      </w:r>
      <w:r>
        <w:rPr>
          <w:rtl w:val="true"/>
        </w:rPr>
        <w:t xml:space="preserve">, </w:t>
      </w:r>
      <w:r>
        <w:rPr>
          <w:rtl w:val="true"/>
        </w:rPr>
        <w:t>יש לדון בעניינו על פי חוק זה</w:t>
      </w:r>
      <w:r>
        <w:rPr>
          <w:rtl w:val="true"/>
        </w:rPr>
        <w:t xml:space="preserve">, </w:t>
      </w:r>
      <w:r>
        <w:rPr>
          <w:rtl w:val="true"/>
        </w:rPr>
        <w:t xml:space="preserve">ולא על פי </w:t>
      </w:r>
      <w:hyperlink r:id="rId8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, </w:t>
      </w:r>
      <w:r>
        <w:rPr>
          <w:rtl w:val="true"/>
        </w:rPr>
        <w:t>כך שלשיטתו</w:t>
      </w:r>
      <w:r>
        <w:rPr>
          <w:rtl w:val="true"/>
        </w:rPr>
        <w:t>: "</w:t>
      </w:r>
      <w:r>
        <w:rPr>
          <w:rtl w:val="true"/>
        </w:rPr>
        <w:t>לכל היותר</w:t>
      </w:r>
      <w:r>
        <w:rPr>
          <w:rtl w:val="true"/>
        </w:rPr>
        <w:t xml:space="preserve">, </w:t>
      </w:r>
      <w:r>
        <w:rPr>
          <w:rtl w:val="true"/>
        </w:rPr>
        <w:t xml:space="preserve">ניתן להרשיע את המערער בעבירה לפי </w:t>
      </w:r>
      <w:hyperlink r:id="rId8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/>
        <w:t>346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 xml:space="preserve">לחוק חדלות פירעון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משלא דיווח בזמן על קיום העסקה עם הרוכשים</w:t>
      </w:r>
      <w:r>
        <w:rPr>
          <w:rtl w:val="true"/>
        </w:rPr>
        <w:t>" (</w:t>
      </w:r>
      <w:r>
        <w:rPr>
          <w:rtl w:val="true"/>
        </w:rPr>
        <w:t xml:space="preserve">סעיף </w:t>
      </w:r>
      <w:r>
        <w:rPr/>
        <w:t>107</w:t>
      </w:r>
      <w:r>
        <w:rPr>
          <w:rtl w:val="true"/>
        </w:rPr>
        <w:t xml:space="preserve"> </w:t>
      </w:r>
      <w:r>
        <w:rPr>
          <w:rtl w:val="true"/>
        </w:rPr>
        <w:t>לנימוקי הערעור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במעמד הדיון</w:t>
      </w:r>
      <w:r>
        <w:rPr>
          <w:rtl w:val="true"/>
        </w:rPr>
        <w:t xml:space="preserve">, </w:t>
      </w:r>
      <w:r>
        <w:rPr>
          <w:rtl w:val="true"/>
        </w:rPr>
        <w:t xml:space="preserve">ביקשה המשיבה להחליף את הרשעת המערער בעבירות לפי </w:t>
      </w:r>
      <w:hyperlink r:id="rId8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, </w:t>
      </w:r>
      <w:r>
        <w:rPr>
          <w:rtl w:val="true"/>
        </w:rPr>
        <w:t>להרשעה לפי הסעיף המקביל בחוק חדלות פירעון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מדובר בדין המקל עם המערער מאחר שהעונש המרבי בגין עבירה זו הוא שלוש שנות מאסר</w:t>
      </w:r>
      <w:r>
        <w:rPr>
          <w:rtl w:val="true"/>
        </w:rPr>
        <w:t xml:space="preserve">, </w:t>
      </w:r>
      <w:r>
        <w:rPr>
          <w:rtl w:val="true"/>
        </w:rPr>
        <w:t xml:space="preserve">לעומת עונש מרבי של ארבע שנות מאסר עבור העבירות בהן הורשע המערער לפי </w:t>
      </w:r>
      <w:hyperlink r:id="rId8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השיב כי עליו לשקול זאת</w:t>
      </w:r>
      <w:r>
        <w:rPr>
          <w:rtl w:val="true"/>
        </w:rPr>
        <w:t xml:space="preserve">, </w:t>
      </w:r>
      <w:r>
        <w:rPr>
          <w:rtl w:val="true"/>
        </w:rPr>
        <w:t>אולם לבסוף לא נמסרה עמדת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ענייננו</w:t>
      </w:r>
      <w:r>
        <w:rPr>
          <w:rtl w:val="true"/>
        </w:rPr>
        <w:t xml:space="preserve">, </w:t>
      </w:r>
      <w:r>
        <w:rPr>
          <w:rtl w:val="true"/>
        </w:rPr>
        <w:t>לאור עמדות הצדדים</w:t>
      </w:r>
      <w:r>
        <w:rPr>
          <w:rtl w:val="true"/>
        </w:rPr>
        <w:t xml:space="preserve">, </w:t>
      </w:r>
      <w:r>
        <w:rPr>
          <w:rtl w:val="true"/>
        </w:rPr>
        <w:t>ומשהמשיבה טענה לפנינו כי מדובר בדין המקל עם הנאשם</w:t>
      </w:r>
      <w:r>
        <w:rPr>
          <w:rtl w:val="true"/>
        </w:rPr>
        <w:t xml:space="preserve">, </w:t>
      </w:r>
      <w:r>
        <w:rPr>
          <w:rtl w:val="true"/>
        </w:rPr>
        <w:t xml:space="preserve">יש להורות כי חלף הרשעת המערער בעבירות לפי </w:t>
      </w:r>
      <w:hyperlink r:id="rId8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5">
        <w:r>
          <w:rPr>
            <w:rStyle w:val="Hyperlink"/>
          </w:rPr>
          <w:t>216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86"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המערער יורשע בעבירה לפי </w:t>
      </w:r>
      <w:hyperlink r:id="rId8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חדלות פירעון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כעולה מן העדויות אשר נשמעו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מעשיו החמורים של המערער גבו מחיר כבד מקורבנות העבירה</w:t>
      </w:r>
      <w:r>
        <w:rPr>
          <w:rtl w:val="true"/>
        </w:rPr>
        <w:t xml:space="preserve">, </w:t>
      </w:r>
      <w:r>
        <w:rPr>
          <w:rtl w:val="true"/>
        </w:rPr>
        <w:t>החורג בהרבה מהנזק הכספי ממנו סבלו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אני סבור כי גזר דינו של בית המחוזי מאזן כראוי בין השיקולים השונים</w:t>
      </w:r>
      <w:r>
        <w:rPr>
          <w:rtl w:val="true"/>
        </w:rPr>
        <w:t xml:space="preserve">, </w:t>
      </w:r>
      <w:r>
        <w:rPr>
          <w:rtl w:val="true"/>
        </w:rPr>
        <w:t>ובוודאי שאין לומר כי הוא חמור יתר על המידה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לאור זיכוי המערער מחלק מהעבירות בהן הורשע והחלפת הרשעת המערער בעבירות לפי </w:t>
      </w:r>
      <w:hyperlink r:id="rId8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 להרשעתו לפי </w:t>
      </w:r>
      <w:hyperlink r:id="rId9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חדלות פירעון</w:t>
      </w:r>
      <w:r>
        <w:rPr>
          <w:rtl w:val="true"/>
        </w:rPr>
        <w:t xml:space="preserve">, </w:t>
      </w:r>
      <w:r>
        <w:rPr>
          <w:rtl w:val="true"/>
        </w:rPr>
        <w:t>הייתי מציע לחבריי לקבוע כי רכיב עונש המאסר בפועל אשר הוטל על המערער יופחת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חלף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 המאסר אשר נגזרו בבית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אף הן ירוצו במסגרת עבודות שירות</w:t>
      </w:r>
      <w:r>
        <w:rPr>
          <w:rtl w:val="true"/>
        </w:rPr>
        <w:t xml:space="preserve">. </w:t>
      </w:r>
      <w:r>
        <w:rPr>
          <w:rtl w:val="true"/>
        </w:rPr>
        <w:t>יתר רכיבי עונשו של המערער</w:t>
      </w:r>
      <w:r>
        <w:rPr>
          <w:rtl w:val="true"/>
        </w:rPr>
        <w:t xml:space="preserve">, </w:t>
      </w:r>
      <w:r>
        <w:rPr>
          <w:rtl w:val="true"/>
        </w:rPr>
        <w:t>כקבוע בגזר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יוותרו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 xml:space="preserve">כי העבירות מושא כתב האישום בוצעו באמצע שנת </w:t>
      </w:r>
      <w:r>
        <w:rPr/>
        <w:t>2014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הוגש בשלהי שנת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 xml:space="preserve">והכרעת הדין התקבלה ביום </w:t>
      </w:r>
      <w:r>
        <w:rPr/>
        <w:t>18.7.2019</w:t>
      </w:r>
      <w:r>
        <w:rPr>
          <w:rtl w:val="true"/>
        </w:rPr>
        <w:t xml:space="preserve">. </w:t>
      </w:r>
      <w:r>
        <w:rPr>
          <w:rtl w:val="true"/>
        </w:rPr>
        <w:t>מכך עולה</w:t>
      </w:r>
      <w:r>
        <w:rPr>
          <w:rtl w:val="true"/>
        </w:rPr>
        <w:t xml:space="preserve">, </w:t>
      </w:r>
      <w:r>
        <w:rPr>
          <w:rtl w:val="true"/>
        </w:rPr>
        <w:t>כי אף שמדובר בכתב אישום שעניינו מסכת עובדתית מתוחמת ופשוטה</w:t>
      </w:r>
      <w:r>
        <w:rPr>
          <w:rtl w:val="true"/>
        </w:rPr>
        <w:t xml:space="preserve">, </w:t>
      </w:r>
      <w:r>
        <w:rPr>
          <w:rtl w:val="true"/>
        </w:rPr>
        <w:t>חלף זמן רב מאוד ממועד ביצוע העבירות</w:t>
      </w:r>
      <w:r>
        <w:rPr>
          <w:rtl w:val="true"/>
        </w:rPr>
        <w:t xml:space="preserve">, </w:t>
      </w:r>
      <w:r>
        <w:rPr>
          <w:rtl w:val="true"/>
        </w:rPr>
        <w:t>ועד להרשעת המערער ומתן גזר הדין</w:t>
      </w:r>
      <w:r>
        <w:rPr>
          <w:rtl w:val="true"/>
        </w:rPr>
        <w:t xml:space="preserve">. </w:t>
      </w:r>
      <w:r>
        <w:rPr>
          <w:rtl w:val="true"/>
        </w:rPr>
        <w:t>כפי שהערתי לא אחת</w:t>
      </w:r>
      <w:r>
        <w:rPr>
          <w:rtl w:val="true"/>
        </w:rPr>
        <w:t xml:space="preserve">, </w:t>
      </w:r>
      <w:r>
        <w:rPr>
          <w:rtl w:val="true"/>
        </w:rPr>
        <w:t>יש לעשות כל מאמץ על מנת למנוע מצב שכזה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ה</w:t>
      </w:r>
      <w:r>
        <w:rPr>
          <w:rtl w:val="true"/>
        </w:rPr>
        <w:t>ת</w:t>
      </w:r>
      <w:r>
        <w:rPr>
          <w:rtl w:val="true"/>
        </w:rPr>
        <w:t xml:space="preserve">משכות ההליכים </w:t>
      </w:r>
      <w:r>
        <w:rPr>
          <w:rtl w:val="true"/>
        </w:rPr>
        <w:t>שלא לצורך</w:t>
      </w:r>
      <w:r>
        <w:rPr>
          <w:rtl w:val="true"/>
        </w:rPr>
        <w:t xml:space="preserve"> </w:t>
      </w:r>
      <w:r>
        <w:rPr>
          <w:rtl w:val="true"/>
        </w:rPr>
        <w:t>נגרם</w:t>
      </w:r>
      <w:r>
        <w:rPr>
          <w:rtl w:val="true"/>
        </w:rPr>
        <w:t xml:space="preserve"> עינוי דין חמור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בשים לב לכך שבית המשפט המחוזי התחשב בחלוף הזמן המשמעותי מאז ביצוע העבירות במסגרת גזר הדין</w:t>
      </w:r>
      <w:r>
        <w:rPr>
          <w:rtl w:val="true"/>
        </w:rPr>
        <w:t xml:space="preserve">, </w:t>
      </w:r>
      <w:r>
        <w:rPr>
          <w:rtl w:val="true"/>
        </w:rPr>
        <w:t>איני סבור</w:t>
      </w:r>
      <w:r>
        <w:rPr>
          <w:rtl w:val="true"/>
        </w:rPr>
        <w:t xml:space="preserve"> כי יש בנתון זה כדי להצדיק התערבות </w:t>
      </w:r>
      <w:r>
        <w:rPr>
          <w:rtl w:val="true"/>
        </w:rPr>
        <w:t xml:space="preserve">נוספת </w:t>
      </w:r>
      <w:r>
        <w:rPr>
          <w:rtl w:val="true"/>
        </w:rPr>
        <w:t>בחומרת העונש</w:t>
      </w:r>
      <w:r>
        <w:rPr>
          <w:rtl w:val="true"/>
        </w:rPr>
        <w:t xml:space="preserve"> מעבר לקיצורו</w:t>
      </w:r>
      <w:r>
        <w:rPr>
          <w:rtl w:val="true"/>
        </w:rPr>
        <w:t xml:space="preserve">, </w:t>
      </w:r>
      <w:r>
        <w:rPr>
          <w:rtl w:val="true"/>
        </w:rPr>
        <w:t>נוכח זיכויו החלקי של המערער</w:t>
      </w:r>
      <w:r>
        <w:rPr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לקבל את הערעור באופן חלקי כך שהמערער יזוכה מעבירות הזיוף</w:t>
      </w:r>
      <w:r>
        <w:rPr>
          <w:rtl w:val="true"/>
        </w:rPr>
        <w:t xml:space="preserve">, </w:t>
      </w:r>
      <w:r>
        <w:rPr>
          <w:rtl w:val="true"/>
        </w:rPr>
        <w:t>שימוש במסמך מזויף ובידוי ראייה</w:t>
      </w:r>
      <w:r>
        <w:rPr>
          <w:rtl w:val="true"/>
        </w:rPr>
        <w:t xml:space="preserve">, </w:t>
      </w:r>
      <w:r>
        <w:rPr>
          <w:rtl w:val="true"/>
        </w:rPr>
        <w:t xml:space="preserve">הרשעתו בעבירות לפי </w:t>
      </w:r>
      <w:hyperlink r:id="rId9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פשיטת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הרגל</w:t>
        </w:r>
      </w:hyperlink>
      <w:r>
        <w:rPr>
          <w:rtl w:val="true"/>
        </w:rPr>
        <w:t xml:space="preserve"> תוחלף להרשעה לפי </w:t>
      </w:r>
      <w:hyperlink r:id="rId9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חדלות פירעון</w:t>
      </w:r>
      <w:r>
        <w:rPr>
          <w:rtl w:val="true"/>
        </w:rPr>
        <w:t xml:space="preserve">, </w:t>
      </w:r>
      <w:r>
        <w:rPr>
          <w:rtl w:val="true"/>
        </w:rPr>
        <w:t>ורכיב המאסר בפועל אשר הוטל עליו יופחת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שירוצו בעבודות שירות על פי חוות דעת הממונה שניתנה בעניינו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יתר רכיבי עונשו של המערער</w:t>
      </w:r>
      <w:r>
        <w:rPr>
          <w:rtl w:val="true"/>
        </w:rPr>
        <w:t xml:space="preserve">, </w:t>
      </w:r>
      <w:r>
        <w:rPr>
          <w:rtl w:val="true"/>
        </w:rPr>
        <w:t>כקבוע בגזר הדין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יוותרו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15.12.2021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2.11.2021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tl w:val="true"/>
        </w:rPr>
        <w:tab/>
        <w:tab/>
        <w:tab/>
        <w:t xml:space="preserve">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ab/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 xml:space="preserve">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20003940</w:t>
      </w:r>
      <w:r>
        <w:rPr>
          <w:sz w:val="16"/>
          <w:rtl w:val="true"/>
        </w:rPr>
        <w:t>_</w:t>
      </w:r>
      <w:r>
        <w:rPr>
          <w:sz w:val="16"/>
        </w:rPr>
        <w:t>J46.docx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3">
        <w:r>
          <w:rPr>
            <w:rStyle w:val="Hyperlink"/>
            <w:sz w:val="16"/>
          </w:rPr>
          <w:t>https://supreme.court.gov.il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54678313-394/20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5"/>
      <w:footerReference w:type="default" r:id="rId9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394/20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יוסף חן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Style14">
    <w:name w:val="גוף פסק דין תו"/>
    <w:qFormat/>
    <w:rPr>
      <w:rFonts w:eastAsia="Calibri" w:cs="FrankRuehl"/>
      <w:spacing w:val="10"/>
      <w:sz w:val="24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5">
    <w:name w:val="גוף פסק דין"/>
    <w:basedOn w:val="Normal"/>
    <w:qFormat/>
    <w:pPr>
      <w:spacing w:lineRule="auto" w:line="360"/>
      <w:ind w:firstLine="720" w:start="0" w:end="0"/>
      <w:jc w:val="both"/>
      <w:textAlignment w:val="auto"/>
    </w:pPr>
    <w:rPr>
      <w:rFonts w:eastAsia="Calibri" w:cs="FrankRuehl"/>
      <w:spacing w:val="10"/>
      <w:sz w:val="24"/>
      <w:szCs w:val="28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6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88575" TargetMode="External"/><Relationship Id="rId3" Type="http://schemas.openxmlformats.org/officeDocument/2006/relationships/hyperlink" Target="http://www.nevo.co.il/law/4668" TargetMode="External"/><Relationship Id="rId4" Type="http://schemas.openxmlformats.org/officeDocument/2006/relationships/hyperlink" Target="http://www.nevo.co.il/law/4668/42" TargetMode="External"/><Relationship Id="rId5" Type="http://schemas.openxmlformats.org/officeDocument/2006/relationships/hyperlink" Target="http://www.nevo.co.il/law/4668/214" TargetMode="External"/><Relationship Id="rId6" Type="http://schemas.openxmlformats.org/officeDocument/2006/relationships/hyperlink" Target="http://www.nevo.co.il/law/4668/216.4" TargetMode="External"/><Relationship Id="rId7" Type="http://schemas.openxmlformats.org/officeDocument/2006/relationships/hyperlink" Target="http://www.nevo.co.il/law/4668/216.6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94.b" TargetMode="External"/><Relationship Id="rId10" Type="http://schemas.openxmlformats.org/officeDocument/2006/relationships/hyperlink" Target="http://www.nevo.co.il/law/74903/162" TargetMode="External"/><Relationship Id="rId11" Type="http://schemas.openxmlformats.org/officeDocument/2006/relationships/hyperlink" Target="http://www.nevo.co.il/law/74903/18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38" TargetMode="External"/><Relationship Id="rId14" Type="http://schemas.openxmlformats.org/officeDocument/2006/relationships/hyperlink" Target="http://www.nevo.co.il/law/70301/346.a.c" TargetMode="External"/><Relationship Id="rId15" Type="http://schemas.openxmlformats.org/officeDocument/2006/relationships/hyperlink" Target="http://www.nevo.co.il/law/70301/414" TargetMode="External"/><Relationship Id="rId16" Type="http://schemas.openxmlformats.org/officeDocument/2006/relationships/hyperlink" Target="http://www.nevo.co.il/law/70301/415" TargetMode="External"/><Relationship Id="rId17" Type="http://schemas.openxmlformats.org/officeDocument/2006/relationships/hyperlink" Target="http://www.nevo.co.il/law/70301/418" TargetMode="External"/><Relationship Id="rId18" Type="http://schemas.openxmlformats.org/officeDocument/2006/relationships/hyperlink" Target="http://www.nevo.co.il/law/70301/420" TargetMode="External"/><Relationship Id="rId19" Type="http://schemas.openxmlformats.org/officeDocument/2006/relationships/hyperlink" Target="http://www.nevo.co.il/law/154362" TargetMode="External"/><Relationship Id="rId20" Type="http://schemas.openxmlformats.org/officeDocument/2006/relationships/hyperlink" Target="http://www.nevo.co.il/law/154362/346.a.3" TargetMode="External"/><Relationship Id="rId21" Type="http://schemas.openxmlformats.org/officeDocument/2006/relationships/hyperlink" Target="http://www.nevo.co.il/law/4668" TargetMode="External"/><Relationship Id="rId22" Type="http://schemas.openxmlformats.org/officeDocument/2006/relationships/hyperlink" Target="http://www.nevo.co.il/law/154362/346.a.3" TargetMode="External"/><Relationship Id="rId23" Type="http://schemas.openxmlformats.org/officeDocument/2006/relationships/hyperlink" Target="http://www.nevo.co.il/law/4668" TargetMode="External"/><Relationship Id="rId24" Type="http://schemas.openxmlformats.org/officeDocument/2006/relationships/hyperlink" Target="http://www.nevo.co.il/law/70301/414" TargetMode="External"/><Relationship Id="rId25" Type="http://schemas.openxmlformats.org/officeDocument/2006/relationships/hyperlink" Target="http://www.nevo.co.il/law/4668" TargetMode="External"/><Relationship Id="rId26" Type="http://schemas.openxmlformats.org/officeDocument/2006/relationships/hyperlink" Target="http://www.nevo.co.il/law/4668/214" TargetMode="External"/><Relationship Id="rId27" Type="http://schemas.openxmlformats.org/officeDocument/2006/relationships/hyperlink" Target="http://www.nevo.co.il/law/4668/216.4" TargetMode="External"/><Relationship Id="rId28" Type="http://schemas.openxmlformats.org/officeDocument/2006/relationships/hyperlink" Target="http://www.nevo.co.il/law/4668/216.6" TargetMode="External"/><Relationship Id="rId29" Type="http://schemas.openxmlformats.org/officeDocument/2006/relationships/hyperlink" Target="http://www.nevo.co.il/law/4668" TargetMode="External"/><Relationship Id="rId30" Type="http://schemas.openxmlformats.org/officeDocument/2006/relationships/hyperlink" Target="http://www.nevo.co.il/law/154362/346.a.3" TargetMode="External"/><Relationship Id="rId31" Type="http://schemas.openxmlformats.org/officeDocument/2006/relationships/hyperlink" Target="http://www.nevo.co.il/law/4668" TargetMode="External"/><Relationship Id="rId32" Type="http://schemas.openxmlformats.org/officeDocument/2006/relationships/hyperlink" Target="http://www.nevo.co.il/law/154362/346.a.3" TargetMode="External"/><Relationship Id="rId33" Type="http://schemas.openxmlformats.org/officeDocument/2006/relationships/hyperlink" Target="http://www.nevo.co.il/case/21688575" TargetMode="External"/><Relationship Id="rId34" Type="http://schemas.openxmlformats.org/officeDocument/2006/relationships/hyperlink" Target="http://www.nevo.co.il/law/4668" TargetMode="External"/><Relationship Id="rId35" Type="http://schemas.openxmlformats.org/officeDocument/2006/relationships/hyperlink" Target="http://www.nevo.co.il/law/74903/94.b" TargetMode="External"/><Relationship Id="rId36" Type="http://schemas.openxmlformats.org/officeDocument/2006/relationships/hyperlink" Target="http://www.nevo.co.il/law/74903" TargetMode="External"/><Relationship Id="rId37" Type="http://schemas.openxmlformats.org/officeDocument/2006/relationships/hyperlink" Target="http://www.nevo.co.il/case/3815347" TargetMode="External"/><Relationship Id="rId38" Type="http://schemas.openxmlformats.org/officeDocument/2006/relationships/hyperlink" Target="http://www.nevo.co.il/law/70301/415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15" TargetMode="External"/><Relationship Id="rId41" Type="http://schemas.openxmlformats.org/officeDocument/2006/relationships/hyperlink" Target="http://www.nevo.co.il/law/70301/418" TargetMode="External"/><Relationship Id="rId42" Type="http://schemas.openxmlformats.org/officeDocument/2006/relationships/hyperlink" Target="http://www.nevo.co.il/law/70301/420" TargetMode="External"/><Relationship Id="rId43" Type="http://schemas.openxmlformats.org/officeDocument/2006/relationships/hyperlink" Target="http://www.nevo.co.il/law/70301/418" TargetMode="External"/><Relationship Id="rId44" Type="http://schemas.openxmlformats.org/officeDocument/2006/relationships/hyperlink" Target="http://www.nevo.co.il/law/70301/238" TargetMode="External"/><Relationship Id="rId45" Type="http://schemas.openxmlformats.org/officeDocument/2006/relationships/hyperlink" Target="http://www.nevo.co.il/law/4668/214" TargetMode="External"/><Relationship Id="rId46" Type="http://schemas.openxmlformats.org/officeDocument/2006/relationships/hyperlink" Target="http://www.nevo.co.il/law/4668" TargetMode="External"/><Relationship Id="rId47" Type="http://schemas.openxmlformats.org/officeDocument/2006/relationships/hyperlink" Target="http://www.nevo.co.il/law/4668/216.4" TargetMode="External"/><Relationship Id="rId48" Type="http://schemas.openxmlformats.org/officeDocument/2006/relationships/hyperlink" Target="http://www.nevo.co.il/law/4668/216.6" TargetMode="External"/><Relationship Id="rId49" Type="http://schemas.openxmlformats.org/officeDocument/2006/relationships/hyperlink" Target="http://www.nevo.co.il/law/74903/162" TargetMode="External"/><Relationship Id="rId50" Type="http://schemas.openxmlformats.org/officeDocument/2006/relationships/hyperlink" Target="http://www.nevo.co.il/law/74903" TargetMode="External"/><Relationship Id="rId51" Type="http://schemas.openxmlformats.org/officeDocument/2006/relationships/hyperlink" Target="http://www.nevo.co.il/law/4668" TargetMode="External"/><Relationship Id="rId52" Type="http://schemas.openxmlformats.org/officeDocument/2006/relationships/hyperlink" Target="http://www.nevo.co.il/law/154362" TargetMode="External"/><Relationship Id="rId53" Type="http://schemas.openxmlformats.org/officeDocument/2006/relationships/hyperlink" Target="http://www.nevo.co.il/case/6058753" TargetMode="External"/><Relationship Id="rId54" Type="http://schemas.openxmlformats.org/officeDocument/2006/relationships/hyperlink" Target="http://www.nevo.co.il/case/22301096" TargetMode="External"/><Relationship Id="rId55" Type="http://schemas.openxmlformats.org/officeDocument/2006/relationships/hyperlink" Target="http://www.nevo.co.il/case/25824995" TargetMode="External"/><Relationship Id="rId56" Type="http://schemas.openxmlformats.org/officeDocument/2006/relationships/hyperlink" Target="http://www.nevo.co.il/law/70301/414" TargetMode="External"/><Relationship Id="rId57" Type="http://schemas.openxmlformats.org/officeDocument/2006/relationships/hyperlink" Target="http://www.nevo.co.il/case/17939705" TargetMode="External"/><Relationship Id="rId58" Type="http://schemas.openxmlformats.org/officeDocument/2006/relationships/hyperlink" Target="http://www.nevo.co.il/case/17943451" TargetMode="External"/><Relationship Id="rId59" Type="http://schemas.openxmlformats.org/officeDocument/2006/relationships/hyperlink" Target="http://www.nevo.co.il/law/4668/42" TargetMode="External"/><Relationship Id="rId60" Type="http://schemas.openxmlformats.org/officeDocument/2006/relationships/hyperlink" Target="http://www.nevo.co.il/law/4668" TargetMode="External"/><Relationship Id="rId61" Type="http://schemas.openxmlformats.org/officeDocument/2006/relationships/hyperlink" Target="http://www.nevo.co.il/case/5611910" TargetMode="External"/><Relationship Id="rId62" Type="http://schemas.openxmlformats.org/officeDocument/2006/relationships/hyperlink" Target="http://www.nevo.co.il/case/18653868" TargetMode="External"/><Relationship Id="rId63" Type="http://schemas.openxmlformats.org/officeDocument/2006/relationships/hyperlink" Target="http://www.nevo.co.il/case/5729805" TargetMode="External"/><Relationship Id="rId64" Type="http://schemas.openxmlformats.org/officeDocument/2006/relationships/hyperlink" Target="http://www.nevo.co.il/law/70301/415" TargetMode="External"/><Relationship Id="rId65" Type="http://schemas.openxmlformats.org/officeDocument/2006/relationships/hyperlink" Target="http://www.nevo.co.il/case/17940333" TargetMode="External"/><Relationship Id="rId66" Type="http://schemas.openxmlformats.org/officeDocument/2006/relationships/hyperlink" Target="http://www.nevo.co.il/case/5674009" TargetMode="External"/><Relationship Id="rId67" Type="http://schemas.openxmlformats.org/officeDocument/2006/relationships/hyperlink" Target="http://www.nevo.co.il/case/25305600" TargetMode="External"/><Relationship Id="rId68" Type="http://schemas.openxmlformats.org/officeDocument/2006/relationships/hyperlink" Target="http://www.nevo.co.il/case/20687580" TargetMode="External"/><Relationship Id="rId69" Type="http://schemas.openxmlformats.org/officeDocument/2006/relationships/hyperlink" Target="http://www.nevo.co.il/case/25349520" TargetMode="External"/><Relationship Id="rId70" Type="http://schemas.openxmlformats.org/officeDocument/2006/relationships/hyperlink" Target="http://www.nevo.co.il/case/18736226" TargetMode="External"/><Relationship Id="rId71" Type="http://schemas.openxmlformats.org/officeDocument/2006/relationships/hyperlink" Target="http://www.nevo.co.il/case/8245382" TargetMode="External"/><Relationship Id="rId72" Type="http://schemas.openxmlformats.org/officeDocument/2006/relationships/hyperlink" Target="http://www.nevo.co.il/case/5823537" TargetMode="External"/><Relationship Id="rId73" Type="http://schemas.openxmlformats.org/officeDocument/2006/relationships/hyperlink" Target="http://www.nevo.co.il/case/25305600" TargetMode="External"/><Relationship Id="rId74" Type="http://schemas.openxmlformats.org/officeDocument/2006/relationships/hyperlink" Target="http://www.nevo.co.il/law/74903/184" TargetMode="External"/><Relationship Id="rId75" Type="http://schemas.openxmlformats.org/officeDocument/2006/relationships/hyperlink" Target="http://www.nevo.co.il/law/74903" TargetMode="External"/><Relationship Id="rId76" Type="http://schemas.openxmlformats.org/officeDocument/2006/relationships/hyperlink" Target="http://www.nevo.co.il/case/6148664" TargetMode="External"/><Relationship Id="rId77" Type="http://schemas.openxmlformats.org/officeDocument/2006/relationships/hyperlink" Target="http://www.nevo.co.il/law/74903/184" TargetMode="External"/><Relationship Id="rId78" Type="http://schemas.openxmlformats.org/officeDocument/2006/relationships/hyperlink" Target="http://www.nevo.co.il/law/74903" TargetMode="External"/><Relationship Id="rId79" Type="http://schemas.openxmlformats.org/officeDocument/2006/relationships/hyperlink" Target="http://www.nevo.co.il/law/4668" TargetMode="External"/><Relationship Id="rId80" Type="http://schemas.openxmlformats.org/officeDocument/2006/relationships/hyperlink" Target="http://www.nevo.co.il/law/4668" TargetMode="External"/><Relationship Id="rId81" Type="http://schemas.openxmlformats.org/officeDocument/2006/relationships/hyperlink" Target="http://www.nevo.co.il/law/70301/346.a.c" TargetMode="External"/><Relationship Id="rId82" Type="http://schemas.openxmlformats.org/officeDocument/2006/relationships/hyperlink" Target="http://www.nevo.co.il/law/4668" TargetMode="External"/><Relationship Id="rId83" Type="http://schemas.openxmlformats.org/officeDocument/2006/relationships/hyperlink" Target="http://www.nevo.co.il/law/4668" TargetMode="External"/><Relationship Id="rId84" Type="http://schemas.openxmlformats.org/officeDocument/2006/relationships/hyperlink" Target="http://www.nevo.co.il/law/4668/214" TargetMode="External"/><Relationship Id="rId85" Type="http://schemas.openxmlformats.org/officeDocument/2006/relationships/hyperlink" Target="http://www.nevo.co.il/law/4668/216.4" TargetMode="External"/><Relationship Id="rId86" Type="http://schemas.openxmlformats.org/officeDocument/2006/relationships/hyperlink" Target="http://www.nevo.co.il/law/4668/216.6" TargetMode="External"/><Relationship Id="rId87" Type="http://schemas.openxmlformats.org/officeDocument/2006/relationships/hyperlink" Target="http://www.nevo.co.il/law/4668" TargetMode="External"/><Relationship Id="rId88" Type="http://schemas.openxmlformats.org/officeDocument/2006/relationships/hyperlink" Target="http://www.nevo.co.il/law/154362/346.a.3" TargetMode="External"/><Relationship Id="rId89" Type="http://schemas.openxmlformats.org/officeDocument/2006/relationships/hyperlink" Target="http://www.nevo.co.il/law/4668" TargetMode="External"/><Relationship Id="rId90" Type="http://schemas.openxmlformats.org/officeDocument/2006/relationships/hyperlink" Target="http://www.nevo.co.il/law/154362/346.a.3" TargetMode="External"/><Relationship Id="rId91" Type="http://schemas.openxmlformats.org/officeDocument/2006/relationships/hyperlink" Target="http://www.nevo.co.il/law/4668" TargetMode="External"/><Relationship Id="rId92" Type="http://schemas.openxmlformats.org/officeDocument/2006/relationships/hyperlink" Target="http://www.nevo.co.il/law/154362/346.a.3" TargetMode="External"/><Relationship Id="rId93" Type="http://schemas.openxmlformats.org/officeDocument/2006/relationships/hyperlink" Target="https://supreme.court.gov.il/" TargetMode="External"/><Relationship Id="rId94" Type="http://schemas.openxmlformats.org/officeDocument/2006/relationships/hyperlink" Target="http://www.nevo.co.il/advertisements/nevo-100.doc" TargetMode="External"/><Relationship Id="rId95" Type="http://schemas.openxmlformats.org/officeDocument/2006/relationships/header" Target="header1.xml"/><Relationship Id="rId96" Type="http://schemas.openxmlformats.org/officeDocument/2006/relationships/footer" Target="footer1.xml"/><Relationship Id="rId97" Type="http://schemas.openxmlformats.org/officeDocument/2006/relationships/numbering" Target="numbering.xml"/><Relationship Id="rId98" Type="http://schemas.openxmlformats.org/officeDocument/2006/relationships/fontTable" Target="fontTable.xml"/><Relationship Id="rId99" Type="http://schemas.openxmlformats.org/officeDocument/2006/relationships/settings" Target="settings.xml"/><Relationship Id="rId10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2021-11-03T08:25:00Z</dcterms:created>
  <dc:creator>h4</dc:creator>
  <dc:description/>
  <cp:keywords/>
  <dc:language>en-IL</dc:language>
  <cp:lastModifiedBy>orly</cp:lastModifiedBy>
  <cp:lastPrinted>2021-11-02T09:00:00Z</cp:lastPrinted>
  <dcterms:modified xsi:type="dcterms:W3CDTF">2021-11-03T08:25:00Z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חן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21688575:2;3815347;6058753;22301096;25824995;17939705;17943451;5611910;18653868;5729805;17940333;5674009;25305600:2;20687580;25349520;18736226;8245382;5823537;6148664</vt:lpwstr>
  </property>
  <property fmtid="{D5CDD505-2E9C-101B-9397-08002B2CF9AE}" pid="9" name="CITY">
    <vt:lpwstr/>
  </property>
  <property fmtid="{D5CDD505-2E9C-101B-9397-08002B2CF9AE}" pid="10" name="DATE">
    <vt:lpwstr>20211102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אלרון;נ' הנדל</vt:lpwstr>
  </property>
  <property fmtid="{D5CDD505-2E9C-101B-9397-08002B2CF9AE}" pid="14" name="LAWLISTTMP1">
    <vt:lpwstr>4668/214:2;216.4:2;216.6:2;042</vt:lpwstr>
  </property>
  <property fmtid="{D5CDD505-2E9C-101B-9397-08002B2CF9AE}" pid="15" name="LAWLISTTMP2">
    <vt:lpwstr>74903/094.b;162;184:2</vt:lpwstr>
  </property>
  <property fmtid="{D5CDD505-2E9C-101B-9397-08002B2CF9AE}" pid="16" name="LAWLISTTMP3">
    <vt:lpwstr>70301/415:3;418:2;420;238;414;346.a.c</vt:lpwstr>
  </property>
  <property fmtid="{D5CDD505-2E9C-101B-9397-08002B2CF9AE}" pid="17" name="LAWLISTTMP4">
    <vt:lpwstr>154362/346.a.3:3</vt:lpwstr>
  </property>
  <property fmtid="{D5CDD505-2E9C-101B-9397-08002B2CF9AE}" pid="18" name="LAWYER">
    <vt:lpwstr>עודד ציון;יצחק בם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ראיות</vt:lpwstr>
  </property>
  <property fmtid="{D5CDD505-2E9C-101B-9397-08002B2CF9AE}" pid="33" name="NOSE14">
    <vt:lpwstr>דיון פלילי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77;77;89;18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עבירות</vt:lpwstr>
  </property>
  <property fmtid="{D5CDD505-2E9C-101B-9397-08002B2CF9AE}" pid="43" name="NOSE23">
    <vt:lpwstr>ראיות נסיבתיות</vt:lpwstr>
  </property>
  <property fmtid="{D5CDD505-2E9C-101B-9397-08002B2CF9AE}" pid="44" name="NOSE24">
    <vt:lpwstr>הרשעה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1443;1443;1663;465</vt:lpwstr>
  </property>
  <property fmtid="{D5CDD505-2E9C-101B-9397-08002B2CF9AE}" pid="51" name="NOSE31">
    <vt:lpwstr>מירמה</vt:lpwstr>
  </property>
  <property fmtid="{D5CDD505-2E9C-101B-9397-08002B2CF9AE}" pid="52" name="NOSE310">
    <vt:lpwstr/>
  </property>
  <property fmtid="{D5CDD505-2E9C-101B-9397-08002B2CF9AE}" pid="53" name="NOSE32">
    <vt:lpwstr>נסיבות מחמירות</vt:lpwstr>
  </property>
  <property fmtid="{D5CDD505-2E9C-101B-9397-08002B2CF9AE}" pid="54" name="NOSE33">
    <vt:lpwstr>דרך בחינתן</vt:lpwstr>
  </property>
  <property fmtid="{D5CDD505-2E9C-101B-9397-08002B2CF9AE}" pid="55" name="NOSE34">
    <vt:lpwstr>על יסוד ראיות נסיבתיות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8847;12950;10521;3637</vt:lpwstr>
  </property>
  <property fmtid="{D5CDD505-2E9C-101B-9397-08002B2CF9AE}" pid="62" name="PADIDATE">
    <vt:lpwstr>20211103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394</vt:lpwstr>
  </property>
  <property fmtid="{D5CDD505-2E9C-101B-9397-08002B2CF9AE}" pid="68" name="PROCYEAR">
    <vt:lpwstr>20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410120211102</vt:lpwstr>
  </property>
  <property fmtid="{D5CDD505-2E9C-101B-9397-08002B2CF9AE}" pid="72" name="TYPE_N_DATE">
    <vt:lpwstr>41020211102</vt:lpwstr>
  </property>
  <property fmtid="{D5CDD505-2E9C-101B-9397-08002B2CF9AE}" pid="73" name="VOLUME">
    <vt:lpwstr/>
  </property>
  <property fmtid="{D5CDD505-2E9C-101B-9397-08002B2CF9AE}" pid="74" name="WORDNUMPAGES">
    <vt:lpwstr>22</vt:lpwstr>
  </property>
</Properties>
</file>