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3966/19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28.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</w:t>
            </w:r>
            <w:r>
              <w:rPr>
                <w:sz w:val="24"/>
                <w:szCs w:val="24"/>
              </w:rPr>
              <w:t>54658-08-16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ח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מאק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קלמנוביץ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,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דראל</w:t>
            </w:r>
            <w:r>
              <w:rPr>
                <w:rFonts w:ascii="Century" w:hAnsi="Century" w:eastAsia="Century" w:cs="Century"/>
                <w:b/>
                <w:b/>
                <w:szCs w:val="22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ו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ע</w:t>
            </w:r>
            <w:r>
              <w:rPr>
                <w:rFonts w:cs="Miriam" w:ascii="Century" w:hAnsi="Century"/>
                <w:b/>
                <w:szCs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2"/>
                <w:rtl w:val="true"/>
              </w:rPr>
              <w:t>זינגר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26.12.2019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עבדול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 בו הורשע המערער בעבירת אינוס ונגזרו עליו ארבע וחצי 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בטענות המערער טעם המצדיק לסטות מההלכה לפיה לא בנקל תתערב ערכאת הערעור בממצאי עובדה ובקביעות מהימנות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קורבן עבירת מין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 בו הורשע המערער בעבירת אינוס ונגזרו עליו ארבע וחצי 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תושב אזור יהודה ושומרון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אזרחית ישראלית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היכרות מוקדמת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לשניהם היכרות מוקדמת עם אדם אחר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האמור בכתב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אנס את המתלוננת בביתו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שהיא הגיע לביתו לבילוי ביחד עם חסיין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ששלושתם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אכלו ושתו משקאות אלכוהוליים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 ההגנה של המערער היה כי לא היה כל מגע מיני בין השניים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מדובר בדפוס פעולה של המתלוננת של מין בשכר או סחיטה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דוחה את בקשת המערער להוספת ראיות בשלב הערעור מכיוון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בקריטריונים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לכך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לגופו של 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 הדין התבססה בעיקר על עדותה של המתלוננת ומצבה הנפשי בסמוך לאחר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וראיות נוספות שהיוו חיזוק לגרסתה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חוות דעת מז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תמליל שיחת הטלפון עם חסיין לאחר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ועדויות השוטרים במחסום 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זעים בנוגע למצבה הנפשי של המתלוננת מיד לאחר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בטענות המערער טעם המצדיק לסטות מההלכה לפיה לא בנקל תתערב ערכאת הערעור בממצאי עובדה ובקביעות מהימנות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מציין בתמצית את שלוש הגישות הקיימות בפסיקה לגבי הלכת אי ההתערבות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האחת כי כוחו של כלל אי ההתערבות יפה במיוחד כשעסקינן בעדויות של נפגעי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מהטעם שבעבירות אלה קביעת הממצאים מתבססת בעיקר על גרסאות סותרות של שני המעורבים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ומכאן המשקל המיוחד להתרשמות הבלתי אמצעית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אותות האמת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המתגלים בעדותם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בעבירות מין יש מקום כי ערכאת הערעור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תבחן דווקא בקפדנות יתרה את מסקנותיה של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וגישה 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גישת הביניים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 שותף השופט 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למעשה סתירה בין שתי הגישות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בחינה קפדנית של מסקנות הערכאה המבררת יכולה להיעשות גם כאשר היכולת להתערב בממצאי מהימנות המבוססים על התרשמות בלתי אמצעית מצומצמת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מכן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בוחן את גרסת המתלוננת למול גרסת המערער כמו גם את עדותו של חסיין ומקבל 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למהימנות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 בכך כדי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ולהותיר 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על מכונם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דן בטענות המערער באשר לראיות הנוספות עליהן נסמך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ולא מוצא בהם הצדקה להתערבות בקביעותיו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נקבע כי יש להותיר הרשעתו של המערער על כנה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להתערב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מפורט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עומד על כל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 נאנסה על ידי אדם שלא מוכר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שימוש בכוח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ונגרם לה בשל כך נזק נפשי 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שעולה מתסקיר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העונש שהושת על המערער אף נוטה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התחשב בגילו של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59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במצבו הרפואי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בהיותו נעדר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ובתקופה בה שהה במעצר בפיקוח אלקטרוני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נמצא אפוא כי יש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עוד יותר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u w:val="single"/>
        </w:rPr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2"/>
        <w:ind w:end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בירושלים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כבוד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8"/>
          <w:sz w:val="28"/>
          <w:rtl w:val="true"/>
        </w:rPr>
        <w:t>א</w:t>
      </w:r>
      <w:r>
        <w:rPr>
          <w:rFonts w:cs="Miriam" w:ascii="Century" w:hAnsi="Century"/>
          <w:b/>
          <w:spacing w:val="0"/>
          <w:sz w:val="28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דראל</w:t>
      </w:r>
      <w:r>
        <w:rPr>
          <w:sz w:val="28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זינגר</w:t>
      </w:r>
      <w:r>
        <w:rPr>
          <w:sz w:val="28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FrankRuehl" w:hAnsi="FrankRuehl"/>
          <w:b/>
          <w:b/>
          <w:spacing w:val="0"/>
          <w:sz w:val="28"/>
          <w:sz w:val="28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9.12</w:t>
      </w:r>
      <w:r>
        <w:rPr>
          <w:sz w:val="28"/>
        </w:rPr>
        <w:t>.201</w:t>
      </w:r>
      <w:r>
        <w:rPr>
          <w:sz w:val="28"/>
        </w:rPr>
        <w:t>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28.4.2019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ונגזרו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ופיצוי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40,000</w:t>
      </w:r>
      <w:r>
        <w:rPr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₪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2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345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1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sz w:val="28"/>
          <w:rtl w:val="true"/>
        </w:rPr>
        <w:t>-</w:t>
      </w:r>
      <w:r>
        <w:rPr>
          <w:sz w:val="28"/>
        </w:rPr>
        <w:t>1977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ושומרון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אזרחית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ישראלית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טארק</w:t>
      </w:r>
      <w:r>
        <w:rPr>
          <w:sz w:val="28"/>
          <w:rtl w:val="true"/>
        </w:rPr>
        <w:t>).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15.8.2016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22:45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בקירוב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בירושלים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ונסעו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ביריחו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שלושתם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אכלו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בבריכה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לשירותים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וכשיצאה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המיטה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מכנסיה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ותחתוניה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ופשט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מכנסיו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נשכב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אחז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בחזקה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תנוחתו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ונשכב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אחז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בחזקה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והחדיר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לסיפוק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ושפך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שיעזוב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והתנגדה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שניסתה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להדוף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וברגליה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בידו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לסיפוקו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מהמיטה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קומי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אנחנו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צריכים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ללכת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ונכנסה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לרכבה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ונסעה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ירושלים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הנסיעה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ובמהלכה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למה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>" "</w:t>
      </w:r>
      <w:r>
        <w:rPr>
          <w:sz w:val="28"/>
          <w:sz w:val="28"/>
          <w:rtl w:val="true"/>
        </w:rPr>
        <w:t>החיה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שאצלך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זעים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נסערת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ובוכה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במענה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ביריחו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גרסאותיהם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שתם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ההיכרות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המוקדמת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מצומצמת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</w:t>
      </w:r>
      <w:r>
        <w:rPr>
          <w:sz w:val="28"/>
          <w:sz w:val="28"/>
          <w:rtl w:val="true"/>
        </w:rPr>
        <w:t>ית</w:t>
      </w:r>
      <w:r>
        <w:rPr>
          <w:sz w:val="28"/>
          <w:sz w:val="28"/>
          <w:rtl w:val="true"/>
        </w:rPr>
        <w:t>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משותף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פתאומי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לירושלים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נקודת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המחלוקת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שהציג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4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9.12.2018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המיוחסים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והרשיע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המרכזית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שהונחה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העדה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לפקפק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שמרנית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שמעבירים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בשתיית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צפייה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בסרטונים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וטבילה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בבריכה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וקבע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לגרסתה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עזיבתה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הפתאומית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תמיהה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5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מהמחלקה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לזיהוי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עצמאית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ומשמעותית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מתחתוניה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והושווה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לפרופיל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]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לתערובת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שהתקבלה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במוצג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בודדו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מתערובת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כרומוזום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</w:rPr>
        <w:t>y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והשוו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לנתונים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במאגר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481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נמצאה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]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שמקורו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אבהית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כמקור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שאופיין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ממוצג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כשלעצמה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עצמאית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ומשמעותית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לסבך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ולתרום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להוכחת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ניכרת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לתגובתה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לחסיין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מיריחו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>תמליל שיחת הטלפון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שהקובץ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במלואה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הקדימה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מנומסת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שהתנהלה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16.8.2016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ליריחו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דו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הפעולה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8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נסגרה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התלונה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הקודמת</w:t>
      </w:r>
      <w:r>
        <w:rPr>
          <w:sz w:val="28"/>
          <w:rtl w:val="true"/>
        </w:rPr>
        <w:t>).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רבותו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השתמע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טענ</w:t>
      </w:r>
      <w:r>
        <w:rPr>
          <w:sz w:val="28"/>
          <w:sz w:val="28"/>
          <w:rtl w:val="true"/>
        </w:rPr>
        <w:t>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מכר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למעורבים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ציפייה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בהמלצת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וזכריה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והצדדים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להסכמה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קודם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שנחשדו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המעורבים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נסגר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sz w:val="28"/>
          <w:rtl w:val="true"/>
        </w:rPr>
        <w:t xml:space="preserve">".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למיוחס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בהסכמתה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שהסכמתה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בתיאום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9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הבהירה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כשלעצמה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קשות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מהו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ובאילו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התחדדו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התמיהות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לחלקו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הקודם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מביאות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אובייקטיבי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ובלתי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הסותרות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)".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10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מלבד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היגיון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פנימי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המיישבים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המכונה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אינטימית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להינשא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עדותה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11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12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המבוגר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היעדר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קודמות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המשפחתי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והעסקי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הנורמטיבי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ושהייתו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בפיקוח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אלקטרוני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מאידך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גיסא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חרטה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בניכוי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פשע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ופיצוי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40,000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₪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נסב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13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טענתו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העיקרית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תמיכה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שנוצר</w:t>
      </w:r>
      <w:r>
        <w:rPr>
          <w:sz w:val="28"/>
          <w:rtl w:val="true"/>
        </w:rPr>
        <w:t>".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האמון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ממסקנתו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השמרני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משתייכים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שחקני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באותן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מערערות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שהחשיפה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ומעצימה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שמתעורר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מובהק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14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המארג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התמוה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מגבש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המגלה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דפוס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משותף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בידיעתה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לסדוק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שעוררה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בדפוס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שיטתי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15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5.8.2019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בטענה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בייצוג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המתבקש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ההודעה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המוסכמת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בהמלצת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שלטענתו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דפוס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הנטען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16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מרכזית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הדגשה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שנמצאו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תחתוניה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בתמיכה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עצמאית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ומשמעותית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תחתוניה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זרע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לפרופיל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המז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אפילו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ראייתית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17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בתמליל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כראיה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ששלחה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יישומון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rFonts w:cs="Times New Roman" w:ascii="Times New Roman" w:hAnsi="Times New Roman"/>
          <w:sz w:val="24"/>
          <w:szCs w:val="24"/>
        </w:rPr>
        <w:t>WhatsApp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שבכוחן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לטענתו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מומחה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החתימה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האלקטרונית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הקובץ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כקובץ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21.8.2016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).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הודעות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שכוללות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סתירות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ובעיקר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15.8.2016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21.8.2016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הוקלטה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יישומון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שמקליט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אוטומטי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ומוחק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</w:t>
      </w:r>
      <w:r>
        <w:rPr>
          <w:rFonts w:eastAsia="Arial TUR;Arial" w:cs="Arial TUR;Arial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הקלטות</w:t>
      </w:r>
      <w:r>
        <w:rPr>
          <w:sz w:val="28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עתירה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הסלולר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ונכנסות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20.8.2016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הערב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התייחסות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שנסיעתה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זעים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הממוצע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הסלולר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לבדוק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איכונם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המכשירים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שעות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19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חוסן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טורי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בצירוף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השמועה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16.8.2016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מטופלת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דיכאון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הכדורים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והנושא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לעומק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הסוציאלי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 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20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מצדיקות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למקם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התחתון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57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ועסקים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והדגיש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מבעיות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רפואיות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הגורמות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לעיוורון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21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הבקשה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בקריטריונים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המרשיעה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ומגמתי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המסתמכות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22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לגוף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המשיבה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מבוססת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להתמודד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מהסיטואציה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במהימנותה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ולרמוז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המתירני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סחיטה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הוצגה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שתתמוך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ושללה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להסכמה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סגירת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כזב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סחיטה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דפוס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הישר</w:t>
      </w:r>
      <w:r>
        <w:rPr>
          <w:sz w:val="28"/>
          <w:rtl w:val="true"/>
        </w:rPr>
        <w:t>.</w:t>
      </w:r>
    </w:p>
    <w:p>
      <w:pPr>
        <w:pStyle w:val="Ruller42"/>
        <w:widowControl w:val="false"/>
        <w:ind w:end="0"/>
        <w:jc w:val="both"/>
        <w:textAlignment w:val="auto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widowControl w:val="false"/>
        <w:ind w:end="0"/>
        <w:jc w:val="both"/>
        <w:textAlignment w:val="auto"/>
        <w:rPr>
          <w:sz w:val="28"/>
        </w:rPr>
      </w:pPr>
      <w:r>
        <w:rPr>
          <w:sz w:val="28"/>
        </w:rPr>
        <w:t>23</w:t>
      </w:r>
      <w:r>
        <w:rPr>
          <w:sz w:val="28"/>
          <w:rtl w:val="true"/>
        </w:rPr>
        <w:t>.</w:t>
        <w:tab/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</w:p>
    <w:p>
      <w:pPr>
        <w:pStyle w:val="Ruller42"/>
        <w:widowControl w:val="false"/>
        <w:ind w:end="0"/>
        <w:jc w:val="both"/>
        <w:textAlignment w:val="auto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לאחר עיון בפסק דינו של בית משפט קמא ובחומר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מצאתי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>התערב בתוצאה אליה הגיע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ומהטעמים שיפורטו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לדחות את הערעור על שני חלקיו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ייאמר כבר בפתח הדברים כי לא מצאתי להיעתר לבקשה להוספת ראיות בשלב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בקשתו של המערער כמוה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כפתיחת המשפט מחדש בטענה לכשל בייצוג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שלושה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בבואו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חדשה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הליכי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ערעור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האם הייתה אפשרות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להציג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בהליך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בערכאה </w:t>
      </w:r>
      <w:r>
        <w:rPr>
          <w:rFonts w:ascii="Century" w:hAnsi="Century" w:cs="Century"/>
          <w:rtl w:val="true"/>
        </w:rPr>
        <w:t>הקוד</w:t>
      </w:r>
      <w:r>
        <w:rPr>
          <w:rFonts w:ascii="Century" w:hAnsi="Century" w:cs="Century"/>
          <w:rtl w:val="true"/>
        </w:rPr>
        <w:t>מת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עקרון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סופיות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וטיבה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הראיה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הנוספת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והסיכוי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שהגשתה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בשלב הערעור </w:t>
      </w:r>
      <w:r>
        <w:rPr>
          <w:rFonts w:ascii="Century" w:hAnsi="Century" w:cs="Century"/>
          <w:rtl w:val="true"/>
        </w:rPr>
        <w:t>תביא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לשינוי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תוצאות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לדוגמה</w:t>
      </w:r>
      <w:r>
        <w:rPr>
          <w:rFonts w:cs="Century" w:ascii="Century" w:hAnsi="Century"/>
          <w:rtl w:val="true"/>
        </w:rPr>
        <w:t xml:space="preserve">, </w:t>
      </w:r>
      <w:hyperlink r:id="rId6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1742/91</w:t>
        </w:r>
        <w:r>
          <w:rPr>
            <w:rStyle w:val="Hyperlink"/>
            <w:sz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פופר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rtl w:val="true"/>
          </w:rPr>
          <w:t>,</w:t>
        </w:r>
        <w:r>
          <w:rPr>
            <w:rStyle w:val="Hyperlink"/>
            <w:rFonts w:cs="Miriam" w:ascii="Century" w:hAnsi="Century"/>
            <w:b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נא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289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296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>)</w:t>
      </w:r>
      <w:r>
        <w:rPr>
          <w:sz w:val="28"/>
          <w:rtl w:val="true"/>
        </w:rPr>
        <w:t xml:space="preserve">; </w:t>
      </w:r>
      <w:hyperlink r:id="rId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7556/15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קונקיוב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11.4.2019</w:t>
      </w:r>
      <w:r>
        <w:rPr>
          <w:sz w:val="28"/>
          <w:rtl w:val="true"/>
        </w:rPr>
        <w:t>)</w:t>
      </w:r>
      <w:r>
        <w:rPr>
          <w:sz w:val="28"/>
          <w:rtl w:val="true"/>
        </w:rPr>
        <w:t>).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אינו טוען כי לא היה באפשרותו להציג את הראיות שמבקש להציג עתה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וכדבריו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המדובר בראיות שסביר והייתה קיימת אפשרות להשיגן במסגרת ההליך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הדבר לא נעשה מסיבות שאינן ברורות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מעיון בפרוטוקול הדיון בבית משפט קמא עולה כי באת כוח המערער נמנעה באופן מכוון מהגשת הודעות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ויתרה על הגשת חומרי החקירה בתלונה הקודמת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הסכימה להגשת תמליל שיחת הטלפון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ונמנעה מחקירה נגדית של מומחית התביעה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אלא שהמערער טוען בשלב הערעור כנגד התנהלותה של באת כוחו בערכאה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שנקבע בעבר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החלפת ייצוג אינה פתח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מקצה שיפורים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בקו ההגנה שננקט על ידי הייצוג בערכאה הדיונית ולהעלאת רעיונות נוספים כחכמה שלאחר מעשה </w:t>
      </w:r>
      <w:r>
        <w:rPr>
          <w:rFonts w:cs="Century" w:ascii="Century" w:hAnsi="Century"/>
          <w:rtl w:val="true"/>
        </w:rPr>
        <w:t>(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678/07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3.7.2007</w:t>
      </w:r>
      <w:r>
        <w:rPr>
          <w:rFonts w:cs="Century" w:ascii="Century" w:hAnsi="Century"/>
          <w:rtl w:val="true"/>
        </w:rPr>
        <w:t xml:space="preserve">);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1385/06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6.4.2009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6986/13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25.6.2015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טענות המערער בנוגע לכשל בייצוג אינן מבוססות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והלכה היא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נטל כבד מוטל על הסנגור החדש להראות כי אכן נפל כשל ממשי בייצוג</w:t>
      </w:r>
      <w:r>
        <w:rPr>
          <w:rFonts w:cs="Century" w:ascii="Century" w:hAnsi="Century"/>
          <w:rtl w:val="true"/>
        </w:rPr>
        <w:t>" (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3683/06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25.6.2008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המוטל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בייצוג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להביא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עמדת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באת כוח המערער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ת</w:t>
      </w:r>
      <w:r>
        <w:rPr>
          <w:rFonts w:ascii="Century" w:hAnsi="Century" w:cs="Century"/>
          <w:rtl w:val="true"/>
        </w:rPr>
        <w:t>וכל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להגיב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הביקורת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המכוונת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כלפי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3546/05</w:t>
        </w:r>
      </w:hyperlink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22.11.2005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השיקול שעניינו בטיב הראיה והסיכוי כי זו תביא לשינוי תוצאת ההליך אינו מתקיים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הכרעת הדין התבססה בעיקר על עדותה של המתלוננת ומצבה הנפשי בסמוך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והראיות הנוספות היוו חיזוק בלבד לגרסתה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כך ארחיב בהמשך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26</w:t>
      </w:r>
      <w:r>
        <w:rPr>
          <w:sz w:val="28"/>
          <w:rtl w:val="true"/>
        </w:rPr>
        <w:t xml:space="preserve">. </w:t>
        <w:tab/>
      </w:r>
      <w:r>
        <w:rPr>
          <w:sz w:val="28"/>
          <w:sz w:val="28"/>
          <w:rtl w:val="true"/>
        </w:rPr>
        <w:t>אקדים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</w:t>
      </w:r>
      <w:r>
        <w:rPr>
          <w:sz w:val="28"/>
          <w:sz w:val="28"/>
          <w:rtl w:val="true"/>
        </w:rPr>
        <w:t>ת</w:t>
      </w:r>
      <w:r>
        <w:rPr>
          <w:sz w:val="28"/>
          <w:sz w:val="28"/>
          <w:rtl w:val="true"/>
        </w:rPr>
        <w:t>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מקובלת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מההלכה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בממצאי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ובקביעות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ההתערבות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ששלטה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sz w:val="28"/>
          <w:rtl w:val="true"/>
        </w:rPr>
        <w:t xml:space="preserve">,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מהטעם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>"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המתגלים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sz w:val="28"/>
          <w:rtl w:val="true"/>
        </w:rPr>
        <w:t xml:space="preserve">, 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2106/15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19.4.2016</w:t>
      </w:r>
      <w:r>
        <w:rPr>
          <w:rFonts w:cs="Century" w:ascii="Century" w:hAnsi="Century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; </w:t>
      </w:r>
      <w:hyperlink r:id="rId1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2840/17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ניאזוב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-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color w:val="000000"/>
          <w:sz w:val="27"/>
          <w:szCs w:val="27"/>
          <w:rtl w:val="true"/>
        </w:rPr>
        <w:t>,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והאסמכתאות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4.9.2018</w:t>
      </w:r>
      <w:r>
        <w:rPr>
          <w:sz w:val="28"/>
          <w:rtl w:val="true"/>
        </w:rPr>
        <w:t>)</w:t>
      </w:r>
      <w:r>
        <w:rPr>
          <w:sz w:val="28"/>
          <w:rtl w:val="true"/>
        </w:rPr>
        <w:t>).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תבחן דווקא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בקפדנות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יתרה</w:t>
      </w:r>
      <w:r>
        <w:rPr>
          <w:rFonts w:ascii="Times New Roman" w:hAnsi="Times New Roman" w:cs="Times New Roman"/>
          <w:rtl w:val="true"/>
        </w:rPr>
        <w:t xml:space="preserve"> את מסקנותיה של הערכאה הדיונית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וכי אין לקבוע 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פריורית כלל של התערבות מצומצמת בממצאי מהימנות שנקבעו על ידי הערכאה הדיונית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גרוניס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בתוארו אז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3250/10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cs="Times New Roman" w:ascii="Times New Roman" w:hAnsi="Times New Roman"/>
        </w:rPr>
        <w:t>12.1.2012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>השופט הנדל ב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7653/11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26.7.2012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ידען</w:t>
      </w:r>
      <w:r>
        <w:rPr>
          <w:rtl w:val="true"/>
        </w:rPr>
        <w:t>)).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שלישית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4487/10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13-12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6.11.2012</w:t>
      </w:r>
      <w:r>
        <w:rPr>
          <w:rFonts w:cs="Century" w:ascii="Century" w:hAnsi="Century"/>
          <w:rtl w:val="true"/>
        </w:rPr>
        <w:t>)),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זילברטל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סתירה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פירושה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בדקדקנות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ובקפדנות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כוח</w:t>
      </w:r>
      <w:r>
        <w:rPr>
          <w:rtl w:val="true"/>
        </w:rPr>
        <w:t xml:space="preserve">'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. </w:t>
      </w:r>
      <w:r>
        <w:rPr>
          <w:rtl w:val="true"/>
        </w:rPr>
        <w:t>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tl w:val="true"/>
        </w:rPr>
        <w:t>" (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5777/15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>,</w:t>
      </w:r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והאסמכתאות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8.8.2017</w:t>
      </w:r>
      <w:r>
        <w:rPr>
          <w:sz w:val="28"/>
          <w:rtl w:val="true"/>
        </w:rPr>
        <w:t xml:space="preserve">); </w:t>
      </w:r>
      <w:r>
        <w:rPr>
          <w:rtl w:val="true"/>
        </w:rPr>
        <w:t>לסקירת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1933/14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11.2.2015</w:t>
      </w:r>
      <w:r>
        <w:rPr>
          <w:rFonts w:cs="Century" w:ascii="Century" w:hAnsi="Century"/>
          <w:rtl w:val="true"/>
        </w:rPr>
        <w:t xml:space="preserve">);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8325/15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34-32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8.6.2017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27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</w:t>
      </w:r>
      <w:r>
        <w:rPr>
          <w:sz w:val="28"/>
          <w:sz w:val="28"/>
          <w:rtl w:val="true"/>
        </w:rPr>
        <w:t>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הארץ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לירושלים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להשתכר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מזדמנות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</w:t>
      </w:r>
      <w:r>
        <w:rPr>
          <w:sz w:val="28"/>
          <w:sz w:val="28"/>
          <w:rtl w:val="true"/>
        </w:rPr>
        <w:t>פרוע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כירה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כשנתיים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להתייעץ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נ</w:t>
      </w:r>
      <w:r>
        <w:rPr>
          <w:sz w:val="28"/>
          <w:sz w:val="28"/>
          <w:rtl w:val="true"/>
        </w:rPr>
        <w:t>סוע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מכונית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מבעיות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בעיניו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</w:t>
      </w:r>
      <w:r>
        <w:rPr>
          <w:sz w:val="28"/>
          <w:sz w:val="28"/>
          <w:rtl w:val="true"/>
        </w:rPr>
        <w:t>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נרגילה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ומוזיקה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טבעית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רגיל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משהו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ורקדה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מסרה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והכחישה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שהראתה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סרטונים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נצפ</w:t>
      </w:r>
      <w:r>
        <w:rPr>
          <w:sz w:val="28"/>
          <w:sz w:val="28"/>
          <w:rtl w:val="true"/>
        </w:rPr>
        <w:t>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ורוקדת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במועדונים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לבריכה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לשירותים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וכשיצאה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שמתאימים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לרחיצה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בבריכה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ולחסיין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סתם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תיאום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)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"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והטיחה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וכועסת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ומאז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</w:rPr>
        <w:t>28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סתירות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הודעת</w:t>
      </w:r>
      <w:r>
        <w:rPr>
          <w:sz w:val="28"/>
          <w:sz w:val="28"/>
          <w:rtl w:val="true"/>
        </w:rPr>
        <w:t>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שיזם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ליריחו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ובעדות</w:t>
      </w:r>
      <w:r>
        <w:rPr>
          <w:sz w:val="28"/>
          <w:sz w:val="28"/>
          <w:rtl w:val="true"/>
        </w:rPr>
        <w:t>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הרגישה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בנקודת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מסוימת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ששתתה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הודעתה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מטופלת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פסיכיאטרית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הנגדית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ליטול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16.</w:t>
      </w:r>
      <w:r>
        <w:rPr>
          <w:sz w:val="28"/>
        </w:rPr>
        <w:t>8.</w:t>
      </w:r>
      <w:r>
        <w:rPr>
          <w:sz w:val="28"/>
        </w:rPr>
        <w:t>201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מטופלת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דיכאון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הכדורים</w:t>
      </w:r>
      <w:r>
        <w:rPr>
          <w:sz w:val="28"/>
          <w:rtl w:val="true"/>
        </w:rPr>
        <w:t xml:space="preserve">".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בחנתי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שיצדיק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ההתערבות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הסתירות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לשיחתה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ומאוחר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להיפגש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בנוגע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ששתתה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נזכרה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בהודעתה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בתשובה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הנגדית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האלכוהול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משהו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חושבת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"; </w:t>
      </w:r>
      <w:r>
        <w:rPr>
          <w:sz w:val="28"/>
          <w:sz w:val="28"/>
          <w:rtl w:val="true"/>
        </w:rPr>
        <w:t>ובאשר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לנטילת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פסיכיאטריות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מתשובתה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תופעות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לוואי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בסתירות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</w:r>
      <w:r>
        <w:rPr>
          <w:rFonts w:cs="Miriam" w:ascii="Miriam" w:hAnsi="Miriam"/>
          <w:sz w:val="24"/>
          <w:szCs w:val="24"/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שהניעוהו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תמליל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ועדויותיהם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b/>
          <w:bCs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30</w:t>
      </w:r>
      <w:r>
        <w:rPr>
          <w:sz w:val="28"/>
          <w:rtl w:val="true"/>
        </w:rPr>
        <w:t>.</w:t>
        <w:tab/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שהעדיף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כשלעצמה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להתארח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בחורה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כמעט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בשתיית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ועישון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נרגילה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שלשיטת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המסכת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תרחישים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האונס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הנוכחי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דפוס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שיטתי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לטענתו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לסחוט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הוסכם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דפוס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סחיטה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התרחישים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סותרים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כשלעצמה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תרחישים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התרחיש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שהכחיש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הסחיטה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המאפיין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הסחיטה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סחיטה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נסחט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מאחורי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מכאן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שתרחיש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הסחיטה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נשארנו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גרסאות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ידוע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בכעס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התקשרה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והטיחה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ובוכיי</w:t>
      </w:r>
      <w:r>
        <w:rPr>
          <w:sz w:val="28"/>
          <w:sz w:val="28"/>
          <w:rtl w:val="true"/>
        </w:rPr>
        <w:t>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זעים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b/>
          <w:bCs/>
          <w:sz w:val="28"/>
        </w:rPr>
      </w:pPr>
      <w:r>
        <w:rPr>
          <w:sz w:val="28"/>
        </w:rPr>
        <w:t>31</w:t>
      </w:r>
      <w:r>
        <w:rPr>
          <w:sz w:val="28"/>
          <w:rtl w:val="true"/>
        </w:rPr>
        <w:t>.</w:t>
        <w:tab/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במאמר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מוסגר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תביעה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בפתח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לאמינותו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וייחקר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</w:t>
      </w:r>
      <w:r>
        <w:rPr>
          <w:sz w:val="28"/>
          <w:sz w:val="28"/>
          <w:rtl w:val="true"/>
        </w:rPr>
        <w:t>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התנגדה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בניגוד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חריף</w:t>
      </w:r>
      <w:r>
        <w:rPr>
          <w:sz w:val="28"/>
          <w:rtl w:val="true"/>
        </w:rPr>
        <w:t xml:space="preserve">). </w:t>
      </w:r>
    </w:p>
    <w:p>
      <w:pPr>
        <w:pStyle w:val="Ruller42"/>
        <w:ind w:end="0"/>
        <w:jc w:val="both"/>
        <w:rPr>
          <w:sz w:val="28"/>
        </w:rPr>
      </w:pPr>
      <w:r>
        <w:rPr>
          <w:rFonts w:eastAsia="Arial TUR;Arial" w:cs="Arial TUR;Arial"/>
          <w:b/>
          <w:bCs/>
          <w:sz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הכלכליים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גדול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לדבריו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כבעייתי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תפקודו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הלקוי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כספי</w:t>
      </w:r>
      <w:r>
        <w:rPr>
          <w:sz w:val="28"/>
          <w:sz w:val="28"/>
          <w:rtl w:val="true"/>
        </w:rPr>
        <w:t>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הלוואה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ועזרתו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התבטאה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שהזמין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למסעדות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קפה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שטף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ותדלק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לשמוע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הבעיות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שיעזור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מצוא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חתן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</w:t>
      </w:r>
      <w:r>
        <w:rPr>
          <w:sz w:val="28"/>
          <w:sz w:val="28"/>
          <w:rtl w:val="true"/>
        </w:rPr>
        <w:t>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א</w:t>
      </w:r>
      <w:r>
        <w:rPr>
          <w:sz w:val="28"/>
          <w:sz w:val="28"/>
          <w:rtl w:val="true"/>
        </w:rPr>
        <w:t>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למטרת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נישואין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יומיים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</w:t>
      </w:r>
      <w:r>
        <w:rPr>
          <w:sz w:val="28"/>
          <w:sz w:val="28"/>
          <w:rtl w:val="true"/>
        </w:rPr>
        <w:t>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נאנסה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בהודעתו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16.8.2016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שבועיים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תוציא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מיליו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התייעצה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בנושא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עלא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'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תביעה</w:t>
      </w:r>
      <w:r>
        <w:rPr>
          <w:sz w:val="28"/>
          <w:rtl w:val="true"/>
        </w:rPr>
        <w:t>".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sz w:val="28"/>
          <w:rtl w:val="true"/>
        </w:rPr>
        <w:t xml:space="preserve"> 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משותף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ובהזדמנות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sz w:val="28"/>
          <w:rtl w:val="true"/>
        </w:rPr>
        <w:t>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בעסקיו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לבלות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לחסוך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הכרוכות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בבילוי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האלכוהול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חשבונו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בחנות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שיארח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כרגע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מחפשת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ואנחנו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לשתות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אצלך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משהו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מהצרות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כשהגיעו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התבלבלו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בסמטאות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למצוא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בעבר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ושתיה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והכין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נרגילה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מוזיקה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רמקול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ולרקוד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הרמקול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2:00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וליטול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הכדורים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הקבועים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הפצירה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להישא</w:t>
      </w:r>
      <w:r>
        <w:rPr>
          <w:sz w:val="28"/>
          <w:sz w:val="28"/>
          <w:rtl w:val="true"/>
        </w:rPr>
        <w:t>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מבסוטה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אלגנטי</w:t>
      </w:r>
      <w:r>
        <w:rPr>
          <w:sz w:val="28"/>
          <w:rtl w:val="true"/>
        </w:rPr>
        <w:t xml:space="preserve">".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3:30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לבריכה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להחליף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ותצטרף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נמצאת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מדבריו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השולחן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</w:t>
      </w:r>
      <w:r>
        <w:rPr>
          <w:sz w:val="28"/>
          <w:sz w:val="28"/>
          <w:rtl w:val="true"/>
        </w:rPr>
        <w:t>וטף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בשירותים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במטב</w:t>
      </w:r>
      <w:r>
        <w:rPr>
          <w:sz w:val="28"/>
          <w:sz w:val="28"/>
          <w:rtl w:val="true"/>
        </w:rPr>
        <w:t>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ולשאלת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לבסוף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בעשר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]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המטבח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פתאום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בכעס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מניאק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עכשיו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בהמשך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בטלפון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בלחץ</w:t>
      </w:r>
      <w:r>
        <w:rPr>
          <w:sz w:val="28"/>
          <w:rtl w:val="true"/>
        </w:rPr>
        <w:t xml:space="preserve">".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במלאכת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ניקיון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המטבח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בעקבותיה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מחשש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sz w:val="28"/>
          <w:rtl w:val="true"/>
        </w:rPr>
        <w:t>שלומה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האלכוהול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ששתתה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עכשיו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שתויה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באונס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יחסי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בהסכמה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רמז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לדבריו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יומיים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וסיפר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לראשונה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שנפגש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ולדבריו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רמאית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שחקנית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ופעם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גנבה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5,000</w:t>
      </w:r>
      <w:r>
        <w:rPr>
          <w:sz w:val="28"/>
          <w:rtl w:val="true"/>
        </w:rPr>
        <w:t xml:space="preserve"> ₪. </w:t>
      </w:r>
      <w:r>
        <w:rPr>
          <w:sz w:val="28"/>
          <w:sz w:val="28"/>
          <w:rtl w:val="true"/>
        </w:rPr>
        <w:t>לדברי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סיפור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שר</w:t>
      </w:r>
      <w:r>
        <w:rPr>
          <w:sz w:val="28"/>
          <w:sz w:val="28"/>
          <w:rtl w:val="true"/>
        </w:rPr>
        <w:t>ח</w:t>
      </w:r>
      <w:r>
        <w:rPr>
          <w:sz w:val="28"/>
          <w:sz w:val="28"/>
          <w:rtl w:val="true"/>
        </w:rPr>
        <w:t>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לכן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להלביש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</w:t>
      </w:r>
      <w:r>
        <w:rPr>
          <w:sz w:val="28"/>
          <w:sz w:val="28"/>
          <w:rtl w:val="true"/>
        </w:rPr>
        <w:t>א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".</w:t>
      </w:r>
      <w:r>
        <w:rPr>
          <w:sz w:val="28"/>
          <w:rtl w:val="true"/>
        </w:rPr>
        <w:t xml:space="preserve">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32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הארכתי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קמעא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בפירוט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יזם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המפגש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תשפוך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למתלוננת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התפקיד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מפגש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נהפוך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התיאור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הסתלקותה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מהבית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בגרסתה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סערת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שבגינו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בחפזה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ובכעס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33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הכחישה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שתוכנה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הזדמנויות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לראשונה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כשבועיים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מטרת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מסתכמת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וניהל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אינטימי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תומכת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בתזת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דפוס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הפעולה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לסחיטה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נהפוך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לדבריו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להינשא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ריאד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עיסוק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בהיסטוריה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להשחיר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דמותה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מהימנותה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34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לדידי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ולהותיר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מכונם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הנוספות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35</w:t>
      </w:r>
      <w:r>
        <w:rPr>
          <w:sz w:val="28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בבדיקת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נבדקה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דגימה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מתחתוניה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דגימת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שנלקחה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מאיבר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ביוכימית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התגלה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בתחתוניה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ובהסתכלות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מיקרוסקופית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מהתחתונים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ומהמטושים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נצפו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שבדיון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26.12.2019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הנדגם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מהמטוש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בבדיקות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-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STR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לזיהוי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בחומר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תערובת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פרופילי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שמקורה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הפרופיל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הבולט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בתערובת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פרופיל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והמסקנות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בתערובת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]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לתערובת</w:t>
      </w:r>
      <w:r>
        <w:rPr>
          <w:sz w:val="28"/>
          <w:rtl w:val="true"/>
        </w:rPr>
        <w:t xml:space="preserve">".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מהאתרים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שנבדקו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2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5459/09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17-20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20.7.2015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המומחית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בדגימה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המכילה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פרופיל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ויחיד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תערובות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פרופילים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סטטיסטיקה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פוזיטיבי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לתרומתו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לתערובת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הפרופילים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  <w:sz w:val="28"/>
        </w:rPr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בשל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הקושי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לזהות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הפרופיל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הנוסף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בתערובת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הפרופילים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נערכה בדיקה נוספת שמבודדת מהתערובת את הפרופיל של המתלוננת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ובוחנת את כרומוזום </w:t>
      </w:r>
      <w:r>
        <w:rPr>
          <w:rFonts w:cs="FrankRuehl" w:ascii="FrankRuehl" w:hAnsi="FrankRuehl"/>
          <w:sz w:val="28"/>
        </w:rPr>
        <w:t>Y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בלבד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23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את</w:t>
      </w:r>
      <w:r>
        <w:rPr>
          <w:rFonts w:ascii="FrankRuehl" w:hAnsi="FrankRuehl"/>
          <w:sz w:val="28"/>
          <w:sz w:val="28"/>
          <w:rtl w:val="true"/>
        </w:rPr>
        <w:t>רים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מטרת הבדיקה הייתה ל</w:t>
      </w:r>
      <w:r>
        <w:rPr>
          <w:rFonts w:ascii="FrankRuehl" w:hAnsi="FrankRuehl"/>
          <w:sz w:val="28"/>
          <w:sz w:val="28"/>
          <w:rtl w:val="true"/>
        </w:rPr>
        <w:t xml:space="preserve">בחון </w:t>
      </w:r>
      <w:r>
        <w:rPr>
          <w:rFonts w:ascii="FrankRuehl" w:hAnsi="FrankRuehl"/>
          <w:sz w:val="28"/>
          <w:sz w:val="28"/>
          <w:rtl w:val="true"/>
        </w:rPr>
        <w:t>אם</w:t>
      </w:r>
      <w:r>
        <w:rPr>
          <w:rFonts w:ascii="FrankRuehl" w:hAnsi="FrankRuehl"/>
          <w:sz w:val="28"/>
          <w:sz w:val="28"/>
          <w:rtl w:val="true"/>
        </w:rPr>
        <w:t xml:space="preserve"> ישנה התאמה בין הפרופיל </w:t>
      </w:r>
      <w:r>
        <w:rPr>
          <w:rFonts w:ascii="FrankRuehl" w:hAnsi="FrankRuehl"/>
          <w:sz w:val="28"/>
          <w:sz w:val="28"/>
          <w:rtl w:val="true"/>
        </w:rPr>
        <w:t>שהופק</w:t>
      </w:r>
      <w:r>
        <w:rPr>
          <w:rFonts w:ascii="FrankRuehl" w:hAnsi="FrankRuehl"/>
          <w:sz w:val="28"/>
          <w:sz w:val="28"/>
          <w:rtl w:val="true"/>
        </w:rPr>
        <w:t xml:space="preserve"> לפרופיל אחר הקיים במאגר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הבדיקה נערכה בעיקר מהדגימה שהופקה מתחתוניה של המתלוננת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שבה ניתן היה לזהות יותר בקלות את כרומוזום </w:t>
      </w:r>
      <w:r>
        <w:rPr>
          <w:rFonts w:cs="FrankRuehl" w:ascii="FrankRuehl" w:hAnsi="FrankRuehl"/>
          <w:sz w:val="28"/>
        </w:rPr>
        <w:t>Y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ללא המיסוך המשמעותי של הדנ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א </w:t>
      </w:r>
      <w:r>
        <w:rPr>
          <w:rFonts w:ascii="FrankRuehl" w:hAnsi="FrankRuehl"/>
          <w:sz w:val="28"/>
          <w:sz w:val="28"/>
          <w:rtl w:val="true"/>
        </w:rPr>
        <w:t>השייך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למתלוננת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בחומר </w:t>
      </w:r>
      <w:r>
        <w:rPr>
          <w:rFonts w:ascii="FrankRuehl" w:hAnsi="FrankRuehl"/>
          <w:sz w:val="28"/>
          <w:sz w:val="28"/>
          <w:rtl w:val="true"/>
        </w:rPr>
        <w:t>זה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התקבל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פרופיל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דנ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מכרומוזום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Y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יחיד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וזהה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</w:t>
      </w:r>
      <w:r>
        <w:rPr>
          <w:rFonts w:ascii="FrankRuehl" w:hAnsi="FrankRuehl"/>
          <w:sz w:val="28"/>
          <w:sz w:val="28"/>
          <w:rtl w:val="true"/>
        </w:rPr>
        <w:t>הושווה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למאגר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הפרופילים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המכיל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11,393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זכרים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ולא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נמצא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אף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פרופיל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תואם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לעומת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זאת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בהשוואה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לנתוני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כרומוזום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Y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17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אתרים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באוכלוסייה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הישראלית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המונים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481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פרטים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נמצאה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התאמה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אחת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לפרופיל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שהתקבל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מהחומר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והיא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אדם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הנושא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משפחתו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המערער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המסקנה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מבדיקה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היא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כי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לא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ניתן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לשלול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[</w:t>
      </w:r>
      <w:r>
        <w:rPr>
          <w:rFonts w:ascii="FrankRuehl" w:hAnsi="FrankRuehl"/>
          <w:sz w:val="28"/>
          <w:sz w:val="28"/>
          <w:rtl w:val="true"/>
        </w:rPr>
        <w:t>המערער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י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ascii="FrankRuehl" w:hAnsi="FrankRuehl"/>
          <w:sz w:val="28"/>
          <w:sz w:val="28"/>
          <w:rtl w:val="true"/>
        </w:rPr>
        <w:t>ע</w:t>
      </w:r>
      <w:r>
        <w:rPr>
          <w:rFonts w:cs="FrankRuehl" w:ascii="FrankRuehl" w:hAnsi="FrankRuehl"/>
          <w:sz w:val="28"/>
          <w:rtl w:val="true"/>
        </w:rPr>
        <w:t xml:space="preserve">] </w:t>
      </w:r>
      <w:r>
        <w:rPr>
          <w:rFonts w:ascii="FrankRuehl" w:hAnsi="FrankRuehl"/>
          <w:sz w:val="28"/>
          <w:sz w:val="28"/>
          <w:rtl w:val="true"/>
        </w:rPr>
        <w:t>או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זכר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קרוב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משפחה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שמקורו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באותה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שושלת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אבהית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כמקור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לחומר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שאופיין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ממוצג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בבדיקה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זו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 xml:space="preserve">המומחית הבהירה כי </w:t>
      </w:r>
      <w:r>
        <w:rPr>
          <w:rFonts w:ascii="FrankRuehl" w:hAnsi="FrankRuehl"/>
          <w:sz w:val="28"/>
          <w:sz w:val="28"/>
          <w:rtl w:val="true"/>
        </w:rPr>
        <w:t>פרופיל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</w:rPr>
        <w:t>Y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עובר מאב לבן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וכן כל מה שיש בידינו הוא שמדובר בנצר לאותה שושלת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בהתחשב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בכך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שהמערער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לא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נשלל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לחלוטין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כתורם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אפשרי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בהסתברות הנמוכה שהמתלוננת נפגשה עם נצר למשפחת המערער באותו הערב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באזור האינטימי</w:t>
      </w:r>
      <w:r>
        <w:rPr>
          <w:rFonts w:ascii="FrankRuehl" w:hAnsi="FrankRuehl"/>
          <w:sz w:val="28"/>
          <w:sz w:val="28"/>
          <w:rtl w:val="true"/>
        </w:rPr>
        <w:t xml:space="preserve"> ממנו הדגימה נלקחה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 xml:space="preserve">ובהתחשב בגרסת המערער כי לא קיים עם המתלוננת מגע אינטימי כלשהו – </w:t>
      </w:r>
      <w:r>
        <w:rPr>
          <w:rFonts w:ascii="FrankRuehl" w:hAnsi="FrankRuehl"/>
          <w:sz w:val="28"/>
          <w:sz w:val="28"/>
          <w:rtl w:val="true"/>
        </w:rPr>
        <w:t xml:space="preserve">דומה כי </w:t>
      </w:r>
      <w:r>
        <w:rPr>
          <w:rFonts w:ascii="FrankRuehl" w:hAnsi="FrankRuehl"/>
          <w:sz w:val="28"/>
          <w:sz w:val="28"/>
          <w:rtl w:val="true"/>
        </w:rPr>
        <w:t>יש בממצא זה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אם אין מדובר בתאי זרע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עוד תוספת ראייתית התומכת </w:t>
      </w:r>
      <w:r>
        <w:rPr>
          <w:rFonts w:ascii="FrankRuehl" w:hAnsi="FrankRuehl"/>
          <w:sz w:val="28"/>
          <w:sz w:val="28"/>
          <w:rtl w:val="true"/>
        </w:rPr>
        <w:t>בגרסת</w:t>
      </w:r>
      <w:r>
        <w:rPr>
          <w:rFonts w:ascii="FrankRuehl" w:hAnsi="FrankRuehl"/>
          <w:sz w:val="28"/>
          <w:sz w:val="28"/>
          <w:rtl w:val="true"/>
        </w:rPr>
        <w:t xml:space="preserve"> המתלוננת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הגם שמשקלה נמוך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sz w:val="28"/>
        </w:rPr>
        <w:t>37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rFonts w:cs="Miriam"/>
          <w:b/>
          <w:b/>
          <w:rtl w:val="true"/>
        </w:rPr>
        <w:t>תמליל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שיחת</w:t>
      </w:r>
      <w:r>
        <w:rPr>
          <w:rFonts w:cs="Times New Roman"/>
          <w:b/>
          <w:b/>
          <w:rtl w:val="true"/>
        </w:rPr>
        <w:t xml:space="preserve"> </w:t>
      </w:r>
      <w:r>
        <w:rPr>
          <w:rFonts w:cs="Miriam"/>
          <w:b/>
          <w:b/>
          <w:rtl w:val="true"/>
        </w:rPr>
        <w:t>הטלפון</w:t>
      </w:r>
      <w:r>
        <w:rPr>
          <w:sz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בשלמותו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חסיין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חסיין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</w:t>
      </w:r>
      <w:r>
        <w:rPr>
          <w:rtl w:val="true"/>
        </w:rPr>
        <w:t>א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החיה</w:t>
      </w:r>
      <w:r>
        <w:rPr>
          <w:rtl w:val="true"/>
        </w:rPr>
        <w:t xml:space="preserve">)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שאצלך</w:t>
      </w:r>
    </w:p>
    <w:p>
      <w:pPr>
        <w:pStyle w:val="Ruller51"/>
        <w:ind w:end="1282"/>
        <w:jc w:val="both"/>
        <w:rPr/>
      </w:pPr>
      <w:r>
        <w:rPr>
          <w:rtl w:val="true"/>
        </w:rPr>
        <w:t>חסיין</w:t>
      </w:r>
      <w:r>
        <w:rPr>
          <w:rtl w:val="true"/>
        </w:rPr>
        <w:t xml:space="preserve">: </w:t>
      </w:r>
      <w:r>
        <w:rPr>
          <w:rtl w:val="true"/>
        </w:rPr>
        <w:t>הלוו</w:t>
      </w:r>
    </w:p>
    <w:p>
      <w:pPr>
        <w:pStyle w:val="Ruller51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</w:p>
    <w:p>
      <w:pPr>
        <w:pStyle w:val="Ruller51"/>
        <w:ind w:end="1282"/>
        <w:jc w:val="both"/>
        <w:rPr/>
      </w:pPr>
      <w:r>
        <w:rPr>
          <w:rtl w:val="true"/>
        </w:rPr>
        <w:t>חסיין</w:t>
      </w:r>
      <w:r>
        <w:rPr>
          <w:rtl w:val="true"/>
        </w:rPr>
        <w:t xml:space="preserve">: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>.. (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)</w:t>
      </w:r>
      <w:r>
        <w:rPr>
          <w:rtl w:val="true"/>
        </w:rPr>
        <w:t>".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אותנטית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הפקתה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בעצמה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לאירוע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שהתקיימה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התקשר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בהתחלה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התשובה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תשובה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>איפה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sz w:val="28"/>
          <w:rtl w:val="true"/>
        </w:rPr>
        <w:t xml:space="preserve">? </w:t>
      </w:r>
      <w:r>
        <w:rPr>
          <w:sz w:val="28"/>
          <w:sz w:val="28"/>
          <w:rtl w:val="true"/>
        </w:rPr>
        <w:t>זהו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אמר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שוחח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תמליל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בקווים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הקובץ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במלואה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בהטחת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עשיתם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כתמיכה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38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השוטרים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זעים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השוטרת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16.8.2016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ומהודעתו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19.8.2016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</w:rPr>
        <w:t>X5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וסיפרה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יפ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טארק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חסיין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</w:t>
      </w:r>
      <w:r>
        <w:rPr>
          <w:sz w:val="28"/>
          <w:rtl w:val="true"/>
        </w:rPr>
        <w:t>.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יריחו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נ</w:t>
      </w:r>
      <w:r>
        <w:rPr>
          <w:sz w:val="28"/>
          <w:sz w:val="28"/>
          <w:rtl w:val="true"/>
        </w:rPr>
        <w:t>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16.8.2016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מירושלים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חוסן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טורי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שאנס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זעים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התלונה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המחסום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והעביר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טיפול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רפואי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לבקשתה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הצופים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6:31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בוקר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תיאר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התרשמותו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כמפוחדת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בגמגום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נאנסה</w:t>
      </w:r>
      <w:r>
        <w:rPr>
          <w:sz w:val="28"/>
          <w:rtl w:val="true"/>
        </w:rPr>
        <w:t>/</w:t>
      </w:r>
      <w:r>
        <w:rPr>
          <w:sz w:val="28"/>
          <w:sz w:val="28"/>
          <w:rtl w:val="true"/>
        </w:rPr>
        <w:t>הותקפה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יריחו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מהדו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ליריחו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חוסן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טורי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בצירוף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בדיווח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גדולה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לפערים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שזהו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המהווה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השמועה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ובעיקר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בדו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פרטים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בקושי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שיתפה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מפוחדת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לתקשר</w:t>
      </w:r>
      <w:r>
        <w:rPr>
          <w:sz w:val="28"/>
          <w:rtl w:val="true"/>
        </w:rPr>
        <w:t xml:space="preserve">". </w:t>
      </w:r>
      <w:r>
        <w:rPr>
          <w:sz w:val="28"/>
          <w:sz w:val="28"/>
          <w:rtl w:val="true"/>
        </w:rPr>
        <w:t>אזכיר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מחסום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זעים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ובמזכר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19.8.2016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התואמות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sz w:val="28"/>
          <w:rtl w:val="true"/>
        </w:rPr>
        <w:t xml:space="preserve">. </w:t>
      </w:r>
    </w:p>
    <w:p>
      <w:pPr>
        <w:pStyle w:val="Ruller51"/>
        <w:ind w:end="1282"/>
        <w:jc w:val="both"/>
        <w:rPr>
          <w:sz w:val="28"/>
        </w:rPr>
      </w:pPr>
      <w:r>
        <w:rPr>
          <w:rFonts w:eastAsia="Arial TUR;Arial" w:cs="Arial TUR;Arial"/>
          <w:sz w:val="28"/>
          <w:rtl w:val="true"/>
        </w:rPr>
        <w:t xml:space="preserve">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39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לסיכום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כנה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8"/>
          <w:szCs w:val="24"/>
        </w:rPr>
      </w:pPr>
      <w:r>
        <w:rPr>
          <w:rFonts w:cs="Miriam" w:ascii="Century" w:hAnsi="Century"/>
          <w:b/>
          <w:spacing w:val="0"/>
          <w:sz w:val="28"/>
          <w:szCs w:val="24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40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בניכוי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ופיצוי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</w:t>
      </w:r>
      <w:r>
        <w:rPr>
          <w:sz w:val="28"/>
          <w:sz w:val="28"/>
          <w:rtl w:val="true"/>
        </w:rPr>
        <w:t>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40</w:t>
      </w:r>
      <w:r>
        <w:rPr>
          <w:sz w:val="28"/>
        </w:rPr>
        <w:t>,000</w:t>
      </w:r>
      <w:r>
        <w:rPr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₪</w:t>
      </w:r>
      <w:r>
        <w:rPr>
          <w:sz w:val="28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ידועה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מתערבת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sz w:val="28"/>
          <w:rtl w:val="true"/>
        </w:rPr>
        <w:t xml:space="preserve">, </w:t>
      </w:r>
      <w:hyperlink r:id="rId22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3091/08</w:t>
        </w:r>
        <w:r>
          <w:rPr>
            <w:rStyle w:val="Hyperlink"/>
            <w:sz w:val="28"/>
            <w:rtl w:val="true"/>
          </w:rPr>
          <w:t xml:space="preserve"> 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והאסמכתאות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29.1.2009</w:t>
      </w:r>
      <w:r>
        <w:rPr>
          <w:sz w:val="28"/>
          <w:rtl w:val="true"/>
        </w:rPr>
        <w:t>)</w:t>
      </w:r>
      <w:r>
        <w:rPr>
          <w:sz w:val="28"/>
          <w:rtl w:val="true"/>
        </w:rPr>
        <w:t>;</w:t>
      </w:r>
      <w:r>
        <w:rPr>
          <w:sz w:val="28"/>
          <w:rtl w:val="true"/>
        </w:rPr>
        <w:t xml:space="preserve"> 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5221/13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והאסמכתאות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27.10.2014</w:t>
      </w:r>
      <w:r>
        <w:rPr>
          <w:sz w:val="28"/>
          <w:rtl w:val="true"/>
        </w:rPr>
        <w:t>)</w:t>
      </w:r>
      <w:r>
        <w:rPr>
          <w:sz w:val="28"/>
          <w:rtl w:val="true"/>
        </w:rPr>
        <w:t>).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בתסקיר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ובתסקיר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</w:t>
      </w:r>
      <w:r>
        <w:rPr>
          <w:sz w:val="28"/>
          <w:sz w:val="28"/>
          <w:rtl w:val="true"/>
        </w:rPr>
        <w:t>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המצדיקה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. 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41</w:t>
      </w:r>
      <w:r>
        <w:rPr>
          <w:sz w:val="28"/>
          <w:rtl w:val="true"/>
        </w:rPr>
        <w:t>.</w:t>
      </w: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מפורט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עומד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נאנסה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בביתו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מתסקיר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אדרבה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ובתקופה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בפיקוח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אלקטרוני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מצאתי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שבוארו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לחבריי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לדחות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הערעור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חלקיו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u w:val="single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 ת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u w:val="single"/>
        </w:rPr>
      </w:pPr>
      <w:r>
        <w:rPr>
          <w:rFonts w:ascii="Century" w:hAnsi="Century" w:cs="Century"/>
          <w:u w:val="single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u w:val="single"/>
        </w:rPr>
      </w:pPr>
      <w:r>
        <w:rPr>
          <w:rFonts w:cs="Century" w:ascii="Century" w:hAnsi="Century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bookmarkStart w:id="17" w:name="Nitan"/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באייר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30.4.2020</w:t>
      </w:r>
      <w:r>
        <w:rPr>
          <w:rFonts w:cs="Century" w:ascii="Century" w:hAnsi="Century"/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19039660</w:t>
      </w:r>
      <w:r>
        <w:rPr>
          <w:sz w:val="16"/>
          <w:rtl w:val="true"/>
        </w:rPr>
        <w:t>_</w:t>
      </w:r>
      <w:r>
        <w:rPr>
          <w:sz w:val="16"/>
        </w:rPr>
        <w:t>E13.docx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54678313-3966/19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3966/19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sz w:val="28"/>
    </w:rPr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1">
    <w:name w:val="מהדורה1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88915" TargetMode="External"/><Relationship Id="rId7" Type="http://schemas.openxmlformats.org/officeDocument/2006/relationships/hyperlink" Target="http://www.nevo.co.il/case/21472902" TargetMode="External"/><Relationship Id="rId8" Type="http://schemas.openxmlformats.org/officeDocument/2006/relationships/hyperlink" Target="http://www.nevo.co.il/case/6247352" TargetMode="External"/><Relationship Id="rId9" Type="http://schemas.openxmlformats.org/officeDocument/2006/relationships/hyperlink" Target="http://www.nevo.co.il/case/6199527" TargetMode="External"/><Relationship Id="rId10" Type="http://schemas.openxmlformats.org/officeDocument/2006/relationships/hyperlink" Target="http://www.nevo.co.il/case/8291901" TargetMode="External"/><Relationship Id="rId11" Type="http://schemas.openxmlformats.org/officeDocument/2006/relationships/hyperlink" Target="http://www.nevo.co.il/case/6215276" TargetMode="External"/><Relationship Id="rId12" Type="http://schemas.openxmlformats.org/officeDocument/2006/relationships/hyperlink" Target="http://www.nevo.co.il/case/5901710" TargetMode="External"/><Relationship Id="rId13" Type="http://schemas.openxmlformats.org/officeDocument/2006/relationships/hyperlink" Target="http://www.nevo.co.il/case/20138627" TargetMode="External"/><Relationship Id="rId14" Type="http://schemas.openxmlformats.org/officeDocument/2006/relationships/hyperlink" Target="http://www.nevo.co.il/case/22505950" TargetMode="External"/><Relationship Id="rId15" Type="http://schemas.openxmlformats.org/officeDocument/2006/relationships/hyperlink" Target="http://www.nevo.co.il/case/5951406" TargetMode="External"/><Relationship Id="rId16" Type="http://schemas.openxmlformats.org/officeDocument/2006/relationships/hyperlink" Target="http://www.nevo.co.il/case/5603199" TargetMode="External"/><Relationship Id="rId17" Type="http://schemas.openxmlformats.org/officeDocument/2006/relationships/hyperlink" Target="http://www.nevo.co.il/case/5960048" TargetMode="External"/><Relationship Id="rId18" Type="http://schemas.openxmlformats.org/officeDocument/2006/relationships/hyperlink" Target="http://www.nevo.co.il/case/20966984" TargetMode="External"/><Relationship Id="rId19" Type="http://schemas.openxmlformats.org/officeDocument/2006/relationships/hyperlink" Target="http://www.nevo.co.il/case/13055209" TargetMode="External"/><Relationship Id="rId20" Type="http://schemas.openxmlformats.org/officeDocument/2006/relationships/hyperlink" Target="http://www.nevo.co.il/case/21026396" TargetMode="External"/><Relationship Id="rId21" Type="http://schemas.openxmlformats.org/officeDocument/2006/relationships/hyperlink" Target="http://www.nevo.co.il/case/5768471" TargetMode="External"/><Relationship Id="rId22" Type="http://schemas.openxmlformats.org/officeDocument/2006/relationships/hyperlink" Target="http://www.nevo.co.il/case/5875466" TargetMode="External"/><Relationship Id="rId23" Type="http://schemas.openxmlformats.org/officeDocument/2006/relationships/hyperlink" Target="http://www.nevo.co.il/case/18120105" TargetMode="External"/><Relationship Id="rId24" Type="http://schemas.openxmlformats.org/officeDocument/2006/relationships/hyperlink" Target="http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2020-05-03T07:45:00Z</dcterms:created>
  <dc:creator>h4</dc:creator>
  <dc:description/>
  <cp:keywords/>
  <dc:language>en-IL</dc:language>
  <cp:lastModifiedBy>orly</cp:lastModifiedBy>
  <cp:lastPrinted>2020-04-30T10:52:00Z</cp:lastPrinted>
  <dcterms:modified xsi:type="dcterms:W3CDTF">2020-05-03T07:45:00Z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5788915;21472902;6247352;6199527;8291901;6215276;5901710;20138627;22505950;5951406;5603199;5960048;20966984;13055209;21026396;5768471;5875466;18120105</vt:lpwstr>
  </property>
  <property fmtid="{D5CDD505-2E9C-101B-9397-08002B2CF9AE}" pid="9" name="CITY">
    <vt:lpwstr/>
  </property>
  <property fmtid="{D5CDD505-2E9C-101B-9397-08002B2CF9AE}" pid="10" name="DATE">
    <vt:lpwstr>20200430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ברון;ע' גרוסקופף</vt:lpwstr>
  </property>
  <property fmtid="{D5CDD505-2E9C-101B-9397-08002B2CF9AE}" pid="14" name="LAWLISTTMP1">
    <vt:lpwstr>70301/345.a.1</vt:lpwstr>
  </property>
  <property fmtid="{D5CDD505-2E9C-101B-9397-08002B2CF9AE}" pid="15" name="LAWYER">
    <vt:lpwstr>ארז בן ארויה;אמיר נבון;גוון ישראלי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ראיות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ראיות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89;18;89;77;77</vt:lpwstr>
  </property>
  <property fmtid="{D5CDD505-2E9C-101B-9397-08002B2CF9AE}" pid="37" name="NOSE21">
    <vt:lpwstr>מהימנות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עדות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1635;504;1654;1446;1446</vt:lpwstr>
  </property>
  <property fmtid="{D5CDD505-2E9C-101B-9397-08002B2CF9AE}" pid="48" name="NOSE31">
    <vt:lpwstr>בחינתה על-ידי ערכאת הערעור</vt:lpwstr>
  </property>
  <property fmtid="{D5CDD505-2E9C-101B-9397-08002B2CF9AE}" pid="49" name="NOSE310">
    <vt:lpwstr/>
  </property>
  <property fmtid="{D5CDD505-2E9C-101B-9397-08002B2CF9AE}" pid="50" name="NOSE32">
    <vt:lpwstr>אי-התערבות בממצאים עובדתיים</vt:lpwstr>
  </property>
  <property fmtid="{D5CDD505-2E9C-101B-9397-08002B2CF9AE}" pid="51" name="NOSE33">
    <vt:lpwstr>קורבן עבירת מין</vt:lpwstr>
  </property>
  <property fmtid="{D5CDD505-2E9C-101B-9397-08002B2CF9AE}" pid="52" name="NOSE34">
    <vt:lpwstr>מדיניות ענישה: התערבות ערכאת ערעור</vt:lpwstr>
  </property>
  <property fmtid="{D5CDD505-2E9C-101B-9397-08002B2CF9AE}" pid="53" name="NOSE35">
    <vt:lpwstr>מדיניות ענישה: עבירות מין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10196;3849;12270;8982;8988</vt:lpwstr>
  </property>
  <property fmtid="{D5CDD505-2E9C-101B-9397-08002B2CF9AE}" pid="59" name="PADIDATE">
    <vt:lpwstr>20200503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3966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410120200430</vt:lpwstr>
  </property>
  <property fmtid="{D5CDD505-2E9C-101B-9397-08002B2CF9AE}" pid="69" name="TYPE_N_DATE">
    <vt:lpwstr>41020200430</vt:lpwstr>
  </property>
  <property fmtid="{D5CDD505-2E9C-101B-9397-08002B2CF9AE}" pid="70" name="VOLUME">
    <vt:lpwstr/>
  </property>
  <property fmtid="{D5CDD505-2E9C-101B-9397-08002B2CF9AE}" pid="71" name="WORDNUMPAGES">
    <vt:lpwstr>22</vt:lpwstr>
  </property>
</Properties>
</file>