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3982/22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וג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16669-07-21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26.4.2022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19.10.2022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ארבל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144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</w:hyperlink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2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עמד לא אחת על החומרה הגלומה בעבירות התפרעויות המונים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הצורך לנקוט במדיניות ענישה אשר תרתיע ותרסן התפרעויות שעלולות לסחוף המון רב לצאת מגדר שליטה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ולסכן חיי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 האמורים זוכים למשנה תוקף עת שמדובר בעבירות שבוצעו ממניע גזעני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מדובר בעבירות שמבוצעות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המון מתפרע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אחריות מבצע העבירה אינה נקבעת אך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תרומתו הישירה לאירוע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מתוך ראיה רחבה יותר של מטרתו המשותפת של ההמון שהוא היה חלק ממנו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 על רקע אידיאולוגי</w:t>
      </w:r>
    </w:p>
    <w:p>
      <w:pPr>
        <w:pStyle w:val="Ruller42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עקרון ההלימה‏</w:t>
      </w:r>
    </w:p>
    <w:p>
      <w:pPr>
        <w:pStyle w:val="Ruller42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התערבות במידת העונש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המשיב הורשע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 הודאתו במסגרת הסדר טיעון בעבירות של התפרעות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הפרעה לשוטר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סיכון דרכים ונתיבי שייט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היזק בזדון ממניע של גזענות או עוינות כלפי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הסגת גבול כדי לעבור עבירה ממניע של גזענות או עוינות כלפי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היזק בזדון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ומעשי פזיזות ורשלנות ממניע של גזענות או עוינות כלפי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העבירות בוצעו על רקע מבצע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שומר החומות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עבירות אלו השית עליו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</w:t>
      </w:r>
      <w:r>
        <w:rPr>
          <w:rFonts w:cs="Times New Roman" w:ascii="Times New Roman" w:hAnsi="Times New Roman"/>
          <w:spacing w:val="0"/>
          <w:szCs w:val="26"/>
        </w:rPr>
        <w:t>35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מאסרים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המדינה נסב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שהטילה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בקהל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מוצדקת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הגלומה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התפרעויות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תרתיע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ותרסן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התפרעויות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שעלולות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לסחוף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ולסכן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למשנה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גזעני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שבכוחה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להכפיל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להוביל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וביטחונו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היחיד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גוברים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הולמים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נפרד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להשתנות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הפרטיקולרי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ההולמים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שחלקו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היחסי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מצומצם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שמבוצעות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מתפרע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מועט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תרומתו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הישירה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רחבה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מטרתו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המשותפת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מסמרות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לגבולות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המדויקים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המתחמים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בזמנים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משתתפים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ובבסיס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ובביטחונו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שנשקפת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הצעיר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במלאכת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שמבוצעות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מוגבר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שהאוכלוסיה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האזרחית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למתקפת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במקביל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והתפרעויות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הותקפו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אזרחים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יהודים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השפעה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גזענות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לבסוף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יודגש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בהשתתפות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נפרדים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בהזדמנויות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המאסר בפועל יועמד על </w:t>
      </w:r>
      <w:r>
        <w:rPr>
          <w:rFonts w:cs="Times New Roman" w:ascii="Times New Roman" w:hAnsi="Times New Roman"/>
          <w:spacing w:val="0"/>
          <w:szCs w:val="26"/>
        </w:rPr>
        <w:t>47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 המשיב ישלם פיצוי כספי לנפגעי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חלקי גזר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bookmarkStart w:id="15" w:name="Writer_Name"/>
      <w:bookmarkEnd w:id="15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  <w:bookmarkStart w:id="16" w:name="Start_Write"/>
      <w:bookmarkStart w:id="17" w:name="Start_Write"/>
      <w:bookmarkEnd w:id="17"/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 הורשע על פי הודאתו במסגרת הסדר טיעון בעבירות</w:t>
      </w:r>
      <w:r>
        <w:rPr>
          <w:rtl w:val="true"/>
        </w:rPr>
        <w:t xml:space="preserve"> של </w:t>
      </w:r>
      <w:r>
        <w:rPr>
          <w:rtl w:val="true"/>
        </w:rPr>
        <w:t>התפרעות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הפרעה לשוטר בנסיבות מחמירות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סיכון דרכים ונתיבי שייט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היזק בזדון ממניע של גזענות או עוינות כלפי ציבור </w:t>
      </w:r>
      <w:r>
        <w:rPr>
          <w:rtl w:val="true"/>
        </w:rPr>
        <w:t>(</w:t>
      </w:r>
      <w:r>
        <w:rPr>
          <w:rtl w:val="true"/>
        </w:rPr>
        <w:t>שלוש עבירות</w:t>
      </w:r>
      <w:r>
        <w:rPr>
          <w:rtl w:val="true"/>
        </w:rPr>
        <w:t xml:space="preserve">); </w:t>
      </w:r>
      <w:r>
        <w:rPr>
          <w:rtl w:val="true"/>
        </w:rPr>
        <w:t>הסגת גבול כדי לעבור עבירה ממניע של גזענות או עוינות כלפי ציבור</w:t>
      </w:r>
      <w:r>
        <w:rPr>
          <w:rtl w:val="true"/>
        </w:rPr>
        <w:t xml:space="preserve">; </w:t>
      </w:r>
      <w:r>
        <w:rPr>
          <w:rtl w:val="true"/>
        </w:rPr>
        <w:t>שיבוש מהלכי משפט</w:t>
      </w:r>
      <w:r>
        <w:rPr>
          <w:rtl w:val="true"/>
        </w:rPr>
        <w:t xml:space="preserve">; </w:t>
      </w:r>
      <w:r>
        <w:rPr>
          <w:rtl w:val="true"/>
        </w:rPr>
        <w:t>היזק בזדון</w:t>
      </w:r>
      <w:r>
        <w:rPr>
          <w:rtl w:val="true"/>
        </w:rPr>
        <w:t xml:space="preserve">; </w:t>
      </w:r>
      <w:r>
        <w:rPr>
          <w:rtl w:val="true"/>
        </w:rPr>
        <w:t>ומעשי פזיזות ורשלנות ממניע של גזענות או עוינות כלפי ציבור</w:t>
      </w:r>
      <w:r>
        <w:rPr>
          <w:rtl w:val="true"/>
        </w:rPr>
        <w:t xml:space="preserve">. </w:t>
      </w:r>
      <w:r>
        <w:rPr>
          <w:rtl w:val="true"/>
        </w:rPr>
        <w:t xml:space="preserve">בגין עבירות אלו השית עליו 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tl w:val="true"/>
        </w:rPr>
        <w:t xml:space="preserve">)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 לצד</w:t>
      </w:r>
      <w:r>
        <w:rPr>
          <w:rtl w:val="true"/>
        </w:rPr>
        <w:t xml:space="preserve"> מאסר</w:t>
      </w:r>
      <w:r>
        <w:rPr>
          <w:rtl w:val="true"/>
        </w:rPr>
        <w:t>ים</w:t>
      </w:r>
      <w:r>
        <w:rPr>
          <w:rtl w:val="true"/>
        </w:rPr>
        <w:t xml:space="preserve"> על תנאי </w:t>
      </w:r>
      <w:r>
        <w:rPr>
          <w:rtl w:val="true"/>
        </w:rPr>
        <w:t>(</w:t>
      </w:r>
      <w:r>
        <w:rPr>
          <w:rtl w:val="true"/>
        </w:rPr>
        <w:t>כפי ש</w:t>
      </w:r>
      <w:r>
        <w:rPr>
          <w:rtl w:val="true"/>
        </w:rPr>
        <w:t>פורט בגזר הדין</w:t>
      </w:r>
      <w:r>
        <w:rPr>
          <w:rtl w:val="true"/>
        </w:rPr>
        <w:t xml:space="preserve">). </w:t>
      </w:r>
      <w:r>
        <w:rPr>
          <w:rtl w:val="true"/>
        </w:rPr>
        <w:t>הערעור שלפנינו נסב על קולת העונש</w:t>
      </w:r>
      <w:r>
        <w:rPr>
          <w:rtl w:val="true"/>
        </w:rPr>
        <w:t>.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/>
      </w:pPr>
      <w:r>
        <w:rPr/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כתב האישום המתוקן מיום </w:t>
      </w:r>
      <w:r>
        <w:rPr/>
        <w:t>31.1.2022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מייחס למשיב מעורבות 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אישומים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שיכונו להלן בהתאם למספורם בכתב האישום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Fonts w:ascii="Century" w:hAnsi="Century" w:cs="Century"/>
          <w:sz w:val="22"/>
          <w:sz w:val="22"/>
          <w:rtl w:val="true"/>
        </w:rPr>
        <w:t xml:space="preserve">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חמישי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העבירות בוצעו על רקע המערכה הצבאית בין מדינת ישראל לבין ארגון החמאס ברצועת עזה בחודש מאי </w:t>
      </w:r>
      <w:r>
        <w:rPr/>
        <w:t>2021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כאשר במהלך אותה התקופה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tl w:val="true"/>
        </w:rPr>
        <w:t xml:space="preserve"> גל של הפרות סדר והתפרעויות אלימות ברחבי הארץ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 xml:space="preserve">כלל תקיפות כלפי </w:t>
      </w:r>
      <w:r>
        <w:rPr>
          <w:rtl w:val="true"/>
        </w:rPr>
        <w:t>אזרחים יהודים וערבים</w:t>
      </w:r>
      <w:r>
        <w:rPr>
          <w:rtl w:val="true"/>
        </w:rPr>
        <w:t xml:space="preserve">, </w:t>
      </w:r>
      <w:r>
        <w:rPr>
          <w:rtl w:val="true"/>
        </w:rPr>
        <w:t xml:space="preserve">וכלפי </w:t>
      </w:r>
      <w:r>
        <w:rPr>
          <w:rtl w:val="true"/>
        </w:rPr>
        <w:t>כוחות המשטרה והביטחון</w:t>
      </w:r>
      <w:r>
        <w:rPr>
          <w:rtl w:val="true"/>
        </w:rPr>
        <w:t xml:space="preserve">, </w:t>
      </w:r>
      <w:r>
        <w:rPr>
          <w:rtl w:val="true"/>
        </w:rPr>
        <w:t>על רקע לאומני</w:t>
      </w:r>
      <w:r>
        <w:rPr>
          <w:rtl w:val="true"/>
        </w:rPr>
        <w:t>-</w:t>
      </w:r>
      <w:r>
        <w:rPr>
          <w:rtl w:val="true"/>
        </w:rPr>
        <w:t>גזעני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התרחשו בעיר עכו התפרעויות אלימות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במהלכן בוצעו מעשי אלימות שונים כלפי כוחות משטרה ואזרחים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</w:t>
      </w:r>
      <w:r>
        <w:rPr>
          <w:rtl w:val="true"/>
        </w:rPr>
        <w:t>ירי חי</w:t>
      </w:r>
      <w:r>
        <w:rPr>
          <w:rtl w:val="true"/>
        </w:rPr>
        <w:t xml:space="preserve">, </w:t>
      </w:r>
      <w:r>
        <w:rPr>
          <w:rtl w:val="true"/>
        </w:rPr>
        <w:t>השלכת בקבוקי תבערה</w:t>
      </w:r>
      <w:r>
        <w:rPr>
          <w:rtl w:val="true"/>
        </w:rPr>
        <w:t xml:space="preserve">, </w:t>
      </w:r>
      <w:r>
        <w:rPr>
          <w:rtl w:val="true"/>
        </w:rPr>
        <w:t>ירי זיקוקים ויידוי אבנים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במסגרת </w:t>
      </w:r>
      <w:r>
        <w:rPr>
          <w:rtl w:val="true"/>
        </w:rPr>
        <w:t xml:space="preserve">אותן </w:t>
      </w:r>
      <w:r>
        <w:rPr>
          <w:rtl w:val="true"/>
        </w:rPr>
        <w:t>ההתפרעויות הועלו באש עשרות מבנים</w:t>
      </w:r>
      <w:r>
        <w:rPr>
          <w:rtl w:val="true"/>
        </w:rPr>
        <w:t xml:space="preserve">, </w:t>
      </w:r>
      <w:r>
        <w:rPr>
          <w:rtl w:val="true"/>
        </w:rPr>
        <w:t>סירות ורכוש נוסף בבעלות יהודית</w:t>
      </w:r>
      <w:r>
        <w:rPr>
          <w:rtl w:val="true"/>
        </w:rPr>
        <w:t xml:space="preserve">, </w:t>
      </w:r>
      <w:r>
        <w:rPr>
          <w:rtl w:val="true"/>
        </w:rPr>
        <w:t>וזאת על רקע לאומני</w:t>
      </w:r>
      <w:r>
        <w:rPr>
          <w:rtl w:val="true"/>
        </w:rPr>
        <w:t>-</w:t>
      </w:r>
      <w:r>
        <w:rPr>
          <w:rtl w:val="true"/>
        </w:rPr>
        <w:t>גזעני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על פי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בלילה שבין התאריכים </w:t>
      </w:r>
      <w:r>
        <w:rPr/>
        <w:t>11-12.5.2021</w:t>
      </w:r>
      <w:r>
        <w:rPr>
          <w:rtl w:val="true"/>
        </w:rPr>
        <w:t xml:space="preserve">, </w:t>
      </w:r>
      <w:r>
        <w:rPr>
          <w:rtl w:val="true"/>
        </w:rPr>
        <w:t>החל משעות הערב</w:t>
      </w:r>
      <w:r>
        <w:rPr>
          <w:rtl w:val="true"/>
        </w:rPr>
        <w:t xml:space="preserve">, </w:t>
      </w:r>
      <w:r>
        <w:rPr>
          <w:rtl w:val="true"/>
        </w:rPr>
        <w:t>התכנסו עשרות רבות של אנשים במוקדים שונים בעיר עכו ללא אישור או רישיון ממשטרת ישראל</w:t>
      </w:r>
      <w:r>
        <w:rPr>
          <w:rtl w:val="true"/>
        </w:rPr>
        <w:t xml:space="preserve">. </w:t>
      </w:r>
      <w:r>
        <w:rPr>
          <w:rtl w:val="true"/>
        </w:rPr>
        <w:t>המשתתפים בהתקהלות האמורה חסמו כבישים באמצעות פחי אשפה וחפצים אחרים</w:t>
      </w:r>
      <w:r>
        <w:rPr>
          <w:rtl w:val="true"/>
        </w:rPr>
        <w:t xml:space="preserve">, </w:t>
      </w:r>
      <w:r>
        <w:rPr>
          <w:rtl w:val="true"/>
        </w:rPr>
        <w:t>יידו אבנים ובקבוקי תבערה</w:t>
      </w:r>
      <w:r>
        <w:rPr>
          <w:rtl w:val="true"/>
        </w:rPr>
        <w:t xml:space="preserve">, </w:t>
      </w:r>
      <w:r>
        <w:rPr>
          <w:rtl w:val="true"/>
        </w:rPr>
        <w:t>ירו זיקוקים וגרמו נזק לרכוש</w:t>
      </w:r>
      <w:r>
        <w:rPr>
          <w:rtl w:val="true"/>
        </w:rPr>
        <w:t xml:space="preserve">; </w:t>
      </w:r>
      <w:r>
        <w:rPr>
          <w:rtl w:val="true"/>
        </w:rPr>
        <w:t>זאת תוך הפרת השלום והסדר הציבורי באופן שיש בו להטיל אימה על הציבור</w:t>
      </w:r>
      <w:r>
        <w:rPr>
          <w:rtl w:val="true"/>
        </w:rPr>
        <w:t xml:space="preserve">. </w:t>
      </w:r>
      <w:r>
        <w:rPr>
          <w:rtl w:val="true"/>
        </w:rPr>
        <w:t>בהמשך לכך הגיעו שוטרים לאזור ההתקהלות על מנת לפזרה</w:t>
      </w:r>
      <w:r>
        <w:rPr>
          <w:rtl w:val="true"/>
        </w:rPr>
        <w:t xml:space="preserve">. </w:t>
      </w:r>
      <w:r>
        <w:rPr>
          <w:rtl w:val="true"/>
        </w:rPr>
        <w:t xml:space="preserve">המשיב השתתף בהתפרעות באחד מן המוקדים </w:t>
      </w:r>
      <w:r>
        <w:rPr>
          <w:rtl w:val="true"/>
        </w:rPr>
        <w:t>(</w:t>
      </w:r>
      <w:r>
        <w:rPr>
          <w:rtl w:val="true"/>
        </w:rPr>
        <w:t>סמוך למסגד אלג</w:t>
      </w:r>
      <w:r>
        <w:rPr>
          <w:rtl w:val="true"/>
        </w:rPr>
        <w:t>'</w:t>
      </w:r>
      <w:r>
        <w:rPr>
          <w:rtl w:val="true"/>
        </w:rPr>
        <w:t>זאר</w:t>
      </w:r>
      <w:r>
        <w:rPr>
          <w:rtl w:val="true"/>
        </w:rPr>
        <w:t xml:space="preserve">) </w:t>
      </w:r>
      <w:r>
        <w:rPr>
          <w:rtl w:val="true"/>
        </w:rPr>
        <w:t xml:space="preserve">ויידה בין </w:t>
      </w:r>
      <w:r>
        <w:rPr/>
        <w:t>6-5</w:t>
      </w:r>
      <w:r>
        <w:rPr>
          <w:rtl w:val="true"/>
        </w:rPr>
        <w:t xml:space="preserve"> </w:t>
      </w:r>
      <w:r>
        <w:rPr>
          <w:rtl w:val="true"/>
        </w:rPr>
        <w:t>אבנים לעבר השוטרים אשר עמדו במרחק של מעל 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מטרים ממנו</w:t>
      </w:r>
      <w:r>
        <w:rPr>
          <w:rtl w:val="true"/>
        </w:rPr>
        <w:t xml:space="preserve">, </w:t>
      </w:r>
      <w:r>
        <w:rPr>
          <w:rtl w:val="true"/>
        </w:rPr>
        <w:t>במקביל למתפרעים נוספים ששהו בסמוך למשיב ויידו גם כן אבנים נוספות לעבר השוטרים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ההתפרעות האמורה חסם המשיב </w:t>
      </w:r>
      <w:r>
        <w:rPr>
          <w:rtl w:val="true"/>
        </w:rPr>
        <w:t>(</w:t>
      </w:r>
      <w:r>
        <w:rPr>
          <w:rtl w:val="true"/>
        </w:rPr>
        <w:t>ביחד עם מתפרעים נוספים</w:t>
      </w:r>
      <w:r>
        <w:rPr>
          <w:rtl w:val="true"/>
        </w:rPr>
        <w:t xml:space="preserve">) </w:t>
      </w:r>
      <w:r>
        <w:rPr>
          <w:rtl w:val="true"/>
        </w:rPr>
        <w:t>כבישים באזור באמצעות הצבת קרשים ופחים בוערים</w:t>
      </w:r>
      <w:r>
        <w:rPr>
          <w:rtl w:val="true"/>
        </w:rPr>
        <w:t xml:space="preserve">, </w:t>
      </w:r>
      <w:r>
        <w:rPr>
          <w:rtl w:val="true"/>
        </w:rPr>
        <w:t>ואף השליך צמיג בוער לעבר שריפה במרכז הכביש</w:t>
      </w:r>
      <w:r>
        <w:rPr>
          <w:rtl w:val="true"/>
        </w:rPr>
        <w:t xml:space="preserve">, </w:t>
      </w:r>
      <w:r>
        <w:rPr>
          <w:rtl w:val="true"/>
        </w:rPr>
        <w:t>כשהוא עושה מעשה בנכס שבהחזקתו וגורם בכך סכנה</w:t>
      </w:r>
      <w:r>
        <w:rPr>
          <w:rtl w:val="true"/>
        </w:rPr>
        <w:t xml:space="preserve">, </w:t>
      </w:r>
      <w:r>
        <w:rPr>
          <w:rtl w:val="true"/>
        </w:rPr>
        <w:t>מכשול או נזק לאדם בדרך ציבורית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במטרה להפריע לשוטרים כשהם ממלאים את תפקידם כחוק או להכשילם בביצוע התפקיד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בתגובה ליידוי האבנים האמור</w:t>
      </w:r>
      <w:r>
        <w:rPr>
          <w:rtl w:val="true"/>
        </w:rPr>
        <w:t xml:space="preserve">, </w:t>
      </w:r>
      <w:r>
        <w:rPr>
          <w:rtl w:val="true"/>
        </w:rPr>
        <w:t>השתמשו השוטרים באמצעים לפיזור הפגנות ובהם שימוש בטילי גז</w:t>
      </w:r>
      <w:r>
        <w:rPr>
          <w:rtl w:val="true"/>
        </w:rPr>
        <w:t xml:space="preserve">, </w:t>
      </w:r>
      <w:r>
        <w:rPr>
          <w:rtl w:val="true"/>
        </w:rPr>
        <w:t>כדורי גז</w:t>
      </w:r>
      <w:r>
        <w:rPr>
          <w:rtl w:val="true"/>
        </w:rPr>
        <w:t xml:space="preserve">, </w:t>
      </w:r>
      <w:r>
        <w:rPr>
          <w:rtl w:val="true"/>
        </w:rPr>
        <w:t>כדורי ספוג ורימוני הלם</w:t>
      </w:r>
      <w:r>
        <w:rPr>
          <w:rtl w:val="true"/>
        </w:rPr>
        <w:t xml:space="preserve">. </w:t>
      </w:r>
      <w:r>
        <w:rPr>
          <w:rtl w:val="true"/>
        </w:rPr>
        <w:t>יום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בלילה שבין התאריכים </w:t>
      </w:r>
      <w:r>
        <w:rPr/>
        <w:t>12-13.5.2021</w:t>
      </w:r>
      <w:r>
        <w:rPr>
          <w:rtl w:val="true"/>
        </w:rPr>
        <w:t xml:space="preserve">, </w:t>
      </w:r>
      <w:r>
        <w:rPr>
          <w:rtl w:val="true"/>
        </w:rPr>
        <w:t>החל משעות הערב</w:t>
      </w:r>
      <w:r>
        <w:rPr>
          <w:rtl w:val="true"/>
        </w:rPr>
        <w:t xml:space="preserve">, </w:t>
      </w:r>
      <w:r>
        <w:rPr>
          <w:rtl w:val="true"/>
        </w:rPr>
        <w:t>התקהלו פעם נוספת עשרות רבות של אנשים סמוך לאכסניית אנ</w:t>
      </w:r>
      <w:r>
        <w:rPr>
          <w:rtl w:val="true"/>
        </w:rPr>
        <w:t>"</w:t>
      </w:r>
      <w:r>
        <w:rPr>
          <w:rtl w:val="true"/>
        </w:rPr>
        <w:t>א ולמסגד אלג</w:t>
      </w:r>
      <w:r>
        <w:rPr>
          <w:rtl w:val="true"/>
        </w:rPr>
        <w:t>'</w:t>
      </w:r>
      <w:r>
        <w:rPr>
          <w:rtl w:val="true"/>
        </w:rPr>
        <w:t>זאר שבעכו</w:t>
      </w:r>
      <w:r>
        <w:rPr>
          <w:rtl w:val="true"/>
        </w:rPr>
        <w:t xml:space="preserve">, </w:t>
      </w:r>
      <w:r>
        <w:rPr>
          <w:rtl w:val="true"/>
        </w:rPr>
        <w:t>ללא אישור או רישיון ממשטרת ישראל</w:t>
      </w:r>
      <w:r>
        <w:rPr>
          <w:rtl w:val="true"/>
        </w:rPr>
        <w:t xml:space="preserve">. </w:t>
      </w:r>
      <w:r>
        <w:rPr>
          <w:rtl w:val="true"/>
        </w:rPr>
        <w:t>המשתתפים בהתקהלות זו יידו אבנים ובקבוקי תבערה</w:t>
      </w:r>
      <w:r>
        <w:rPr>
          <w:rtl w:val="true"/>
        </w:rPr>
        <w:t xml:space="preserve">, </w:t>
      </w:r>
      <w:r>
        <w:rPr>
          <w:rtl w:val="true"/>
        </w:rPr>
        <w:t>ירו זיקוקים ואף ביצעו ירי מנשק חם לעבר השוטרים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הפרת השלום והסדר הציבורי</w:t>
      </w:r>
      <w:r>
        <w:rPr>
          <w:rtl w:val="true"/>
        </w:rPr>
        <w:t xml:space="preserve">, </w:t>
      </w:r>
      <w:r>
        <w:rPr>
          <w:rtl w:val="true"/>
        </w:rPr>
        <w:t>באופן שיש בו להטיל אימה על הציבור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המשיב יידה בין </w:t>
      </w:r>
      <w:r>
        <w:rPr/>
        <w:t>4-3</w:t>
      </w:r>
      <w:r>
        <w:rPr>
          <w:rtl w:val="true"/>
        </w:rPr>
        <w:t xml:space="preserve"> </w:t>
      </w:r>
      <w:r>
        <w:rPr>
          <w:rtl w:val="true"/>
        </w:rPr>
        <w:t>אבנים לעבר השוטרים אשר עמדו במרחק של מעל 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מטרים ממנו</w:t>
      </w:r>
      <w:r>
        <w:rPr>
          <w:rtl w:val="true"/>
        </w:rPr>
        <w:t xml:space="preserve">, </w:t>
      </w:r>
      <w:r>
        <w:rPr>
          <w:rtl w:val="true"/>
        </w:rPr>
        <w:t>במקביל למשתתפים נוספים שזרקו אף הם אבנים לכיוון השוטרים</w:t>
      </w:r>
      <w:r>
        <w:rPr>
          <w:rtl w:val="true"/>
        </w:rPr>
        <w:t xml:space="preserve">, </w:t>
      </w:r>
      <w:r>
        <w:rPr>
          <w:rtl w:val="true"/>
        </w:rPr>
        <w:t>במטרה להפריע לשוטרים כשהם ממלאים את תפקידם כחוק או להכשילם בביצוע התפקיד</w:t>
      </w:r>
      <w:r>
        <w:rPr>
          <w:rtl w:val="true"/>
        </w:rPr>
        <w:t xml:space="preserve">. </w:t>
      </w:r>
      <w:r>
        <w:rPr>
          <w:rtl w:val="true"/>
        </w:rPr>
        <w:t>בתגובה השתמשו השוטרים באמצעים לפיזור הפגנות כמפורט לעיל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על פי האישום ה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11.5.2021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22:25</w:t>
      </w:r>
      <w:r>
        <w:rPr>
          <w:rtl w:val="true"/>
        </w:rPr>
        <w:t xml:space="preserve">, </w:t>
      </w:r>
      <w:r>
        <w:rPr>
          <w:rtl w:val="true"/>
        </w:rPr>
        <w:t xml:space="preserve">הגיעו אנשים </w:t>
      </w:r>
      <w:r>
        <w:rPr>
          <w:rtl w:val="true"/>
        </w:rPr>
        <w:t>(</w:t>
      </w:r>
      <w:r>
        <w:rPr>
          <w:rtl w:val="true"/>
        </w:rPr>
        <w:t>אשר זהותם אינה ידועה למערערת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המתפרעים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) </w:t>
      </w:r>
      <w:r>
        <w:rPr>
          <w:rtl w:val="true"/>
        </w:rPr>
        <w:t xml:space="preserve">למסעדת </w:t>
      </w:r>
      <w:r>
        <w:rPr>
          <w:rtl w:val="true"/>
        </w:rPr>
        <w:t>"</w:t>
      </w:r>
      <w:r>
        <w:rPr>
          <w:rtl w:val="true"/>
        </w:rPr>
        <w:t>אורי בורי</w:t>
      </w:r>
      <w:r>
        <w:rPr>
          <w:rtl w:val="true"/>
        </w:rPr>
        <w:t xml:space="preserve">" </w:t>
      </w:r>
      <w:r>
        <w:rPr>
          <w:rtl w:val="true"/>
        </w:rPr>
        <w:t xml:space="preserve">שבעכו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המסעדה</w:t>
      </w:r>
      <w:r>
        <w:rPr>
          <w:rtl w:val="true"/>
        </w:rPr>
        <w:t xml:space="preserve">), </w:t>
      </w:r>
      <w:r>
        <w:rPr>
          <w:rtl w:val="true"/>
        </w:rPr>
        <w:t>תוך ידיעה כי המסעדה בבעלות אדם יהודי ובמטרה לפרוץ אליה ולזרוע הרס</w:t>
      </w:r>
      <w:r>
        <w:rPr>
          <w:rtl w:val="true"/>
        </w:rPr>
        <w:t xml:space="preserve">, </w:t>
      </w:r>
      <w:r>
        <w:rPr>
          <w:rtl w:val="true"/>
        </w:rPr>
        <w:t>מתוך מניע של גזענות או עוינות כלפי ציבור מחמת דת</w:t>
      </w:r>
      <w:r>
        <w:rPr>
          <w:rtl w:val="true"/>
        </w:rPr>
        <w:t xml:space="preserve">. </w:t>
      </w:r>
      <w:r>
        <w:rPr>
          <w:rtl w:val="true"/>
        </w:rPr>
        <w:t>המתפרעים באישום השני חבטו בדלת הזכוכית של המסעדה וזרקו כיסאות לעבר חזית המסעדה מתוך ניסיון לפרוץ אליה ולהשחיתה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זרעו המתפרעים האמורים הרס רב במסעדה אשר בא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בשבירת ציוד</w:t>
      </w:r>
      <w:r>
        <w:rPr>
          <w:rtl w:val="true"/>
        </w:rPr>
        <w:t xml:space="preserve">; </w:t>
      </w:r>
      <w:r>
        <w:rPr>
          <w:rtl w:val="true"/>
        </w:rPr>
        <w:t>ניפוץ בקבוקי יין וצלחות</w:t>
      </w:r>
      <w:r>
        <w:rPr>
          <w:rtl w:val="true"/>
        </w:rPr>
        <w:t xml:space="preserve">; </w:t>
      </w:r>
      <w:r>
        <w:rPr>
          <w:rtl w:val="true"/>
        </w:rPr>
        <w:t xml:space="preserve">גניבת כספת ובה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וניפוץ מצלמות האבטחה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במסגרת המעשים המתוארים</w:t>
      </w:r>
      <w:r>
        <w:rPr>
          <w:rtl w:val="true"/>
        </w:rPr>
        <w:t xml:space="preserve">, </w:t>
      </w:r>
      <w:r>
        <w:rPr>
          <w:rtl w:val="true"/>
        </w:rPr>
        <w:t>אחד מן המתפרעים באישום השני גנב מחשב</w:t>
      </w:r>
      <w:r>
        <w:rPr>
          <w:rtl w:val="true"/>
        </w:rPr>
        <w:t xml:space="preserve">, </w:t>
      </w:r>
      <w:r>
        <w:rPr>
          <w:rtl w:val="true"/>
        </w:rPr>
        <w:t xml:space="preserve">טאבלטים וקופה רושמת שבה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וברח מהמקום כשהוא נוטל ונושא עמו את החפצים האמורים</w:t>
      </w:r>
      <w:r>
        <w:rPr>
          <w:rtl w:val="true"/>
        </w:rPr>
        <w:t xml:space="preserve">. </w:t>
      </w:r>
      <w:r>
        <w:rPr>
          <w:rtl w:val="true"/>
        </w:rPr>
        <w:t xml:space="preserve">במהלך האירועים המתוארים נכחו במסעדה אשתו ובתו של בעל המסעדה ומספר עובדים ועובדות שהתחבאו בשירותים ובמטבח </w:t>
      </w:r>
      <w:r>
        <w:rPr>
          <w:rtl w:val="true"/>
        </w:rPr>
        <w:t>(</w:t>
      </w:r>
      <w:r>
        <w:rPr>
          <w:rtl w:val="true"/>
        </w:rPr>
        <w:t>כעולה מכתב האישום המתוקן</w:t>
      </w:r>
      <w:r>
        <w:rPr>
          <w:rtl w:val="true"/>
        </w:rPr>
        <w:t xml:space="preserve">, </w:t>
      </w:r>
      <w:r>
        <w:rPr>
          <w:rtl w:val="true"/>
        </w:rPr>
        <w:t>בשלב מסוים אחד מן המתפרעים באישום השני הורה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מעובדות המסעדה לצאת מן המקום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בשעה שאינה ידועה במדויק למערערת</w:t>
      </w:r>
      <w:r>
        <w:rPr>
          <w:rtl w:val="true"/>
        </w:rPr>
        <w:t xml:space="preserve">, </w:t>
      </w:r>
      <w:r>
        <w:rPr>
          <w:rtl w:val="true"/>
        </w:rPr>
        <w:t>הגיע המשיב למסעדה והצטרף למתפרעים באישום השני כשהוא מצויד בפטיש</w:t>
      </w:r>
      <w:r>
        <w:rPr>
          <w:rtl w:val="true"/>
        </w:rPr>
        <w:t xml:space="preserve">; </w:t>
      </w:r>
      <w:r>
        <w:rPr>
          <w:rtl w:val="true"/>
        </w:rPr>
        <w:t>המשיב שבר כיסא ושולחן במקום</w:t>
      </w:r>
      <w:r>
        <w:rPr>
          <w:rtl w:val="true"/>
        </w:rPr>
        <w:t xml:space="preserve">, </w:t>
      </w:r>
      <w:r>
        <w:rPr>
          <w:rtl w:val="true"/>
        </w:rPr>
        <w:t>וזאת מתוך מניע של גזענות ועוינות כלפי ציבור</w:t>
      </w:r>
      <w:r>
        <w:rPr>
          <w:rtl w:val="true"/>
        </w:rPr>
        <w:t xml:space="preserve">. </w:t>
      </w:r>
      <w:r>
        <w:rPr>
          <w:rtl w:val="true"/>
        </w:rPr>
        <w:t>סמוך לאירועים המתוארים לעיל</w:t>
      </w:r>
      <w:r>
        <w:rPr>
          <w:rtl w:val="true"/>
        </w:rPr>
        <w:t xml:space="preserve">, </w:t>
      </w:r>
      <w:r>
        <w:rPr>
          <w:rtl w:val="true"/>
        </w:rPr>
        <w:t xml:space="preserve">שפכו אנשים </w:t>
      </w:r>
      <w:r>
        <w:rPr>
          <w:rtl w:val="true"/>
        </w:rPr>
        <w:t>(</w:t>
      </w:r>
      <w:r>
        <w:rPr>
          <w:rtl w:val="true"/>
        </w:rPr>
        <w:t>שזהותם אינה ידועה למערערת</w:t>
      </w:r>
      <w:r>
        <w:rPr>
          <w:rtl w:val="true"/>
        </w:rPr>
        <w:t xml:space="preserve">) </w:t>
      </w:r>
      <w:r>
        <w:rPr>
          <w:rtl w:val="true"/>
        </w:rPr>
        <w:t>בנזין בתוך המסעדה</w:t>
      </w:r>
      <w:r>
        <w:rPr>
          <w:rtl w:val="true"/>
        </w:rPr>
        <w:t xml:space="preserve">, </w:t>
      </w:r>
      <w:r>
        <w:rPr>
          <w:rtl w:val="true"/>
        </w:rPr>
        <w:t>שילחו בה אש</w:t>
      </w:r>
      <w:r>
        <w:rPr>
          <w:rtl w:val="true"/>
        </w:rPr>
        <w:t xml:space="preserve">, </w:t>
      </w:r>
      <w:r>
        <w:rPr>
          <w:rtl w:val="true"/>
        </w:rPr>
        <w:t>ולאחר מכן עזבו את המקום</w:t>
      </w:r>
      <w:r>
        <w:rPr>
          <w:rtl w:val="true"/>
        </w:rPr>
        <w:t xml:space="preserve">. </w:t>
      </w:r>
      <w:r>
        <w:rPr>
          <w:rtl w:val="true"/>
        </w:rPr>
        <w:t>בעקבות המתואר לעיל נגרם למסעדה נזק כבד בעלות של למעלה מ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על פי האישום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12.5.2021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יצא המשיב מביתו כשהוא מצויד בפטיש</w:t>
      </w:r>
      <w:r>
        <w:rPr>
          <w:rtl w:val="true"/>
        </w:rPr>
        <w:t xml:space="preserve">, </w:t>
      </w:r>
      <w:r>
        <w:rPr>
          <w:rtl w:val="true"/>
        </w:rPr>
        <w:t>בכוונה לגרום נזק לרכוש של יהודים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מתוך מניע של גזענות או עוינות כלפי ציבור מחמת דת</w:t>
      </w:r>
      <w:r>
        <w:rPr>
          <w:rtl w:val="true"/>
        </w:rPr>
        <w:t xml:space="preserve">. </w:t>
      </w:r>
      <w:r>
        <w:rPr>
          <w:rtl w:val="true"/>
        </w:rPr>
        <w:t xml:space="preserve">המשיב הגיע לנמל בעכו והחליט להרוס את אחת מן הסירות שעוגנות בנמל ושייכות ליהודים </w:t>
      </w:r>
      <w:r>
        <w:rPr>
          <w:rtl w:val="true"/>
        </w:rPr>
        <w:t>(</w:t>
      </w:r>
      <w:r>
        <w:rPr>
          <w:rtl w:val="true"/>
        </w:rPr>
        <w:t>כעולה מכתב האישום המתוקן הסירות האמורות בבעלות בית הספר לחינוך וספורט ימי שבעכו</w:t>
      </w:r>
      <w:r>
        <w:rPr>
          <w:rtl w:val="true"/>
        </w:rPr>
        <w:t xml:space="preserve">). </w:t>
      </w:r>
      <w:r>
        <w:rPr>
          <w:rtl w:val="true"/>
        </w:rPr>
        <w:t>המשיב הבחין במצלמות אבטחה של עיריית עכו שממוקמות בסמוך לתחנת המשטרה שבנמל</w:t>
      </w:r>
      <w:r>
        <w:rPr>
          <w:rtl w:val="true"/>
        </w:rPr>
        <w:t xml:space="preserve">, </w:t>
      </w:r>
      <w:r>
        <w:rPr>
          <w:rtl w:val="true"/>
        </w:rPr>
        <w:t xml:space="preserve">ועל מנת למנוע את זיהויו בזמן הצתת הסירה </w:t>
      </w:r>
      <w:r>
        <w:rPr>
          <w:rtl w:val="true"/>
        </w:rPr>
        <w:t>(</w:t>
      </w:r>
      <w:r>
        <w:rPr>
          <w:rtl w:val="true"/>
        </w:rPr>
        <w:t>וכן למנוע או להכשיל הליך שיפוטי</w:t>
      </w:r>
      <w:r>
        <w:rPr>
          <w:rtl w:val="true"/>
        </w:rPr>
        <w:t xml:space="preserve">), </w:t>
      </w:r>
      <w:r>
        <w:rPr>
          <w:rtl w:val="true"/>
        </w:rPr>
        <w:t>שבר שתיים מן המצלמות באמצעות פטיש והשליכן לים</w:t>
      </w:r>
      <w:r>
        <w:rPr>
          <w:rtl w:val="true"/>
        </w:rPr>
        <w:t xml:space="preserve">, </w:t>
      </w:r>
      <w:r>
        <w:rPr>
          <w:rtl w:val="true"/>
        </w:rPr>
        <w:t>במזיד ושלא כדין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ניגש המשיב לאחת מן הסירות שעגנו בנמל </w:t>
      </w:r>
      <w:r>
        <w:rPr>
          <w:rtl w:val="true"/>
        </w:rPr>
        <w:t>(</w:t>
      </w:r>
      <w:r>
        <w:rPr>
          <w:rtl w:val="true"/>
        </w:rPr>
        <w:t>שאותה זיהה כסירה בבעלות יהודית</w:t>
      </w:r>
      <w:r>
        <w:rPr>
          <w:rtl w:val="true"/>
        </w:rPr>
        <w:t xml:space="preserve">) </w:t>
      </w:r>
      <w:r>
        <w:rPr>
          <w:rtl w:val="true"/>
        </w:rPr>
        <w:t>והרס אותה באמצעות שפיכת בנזין מתוך מיכל שמצא באזור</w:t>
      </w:r>
      <w:r>
        <w:rPr>
          <w:rtl w:val="true"/>
        </w:rPr>
        <w:t xml:space="preserve">, </w:t>
      </w:r>
      <w:r>
        <w:rPr>
          <w:rtl w:val="true"/>
        </w:rPr>
        <w:t>והצתתה</w:t>
      </w:r>
      <w:r>
        <w:rPr>
          <w:rtl w:val="true"/>
        </w:rPr>
        <w:t xml:space="preserve">. </w:t>
      </w:r>
      <w:r>
        <w:rPr>
          <w:rtl w:val="true"/>
        </w:rPr>
        <w:t>בעקבות המעשים המתוארים נגרם נזק לסירה האמורה ולסירה שעגנה בסמוך אליה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על פי האישום הרביעי</w:t>
      </w:r>
      <w:r>
        <w:rPr>
          <w:rtl w:val="true"/>
        </w:rPr>
        <w:t xml:space="preserve">, </w:t>
      </w:r>
      <w:r>
        <w:rPr>
          <w:rtl w:val="true"/>
        </w:rPr>
        <w:t>לאחר ביצוע המעשים המתוארים באישום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הגיע המשיב אל מתחם אירוח </w:t>
      </w:r>
      <w:r>
        <w:rPr>
          <w:rtl w:val="true"/>
        </w:rPr>
        <w:t>"</w:t>
      </w:r>
      <w:r>
        <w:rPr>
          <w:rtl w:val="true"/>
        </w:rPr>
        <w:t>בית אלפראשה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המתחם</w:t>
      </w:r>
      <w:r>
        <w:rPr>
          <w:rtl w:val="true"/>
        </w:rPr>
        <w:t xml:space="preserve">) </w:t>
      </w:r>
      <w:r>
        <w:rPr>
          <w:rtl w:val="true"/>
        </w:rPr>
        <w:t xml:space="preserve">שברחוב הבאהים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 xml:space="preserve">בעכו </w:t>
      </w:r>
      <w:r>
        <w:rPr>
          <w:rtl w:val="true"/>
        </w:rPr>
        <w:t>(</w:t>
      </w:r>
      <w:r>
        <w:rPr>
          <w:rtl w:val="true"/>
        </w:rPr>
        <w:t>אזור עכו העתיקה</w:t>
      </w:r>
      <w:r>
        <w:rPr>
          <w:rtl w:val="true"/>
        </w:rPr>
        <w:t xml:space="preserve">), </w:t>
      </w:r>
      <w:r>
        <w:rPr>
          <w:rtl w:val="true"/>
        </w:rPr>
        <w:t>כאשר הוא מצויד בפטיש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בידיעה שהמתחם בבעלות יהודית ובמטרה לגרום הרס במקום</w:t>
      </w:r>
      <w:r>
        <w:rPr>
          <w:rtl w:val="true"/>
        </w:rPr>
        <w:t xml:space="preserve">, </w:t>
      </w:r>
      <w:r>
        <w:rPr>
          <w:rtl w:val="true"/>
        </w:rPr>
        <w:t>על בסיס מניע של גזענות או עוינות כלפי ציבור מחמת דת</w:t>
      </w:r>
      <w:r>
        <w:rPr>
          <w:rtl w:val="true"/>
        </w:rPr>
        <w:t xml:space="preserve">. </w:t>
      </w:r>
      <w:r>
        <w:rPr>
          <w:rtl w:val="true"/>
        </w:rPr>
        <w:t>המשיב הכה בדלת הזכוכית של המתחם באמצעות הפטיש וסדקה</w:t>
      </w:r>
      <w:r>
        <w:rPr>
          <w:rtl w:val="true"/>
        </w:rPr>
        <w:t xml:space="preserve">, </w:t>
      </w:r>
      <w:r>
        <w:rPr>
          <w:rtl w:val="true"/>
        </w:rPr>
        <w:t>במזיד ושלא כדין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הגיעו למתחם אנשים נוספים וזרעו בו הרס רב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האישום החמישי</w:t>
      </w:r>
      <w:r>
        <w:rPr>
          <w:rtl w:val="true"/>
        </w:rPr>
        <w:t xml:space="preserve">, </w:t>
      </w:r>
      <w:r>
        <w:rPr>
          <w:rtl w:val="true"/>
        </w:rPr>
        <w:t>לאחר שביצע המשיב את המעשים המתוארים באישום הרביעי</w:t>
      </w:r>
      <w:r>
        <w:rPr>
          <w:rtl w:val="true"/>
        </w:rPr>
        <w:t xml:space="preserve">, </w:t>
      </w:r>
      <w:r>
        <w:rPr>
          <w:rtl w:val="true"/>
        </w:rPr>
        <w:t xml:space="preserve">הגיע למחסן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המחסן</w:t>
      </w:r>
      <w:r>
        <w:rPr>
          <w:rtl w:val="true"/>
        </w:rPr>
        <w:t xml:space="preserve">) </w:t>
      </w:r>
      <w:r>
        <w:rPr>
          <w:rtl w:val="true"/>
        </w:rPr>
        <w:t>אשר נמצא בסמוך לחנות לממכר תבלינים</w:t>
      </w:r>
      <w:r>
        <w:rPr>
          <w:rtl w:val="true"/>
        </w:rPr>
        <w:t xml:space="preserve">, </w:t>
      </w:r>
      <w:r>
        <w:rPr>
          <w:rtl w:val="true"/>
        </w:rPr>
        <w:t>פיצוחים ומוצרי מכולת בעכו שבבעלות אדם יהודי</w:t>
      </w:r>
      <w:r>
        <w:rPr>
          <w:rtl w:val="true"/>
        </w:rPr>
        <w:t xml:space="preserve">, </w:t>
      </w:r>
      <w:r>
        <w:rPr>
          <w:rtl w:val="true"/>
        </w:rPr>
        <w:t>במטרה לזרוע במקום הרס מתוך מניע של גזענות או עוינות כלפי ציבור מחמת דת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אנשים אחרים שהיו במקום נכנסו אל המחסן והחלו להוציא שקי תבלינים ולשפוך את תכולתם על מדרכה שסמוכה למחסן</w:t>
      </w:r>
      <w:r>
        <w:rPr>
          <w:rtl w:val="true"/>
        </w:rPr>
        <w:t xml:space="preserve">, </w:t>
      </w:r>
      <w:r>
        <w:rPr>
          <w:rtl w:val="true"/>
        </w:rPr>
        <w:t>שברו חפצים</w:t>
      </w:r>
      <w:r>
        <w:rPr>
          <w:rtl w:val="true"/>
        </w:rPr>
        <w:t xml:space="preserve">, </w:t>
      </w:r>
      <w:r>
        <w:rPr>
          <w:rtl w:val="true"/>
        </w:rPr>
        <w:t>וזרעו בו הרס</w:t>
      </w:r>
      <w:r>
        <w:rPr>
          <w:rtl w:val="true"/>
        </w:rPr>
        <w:t xml:space="preserve">. </w:t>
      </w:r>
      <w:r>
        <w:rPr>
          <w:rtl w:val="true"/>
        </w:rPr>
        <w:t>המשיב הבחין במעשי ההרס האמורים והצטרף אליהם</w:t>
      </w:r>
      <w:r>
        <w:rPr>
          <w:rtl w:val="true"/>
        </w:rPr>
        <w:t xml:space="preserve">; </w:t>
      </w:r>
      <w:r>
        <w:rPr>
          <w:rtl w:val="true"/>
        </w:rPr>
        <w:t>המשיב נטל שני שקי תבלינים שהיו מחוץ למחסן</w:t>
      </w:r>
      <w:r>
        <w:rPr>
          <w:rtl w:val="true"/>
        </w:rPr>
        <w:t xml:space="preserve">, </w:t>
      </w:r>
      <w:r>
        <w:rPr>
          <w:rtl w:val="true"/>
        </w:rPr>
        <w:t>הצמידם זה לזה ושילח בהם אש בדרך נמהרת שיש בה כדי לסכן חיי אדם או לגרום לו חבלה</w:t>
      </w:r>
      <w:r>
        <w:rPr>
          <w:rtl w:val="true"/>
        </w:rPr>
        <w:t xml:space="preserve">, </w:t>
      </w:r>
      <w:r>
        <w:rPr>
          <w:rtl w:val="true"/>
        </w:rPr>
        <w:t>מבלי שנקט באמצעי זהירות מפני סכנה מסתברת שכרוכה באש</w:t>
      </w:r>
      <w:r>
        <w:rPr>
          <w:rtl w:val="true"/>
        </w:rPr>
        <w:t xml:space="preserve">, </w:t>
      </w:r>
      <w:r>
        <w:rPr>
          <w:rtl w:val="true"/>
        </w:rPr>
        <w:t>וזאת מתוך מניע של גזענות או עוינות כלפי ציבור</w:t>
      </w:r>
      <w:r>
        <w:rPr>
          <w:rtl w:val="true"/>
        </w:rPr>
        <w:t xml:space="preserve">. </w:t>
      </w:r>
      <w:r>
        <w:rPr>
          <w:rtl w:val="true"/>
        </w:rPr>
        <w:t>בהמשך למתואר</w:t>
      </w:r>
      <w:r>
        <w:rPr>
          <w:rtl w:val="true"/>
        </w:rPr>
        <w:t xml:space="preserve">, </w:t>
      </w:r>
      <w:r>
        <w:rPr>
          <w:rtl w:val="true"/>
        </w:rPr>
        <w:t>הציתו אנשים אחרים את המחסן</w:t>
      </w:r>
      <w:r>
        <w:rPr>
          <w:rtl w:val="true"/>
        </w:rPr>
        <w:t xml:space="preserve">, </w:t>
      </w:r>
      <w:r>
        <w:rPr>
          <w:rtl w:val="true"/>
        </w:rPr>
        <w:t>אשר נשרף כליל על תכולתו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המעשים המתוארים יוחסו למשיב בכתב האישום המתוקן העבירות המפורטות ברישה</w:t>
      </w:r>
      <w:r>
        <w:rPr>
          <w:rtl w:val="true"/>
        </w:rPr>
        <w:t xml:space="preserve">. </w:t>
      </w:r>
      <w:r>
        <w:rPr>
          <w:rtl w:val="true"/>
        </w:rPr>
        <w:t>המשיב הודה במעשים האמורים במסגרת הסדר טיעון שלא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31.1.2022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tl w:val="true"/>
        </w:rPr>
        <w:t xml:space="preserve">) </w:t>
      </w:r>
      <w:r>
        <w:rPr>
          <w:rtl w:val="true"/>
        </w:rPr>
        <w:t>את המשיב על פי הודאתו בעבירות המתוארות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26.4.2022</w:t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ניתן גזר הדין בעניינו של המשיב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בית המשפט המחוזי</w:t>
      </w:r>
      <w:r>
        <w:rPr>
          <w:rFonts w:ascii="Century" w:hAnsi="Century" w:cs="Century"/>
          <w:rtl w:val="true"/>
        </w:rPr>
        <w:t xml:space="preserve"> עמד על </w:t>
      </w:r>
      <w:r>
        <w:rPr>
          <w:rFonts w:ascii="Century" w:hAnsi="Century" w:cs="Century"/>
          <w:rtl w:val="true"/>
        </w:rPr>
        <w:t>כך שמעשיו של המשיב פגעו בשלום 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בסדרי השלטון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בביטחון הציבור ובהגנה על הרכוש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וציין כי מעשים שבבסיסם מניע גזעני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פוגעים במרקם החיים הציבורי ובתחושת הביטחון האישי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בית המשפט כי שירות המבחן התרשם כי המניע למעשים שביצע המשיב הינו הרצון לקבל הערכה ולהרשים את סביבתו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תחושת ניכור ופגיעות שחווה במסגרת המשפחתית והחברתית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לעמדת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מעצרו הראשון של המשיב וההליך המשפטי בגין המעשים המתוארים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עולים כדי גורם הרתעה משמעותי בעניינו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שירות המבחן לא הניח המלצה לענישה שיקומית בעניינו של המשיב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 כי מידת הפגיעה במעשים האמורים הינה ברף הבינוני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למספר המקומות השונים בהם פעל המשיב מחד 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שבחלק מן המקרים המשיב הגיע למקום שבו כבר נעשה נזק משמעותי על ידי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ושמעשיו שלו גרמו לנזק שאינו רחב היקף מאידך גיסא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ציין בית המשפט כי יידוי האבנים על ידי המשיב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במסגרת האישום הראשון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בוצע בהיקף מצומצם באופן יחסי וממרחק מהשוטרים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המסוכנות שנובעת ממעשים אלה מוגבלת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עמד על הודאתו של המשיב בשלב מוקדם בהליך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כך שבעת ביצוע העבירות היה המשיב בן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ובעל עבר פלילי נקי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הפריד בין האישום הראשון לבין יתר האישומים לעניין קביעת מתחמי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קבע</w:t>
      </w:r>
      <w:r>
        <w:rPr>
          <w:rFonts w:ascii="Century" w:hAnsi="Century" w:cs="Century"/>
          <w:rtl w:val="true"/>
        </w:rPr>
        <w:t xml:space="preserve"> כי </w:t>
      </w:r>
      <w:r>
        <w:rPr>
          <w:rFonts w:ascii="Century" w:hAnsi="Century" w:cs="Century"/>
          <w:rtl w:val="true"/>
        </w:rPr>
        <w:t>ביחס לאישום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מתחם העונש ההולם הוא בין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עונשים נלווים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וביחס ליתר האישומים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נעשו על רקע גזעני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מתחם שבין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עונשים נלווים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בית המשפט קבע כי נוכח הודאתו המיידית והבעת החרטה של המשיב</w:t>
      </w:r>
      <w:r>
        <w:rPr>
          <w:rtl w:val="true"/>
        </w:rPr>
        <w:t xml:space="preserve">, </w:t>
      </w:r>
      <w:r>
        <w:rPr>
          <w:rtl w:val="true"/>
        </w:rPr>
        <w:t>עברו הפלילי הנקי</w:t>
      </w:r>
      <w:r>
        <w:rPr>
          <w:rtl w:val="true"/>
        </w:rPr>
        <w:t xml:space="preserve">, </w:t>
      </w:r>
      <w:r>
        <w:rPr>
          <w:rtl w:val="true"/>
        </w:rPr>
        <w:t>והערכת הסיכון של שירות המבחן שלפיה הסיכוי להישנות העבירות האמורות על ידו נמוך</w:t>
      </w:r>
      <w:r>
        <w:rPr>
          <w:rtl w:val="true"/>
        </w:rPr>
        <w:t xml:space="preserve">, </w:t>
      </w:r>
      <w:r>
        <w:rPr>
          <w:rtl w:val="true"/>
        </w:rPr>
        <w:t>יש למקם את עונשו של המשיב ברף התחתון של מתחם הענישה</w:t>
      </w:r>
      <w:r>
        <w:rPr>
          <w:rtl w:val="true"/>
        </w:rPr>
        <w:t xml:space="preserve">. </w:t>
      </w:r>
      <w:r>
        <w:rPr>
          <w:rtl w:val="true"/>
        </w:rPr>
        <w:t>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על המשיב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 מיום מעצרו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מאסר על תנאי </w:t>
      </w:r>
      <w:r>
        <w:rPr>
          <w:rtl w:val="true"/>
        </w:rPr>
        <w:t>(</w:t>
      </w:r>
      <w:r>
        <w:rPr>
          <w:rtl w:val="true"/>
        </w:rPr>
        <w:t xml:space="preserve">כפי </w:t>
      </w:r>
      <w:r>
        <w:rPr>
          <w:rtl w:val="true"/>
        </w:rPr>
        <w:t>שפורט בגזר הדין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לבסוף נקבע כי נוכח העובדה שהיקף הנזקים שנגרמו כתוצאה ממעשי המשיב לא פורט בכתב האישום</w:t>
      </w:r>
      <w:r>
        <w:rPr>
          <w:rtl w:val="true"/>
        </w:rPr>
        <w:t xml:space="preserve">, </w:t>
      </w:r>
      <w:r>
        <w:rPr>
          <w:rtl w:val="true"/>
        </w:rPr>
        <w:t>וכי האישומים נוגעים למתחמים שניזוקו בעיקר על ידי אנשים אחרים</w:t>
      </w:r>
      <w:r>
        <w:rPr>
          <w:rtl w:val="true"/>
        </w:rPr>
        <w:t xml:space="preserve">; </w:t>
      </w:r>
      <w:r>
        <w:rPr>
          <w:rtl w:val="true"/>
        </w:rPr>
        <w:t>ובשים לב למצבו הכלכלי של המשיב</w:t>
      </w:r>
      <w:r>
        <w:rPr>
          <w:rtl w:val="true"/>
        </w:rPr>
        <w:t xml:space="preserve">, </w:t>
      </w:r>
      <w:r>
        <w:rPr>
          <w:rtl w:val="true"/>
        </w:rPr>
        <w:t>נסיבותיו האישיות</w:t>
      </w:r>
      <w:r>
        <w:rPr>
          <w:rtl w:val="true"/>
        </w:rPr>
        <w:t xml:space="preserve">, </w:t>
      </w:r>
      <w:r>
        <w:rPr>
          <w:rtl w:val="true"/>
        </w:rPr>
        <w:t>והיעדר מידע בנוגע לפיצוי דומה שניתן בהליכים אחרים</w:t>
      </w:r>
      <w:r>
        <w:rPr>
          <w:rtl w:val="true"/>
        </w:rPr>
        <w:t xml:space="preserve">, </w:t>
      </w:r>
      <w:r>
        <w:rPr>
          <w:rtl w:val="true"/>
        </w:rPr>
        <w:t>לא ייגזר עליו פיצוי או קנס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מכאן ערעור המדינה שלפנינו </w:t>
      </w:r>
      <w:r>
        <w:rPr>
          <w:rtl w:val="true"/>
        </w:rPr>
        <w:t>שמ</w:t>
      </w:r>
      <w:r>
        <w:rPr>
          <w:rtl w:val="true"/>
        </w:rPr>
        <w:t xml:space="preserve">כוון לקולת </w:t>
      </w:r>
      <w:r>
        <w:rPr>
          <w:rtl w:val="true"/>
        </w:rPr>
        <w:t>העונש שגזר בית המשפט המחוזי על המשיב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Normal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המערערת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מתחמי העונש שנקבעו אינם הולמים את חומרת העבירות שבוצעו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 כמות העבירות</w:t>
      </w:r>
      <w:r>
        <w:rPr>
          <w:rtl w:val="true"/>
        </w:rPr>
        <w:t xml:space="preserve">, </w:t>
      </w:r>
      <w:r>
        <w:rPr>
          <w:rtl w:val="true"/>
        </w:rPr>
        <w:t>התכנון שקדם למעשים</w:t>
      </w:r>
      <w:r>
        <w:rPr>
          <w:rtl w:val="true"/>
        </w:rPr>
        <w:t xml:space="preserve">, </w:t>
      </w:r>
      <w:r>
        <w:rPr>
          <w:rtl w:val="true"/>
        </w:rPr>
        <w:t>מספר נפגעי העבירה והיקף הנזק שנגרם</w:t>
      </w:r>
      <w:r>
        <w:rPr>
          <w:rtl w:val="true"/>
        </w:rPr>
        <w:t xml:space="preserve">); </w:t>
      </w:r>
      <w:r>
        <w:rPr>
          <w:rtl w:val="true"/>
        </w:rPr>
        <w:t xml:space="preserve">וכי בית המשפט המחוזי שגה כשקבע מתחם ענישה אחד עבור העבירות שמופיעות באישומים </w:t>
      </w:r>
      <w:r>
        <w:rPr/>
        <w:t>5-2</w:t>
      </w:r>
      <w:r>
        <w:rPr>
          <w:rtl w:val="true"/>
        </w:rPr>
        <w:t xml:space="preserve">, </w:t>
      </w:r>
      <w:r>
        <w:rPr>
          <w:rtl w:val="true"/>
        </w:rPr>
        <w:t>חרף המקומות המגוונים שבהם בוצעו ונפגעי העבירה השונים בכל אחד מן האישומים</w:t>
      </w:r>
      <w:r>
        <w:rPr>
          <w:rtl w:val="true"/>
        </w:rPr>
        <w:t xml:space="preserve">. </w:t>
      </w:r>
      <w:r>
        <w:rPr>
          <w:rtl w:val="true"/>
        </w:rPr>
        <w:t>נטען כי בית המשפט המחוזי לא העניק משקל מספק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חומרה היתרה שגלומה בביצוע עבירות על רקע גזעני</w:t>
      </w:r>
      <w:r>
        <w:rPr>
          <w:rtl w:val="true"/>
        </w:rPr>
        <w:t xml:space="preserve">, </w:t>
      </w:r>
      <w:r>
        <w:rPr>
          <w:rtl w:val="true"/>
        </w:rPr>
        <w:t xml:space="preserve">וכי על </w:t>
      </w:r>
      <w:r>
        <w:rPr>
          <w:rtl w:val="true"/>
        </w:rPr>
        <w:t>אף התייחס</w:t>
      </w:r>
      <w:r>
        <w:rPr>
          <w:rtl w:val="true"/>
        </w:rPr>
        <w:t>ותו</w:t>
      </w:r>
      <w:r>
        <w:rPr>
          <w:rtl w:val="true"/>
        </w:rPr>
        <w:t xml:space="preserve"> ל</w:t>
      </w:r>
      <w:r>
        <w:rPr>
          <w:rtl w:val="true"/>
        </w:rPr>
        <w:t>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לא ניתן </w:t>
      </w:r>
      <w:r>
        <w:rPr>
          <w:rtl w:val="true"/>
        </w:rPr>
        <w:t xml:space="preserve">לכך </w:t>
      </w:r>
      <w:r>
        <w:rPr>
          <w:rtl w:val="true"/>
        </w:rPr>
        <w:t>משקל הולם</w:t>
      </w:r>
      <w:r>
        <w:rPr>
          <w:rtl w:val="true"/>
        </w:rPr>
        <w:t xml:space="preserve">, </w:t>
      </w:r>
      <w:r>
        <w:rPr>
          <w:rtl w:val="true"/>
        </w:rPr>
        <w:t xml:space="preserve">בשים לב </w:t>
      </w:r>
      <w:r>
        <w:rPr>
          <w:rtl w:val="true"/>
        </w:rPr>
        <w:t xml:space="preserve">כי </w:t>
      </w:r>
      <w:r>
        <w:rPr>
          <w:rtl w:val="true"/>
        </w:rPr>
        <w:t xml:space="preserve">מדובר בנסיבה מחמירה אשר יש בה להכפיל את העונש שקבוע לעבירה או להעלותו לעונש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tl w:val="true"/>
        </w:rPr>
        <w:t xml:space="preserve">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לא ניתן משקל מספק לעיתוי שבו בוצעו העבירות </w:t>
      </w:r>
      <w:r>
        <w:rPr>
          <w:rtl w:val="true"/>
        </w:rPr>
        <w:t>(</w:t>
      </w:r>
      <w:r>
        <w:rPr>
          <w:rtl w:val="true"/>
        </w:rPr>
        <w:t xml:space="preserve">מבצע </w:t>
      </w:r>
      <w:r>
        <w:rPr>
          <w:rtl w:val="true"/>
        </w:rPr>
        <w:t>"</w:t>
      </w:r>
      <w:r>
        <w:rPr>
          <w:rtl w:val="true"/>
        </w:rPr>
        <w:t>שומר החומות</w:t>
      </w:r>
      <w:r>
        <w:rPr>
          <w:rtl w:val="true"/>
        </w:rPr>
        <w:t xml:space="preserve">") </w:t>
      </w:r>
      <w:r>
        <w:rPr>
          <w:rtl w:val="true"/>
        </w:rPr>
        <w:t>ולבחירתו המודעת של המשיב להצטרף לאירועי ההרס והביזה במהלך אותה תקופה קשה</w:t>
      </w:r>
      <w:r>
        <w:rPr>
          <w:rtl w:val="true"/>
        </w:rPr>
        <w:t xml:space="preserve">. </w:t>
      </w:r>
      <w:r>
        <w:rPr>
          <w:rtl w:val="true"/>
        </w:rPr>
        <w:t>לעניין זה טוענת המערערת כי שגה בית המשפט המחוזי עת שהתחשב לקולה בהיקף הנזק שנגרם באופן ספציפי ממעשיו של המשיב</w:t>
      </w:r>
      <w:r>
        <w:rPr>
          <w:rtl w:val="true"/>
        </w:rPr>
        <w:t xml:space="preserve">, </w:t>
      </w:r>
      <w:r>
        <w:rPr>
          <w:rtl w:val="true"/>
        </w:rPr>
        <w:t>נוכח טיבם של אירועי התפרעות</w:t>
      </w:r>
      <w:r>
        <w:rPr>
          <w:rtl w:val="true"/>
        </w:rPr>
        <w:t xml:space="preserve">, </w:t>
      </w:r>
      <w:r>
        <w:rPr>
          <w:rtl w:val="true"/>
        </w:rPr>
        <w:t>אשר מתאפיינים בכך שחלקו של הפרט אמנם מוגבל</w:t>
      </w:r>
      <w:r>
        <w:rPr>
          <w:rtl w:val="true"/>
        </w:rPr>
        <w:t xml:space="preserve">, </w:t>
      </w:r>
      <w:r>
        <w:rPr>
          <w:rtl w:val="true"/>
        </w:rPr>
        <w:t>אך הצטברות התפרעותם של פרטים רבים יוצרת נחשול של אלימות והרס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לשיטת המערערת</w:t>
      </w:r>
      <w:r>
        <w:rPr>
          <w:rtl w:val="true"/>
        </w:rPr>
        <w:t xml:space="preserve">, </w:t>
      </w:r>
      <w:r>
        <w:rPr>
          <w:rtl w:val="true"/>
        </w:rPr>
        <w:t>יש לבחון את אירועי ההתפרעות כמכלול חלף התמקדות בחלקו הספציפי של המשיב</w:t>
      </w:r>
      <w:r>
        <w:rPr>
          <w:rtl w:val="true"/>
        </w:rPr>
        <w:t xml:space="preserve">. </w:t>
      </w:r>
      <w:r>
        <w:rPr>
          <w:rtl w:val="true"/>
        </w:rPr>
        <w:t>המערערת מדגישה כי העונש שנגזר על המשיב לא הולם את חומרת מעשיו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 שגה בית המשפט עת שמיקם את עונשו של המשיב בתחתית מתחם הענישה ולא באמצע המתחם</w:t>
      </w:r>
      <w:r>
        <w:rPr>
          <w:rtl w:val="true"/>
        </w:rPr>
        <w:t xml:space="preserve">. </w:t>
      </w:r>
      <w:r>
        <w:rPr>
          <w:rtl w:val="true"/>
        </w:rPr>
        <w:t>לעניין זה נטען כי בניגוד לקביעת בית המשפט לעניין רמת מסוכנותו של המשיב</w:t>
      </w:r>
      <w:r>
        <w:rPr>
          <w:rtl w:val="true"/>
        </w:rPr>
        <w:t xml:space="preserve">, </w:t>
      </w:r>
      <w:r>
        <w:rPr>
          <w:rtl w:val="true"/>
        </w:rPr>
        <w:t>שירות המבחן התרשם כי נשקפת מסוכנות לביצוע עבירות דומות בעתיד אולם יש קושי בהערכת עוצמת המסוכנות</w:t>
      </w:r>
      <w:r>
        <w:rPr>
          <w:rtl w:val="true"/>
        </w:rPr>
        <w:t xml:space="preserve">. </w:t>
      </w:r>
      <w:r>
        <w:rPr>
          <w:rtl w:val="true"/>
        </w:rPr>
        <w:t>עוד נטען כי לא ניתן משקל ללהיטות הרבה שאפיינה את ביצוע העבירות על ידי המשיב</w:t>
      </w:r>
      <w:r>
        <w:rPr>
          <w:rtl w:val="true"/>
        </w:rPr>
        <w:t xml:space="preserve">, </w:t>
      </w:r>
      <w:r>
        <w:rPr>
          <w:rtl w:val="true"/>
        </w:rPr>
        <w:t>אשר מלמדת אף היא על המסוכנות הרבה שנשקפת ממנו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לבסוף טוענת המערערת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עת שהעניק משקל ליכולתו הכלכלית של המשיב לעניין הפיצוי לנפגעי העבירות</w:t>
      </w:r>
      <w:r>
        <w:rPr>
          <w:rtl w:val="true"/>
        </w:rPr>
        <w:t xml:space="preserve">; </w:t>
      </w:r>
      <w:r>
        <w:rPr>
          <w:rtl w:val="true"/>
        </w:rPr>
        <w:t>וכי הטלת פיצוי על המשיב אינה מחייבת הוכחת נזק</w:t>
      </w:r>
      <w:r>
        <w:rPr>
          <w:rtl w:val="true"/>
        </w:rPr>
        <w:t xml:space="preserve">, </w:t>
      </w:r>
      <w:r>
        <w:rPr>
          <w:rtl w:val="true"/>
        </w:rPr>
        <w:t>אלא תלויה בהתרשמותו של בית המשפט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נוכח הסבל והנזק שנגרם לנפגעי העבירות שביצע המשיב</w:t>
      </w:r>
      <w:r>
        <w:rPr>
          <w:rtl w:val="true"/>
        </w:rPr>
        <w:t xml:space="preserve">, </w:t>
      </w:r>
      <w:r>
        <w:rPr>
          <w:rtl w:val="true"/>
        </w:rPr>
        <w:t>יש לפסוק פיצויים לזכות נפגעי העבירות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המשיב מצדו סומך ידיו על פסק דינו של בית המשפט המחוזי</w:t>
      </w:r>
      <w:r>
        <w:rPr>
          <w:rFonts w:ascii="Century" w:hAnsi="Century" w:cs="Century"/>
          <w:sz w:val="22"/>
          <w:sz w:val="22"/>
          <w:rtl w:val="true"/>
        </w:rPr>
        <w:t xml:space="preserve"> בכל שאמור בעונש המאסר שנגזר עליו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העונש שהושת עליו </w:t>
      </w:r>
      <w:r>
        <w:rPr>
          <w:rFonts w:ascii="Century" w:hAnsi="Century" w:cs="Century"/>
          <w:sz w:val="22"/>
          <w:sz w:val="22"/>
          <w:rtl w:val="true"/>
        </w:rPr>
        <w:t>אינו מחמיר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אולם המקרה דנן אינו מצדיק את התערבות ערכאת הערעור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עוד טוען המשיב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בניגוד לטענת המערערת יש לבחון את חלקו היחסי במעשים המתוארים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חלף בחינת מעשיו כחלק מן ההתפרעויות הכלליות שתוארו לעיל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המשיב הדגיש את עברו הפלילי הנקי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גילו הצעיר בעת ביצוע המעשים המתוארים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ואת נסיבותיו האישיות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ביחס לרכיב פיצוי נפגעי העבירות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טוען המשיב כי על אף שאינו סבור שעל פיצוי נפגעי העבירות לשקף את הנזק שנגרם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לשיטתו אין התנגדות שייקבע פיצוי בסכום מסוים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לאחר ששקלנו את נימוקי הערעור ושמענו את טענות הצדדים בדיון שקיימנו 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יש לקבל את ערעור המדינה</w:t>
      </w:r>
      <w:r>
        <w:rPr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כידוע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לא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בנקל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תתערב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ערכאת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הערעור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Fonts w:ascii="FrankRuehl" w:hAnsi="FrankRuehl"/>
          <w:color w:val="000000"/>
          <w:sz w:val="28"/>
          <w:sz w:val="28"/>
          <w:rtl w:val="true"/>
        </w:rPr>
        <w:t>חומרת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</w:t>
      </w:r>
      <w:r>
        <w:rPr>
          <w:rFonts w:ascii="FrankRuehl" w:hAnsi="FrankRuehl"/>
          <w:color w:val="000000"/>
          <w:sz w:val="28"/>
          <w:sz w:val="28"/>
          <w:rtl w:val="true"/>
        </w:rPr>
        <w:t>עונש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שהטילה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הערכאה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הדיונית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אולם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המקרה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דנן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בא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בקהלם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של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המקרים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החריגים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שבהם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מוצדקת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התערבות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ביאדסה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 xml:space="preserve">); 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זיאדאת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6.3.2022</w:t>
      </w:r>
      <w:r>
        <w:rPr>
          <w:rtl w:val="true"/>
        </w:rPr>
        <w:t xml:space="preserve">);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24.2.2022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שורדיקר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24.8.2021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בית משפט זה עמד לא אחת על החומרה הגלומה בעבירות התפרעויות המונים</w:t>
      </w:r>
      <w:r>
        <w:rPr>
          <w:rtl w:val="true"/>
        </w:rPr>
        <w:t>,</w:t>
      </w:r>
      <w:r>
        <w:rPr>
          <w:rFonts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ועל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הצורך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לנקוט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במדיניות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ענישה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אשר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תרתיע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ותרסן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התפרעויות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</w:t>
      </w:r>
      <w:r>
        <w:rPr>
          <w:rFonts w:ascii="FrankRuehl" w:hAnsi="FrankRuehl"/>
          <w:color w:val="000000"/>
          <w:sz w:val="28"/>
          <w:sz w:val="28"/>
          <w:rtl w:val="true"/>
        </w:rPr>
        <w:t>עלולות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לסחוף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המון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רב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לצאת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מגדר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שליטה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ולסכן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חיי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אדם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עניין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פסקה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</w:rPr>
        <w:t>8</w:t>
      </w:r>
      <w:r>
        <w:rPr>
          <w:rFonts w:ascii="FrankRuehl" w:hAnsi="FrankRuehl"/>
          <w:color w:val="000000"/>
          <w:sz w:val="28"/>
          <w:rtl w:val="true"/>
        </w:rPr>
        <w:t xml:space="preserve">; </w:t>
      </w:r>
      <w:hyperlink r:id="rId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Ruehl" w:hAnsi="FrankRuehl" w:eastAsia="FrankRuehl" w:cs="FrankRueh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/>
            <w:color w:val="0000FF"/>
            <w:sz w:val="28"/>
            <w:u w:val="single"/>
          </w:rPr>
          <w:t>2285/05</w:t>
        </w:r>
      </w:hyperlink>
      <w:r>
        <w:rPr>
          <w:rFonts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חמד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פסקה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</w:rPr>
        <w:t>7</w:t>
      </w:r>
      <w:r>
        <w:rPr>
          <w:rFonts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</w:rPr>
        <w:t>5.12.2005</w:t>
      </w:r>
      <w:r>
        <w:rPr>
          <w:rFonts w:ascii="FrankRuehl" w:hAnsi="FrankRuehl"/>
          <w:color w:val="000000"/>
          <w:sz w:val="28"/>
          <w:rtl w:val="true"/>
        </w:rPr>
        <w:t>) 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>עניין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חמד</w:t>
      </w:r>
      <w:r>
        <w:rPr>
          <w:rFonts w:ascii="FrankRuehl" w:hAnsi="FrankRuehl"/>
          <w:color w:val="000000"/>
          <w:sz w:val="28"/>
          <w:rtl w:val="true"/>
        </w:rPr>
        <w:t>)</w:t>
      </w:r>
      <w:r>
        <w:rPr>
          <w:rFonts w:ascii="FrankRuehl" w:hAnsi="FrankRuehl"/>
          <w:color w:val="000000"/>
          <w:sz w:val="28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 xml:space="preserve">הדברים האמורים זוכים למשנה תוקף עת שמדובר בעבירות שבוצעו ממניע גזעני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נסיבה מחמירה שבכוחה להכפיל את עונשו של מבצע העבירה או להוביל למאסר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לפי העונש הקל יותר </w:t>
      </w:r>
      <w:r>
        <w:rPr>
          <w:rtl w:val="true"/>
        </w:rPr>
        <w:t>(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בית משפט זה קבע בעבר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כאשר מדובר בעבירות שבוצעו מתוך מניע גזעני</w:t>
      </w:r>
      <w:r>
        <w:rPr>
          <w:rFonts w:ascii="FrankRuehl" w:hAnsi="FrankRuehl"/>
          <w:color w:val="000000"/>
          <w:spacing w:val="6"/>
          <w:sz w:val="28"/>
          <w:rtl w:val="true"/>
        </w:rPr>
        <w:t>,</w:t>
      </w:r>
      <w:r>
        <w:rPr>
          <w:rFonts w:ascii="FrankRuehl" w:hAnsi="FrankRuehl"/>
          <w:color w:val="000000"/>
          <w:spacing w:val="6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שיקולי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ההגנה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על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שלום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הציבור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וביטחונו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ושיקולי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הרתעת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היחיד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והרבים</w:t>
      </w:r>
      <w:r>
        <w:rPr>
          <w:rFonts w:ascii="FrankRuehl" w:hAnsi="FrankRuehl"/>
          <w:color w:val="000000"/>
          <w:spacing w:val="6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גוברים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על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שיקולי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ענישה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אחרים</w:t>
      </w:r>
      <w:r>
        <w:rPr>
          <w:rFonts w:ascii="FrankRuehl" w:hAnsi="FrankRuehl"/>
          <w:color w:val="000000"/>
          <w:spacing w:val="6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ובהם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נסיבות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אישיות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ושיקולי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>שיקום</w:t>
      </w:r>
      <w:r>
        <w:rPr>
          <w:rFonts w:ascii="FrankRuehl" w:hAnsi="FrankRuehl" w:eastAsia="FrankRuehl" w:cs="FrankRuehl"/>
          <w:color w:val="000000"/>
          <w:spacing w:val="6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pacing w:val="6"/>
          <w:sz w:val="28"/>
          <w:rtl w:val="true"/>
        </w:rPr>
        <w:t>(</w:t>
      </w:r>
      <w:hyperlink r:id="rId12">
        <w:r>
          <w:rPr>
            <w:rStyle w:val="Hyperlink"/>
            <w:rFonts w:ascii="FrankRuehl" w:hAnsi="FrankRuehl"/>
            <w:color w:val="0000FF"/>
            <w:spacing w:val="6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ascii="FrankRuehl" w:hAnsi="FrankRuehl"/>
            <w:color w:val="0000FF"/>
            <w:spacing w:val="6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6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Ruehl" w:hAnsi="FrankRuehl" w:eastAsia="FrankRuehl" w:cs="FrankRuehl"/>
            <w:color w:val="0000FF"/>
            <w:spacing w:val="6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/>
            <w:color w:val="0000FF"/>
            <w:spacing w:val="6"/>
            <w:sz w:val="28"/>
            <w:u w:val="single"/>
          </w:rPr>
          <w:t>3793/18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3.5.2020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2460/15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4.5.2016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המערערת טענה כי מתח</w:t>
      </w:r>
      <w:r>
        <w:rPr>
          <w:rtl w:val="true"/>
        </w:rPr>
        <w:t>מי</w:t>
      </w:r>
      <w:r>
        <w:rPr>
          <w:rtl w:val="true"/>
        </w:rPr>
        <w:t xml:space="preserve"> העונש שקבע בית המשפט</w:t>
      </w:r>
      <w:r>
        <w:rPr>
          <w:rtl w:val="true"/>
        </w:rPr>
        <w:t xml:space="preserve"> המחוזי</w:t>
      </w:r>
      <w:r>
        <w:rPr>
          <w:rtl w:val="true"/>
        </w:rPr>
        <w:t xml:space="preserve"> אינ</w:t>
      </w:r>
      <w:r>
        <w:rPr>
          <w:rtl w:val="true"/>
        </w:rPr>
        <w:t>ם</w:t>
      </w:r>
      <w:r>
        <w:rPr>
          <w:rtl w:val="true"/>
        </w:rPr>
        <w:t xml:space="preserve"> הול</w:t>
      </w:r>
      <w:r>
        <w:rPr>
          <w:rtl w:val="true"/>
        </w:rPr>
        <w:t>מים</w:t>
      </w:r>
      <w:r>
        <w:rPr>
          <w:rtl w:val="true"/>
        </w:rPr>
        <w:t xml:space="preserve"> את חומרת מעשיו של המשיב</w:t>
      </w:r>
      <w:r>
        <w:rPr>
          <w:rtl w:val="true"/>
        </w:rPr>
        <w:t xml:space="preserve">, </w:t>
      </w:r>
      <w:r>
        <w:rPr>
          <w:rtl w:val="true"/>
        </w:rPr>
        <w:t>וכי יש לקבוע מתחם ענישה נפרד עבור כל אחד מן האישומים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מתחם הענישה ההולם עשוי להשתנות בהתאם לנסיבות המקרה הפרטיקולרי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לערכאה הדיונית </w:t>
      </w:r>
      <w:r>
        <w:rPr>
          <w:rtl w:val="true"/>
        </w:rPr>
        <w:t xml:space="preserve">נתון </w:t>
      </w:r>
      <w:r>
        <w:rPr>
          <w:rtl w:val="true"/>
        </w:rPr>
        <w:t>שיקול דעת רחב בקביעת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בסילה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28.12.2021</w:t>
      </w:r>
      <w:r>
        <w:rPr>
          <w:rtl w:val="true"/>
        </w:rPr>
        <w:t xml:space="preserve">);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2251/21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26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15.12.2021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בקביעת מתחמי העונש ההולמים נתן בית המשפט משקל לכך שחלקו היחסי של המשיב באירועים היה מצומצם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כפי שנקבע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כאשר מדובר בעבירות שמבוצעות על ידי המון מתפרע יש לתת לכך משקל מועט</w:t>
      </w:r>
      <w:r>
        <w:rPr>
          <w:rtl w:val="true"/>
        </w:rPr>
        <w:t xml:space="preserve">. </w:t>
      </w:r>
      <w:r>
        <w:rPr>
          <w:rtl w:val="true"/>
        </w:rPr>
        <w:t>במצבים אלה</w:t>
      </w:r>
      <w:r>
        <w:rPr>
          <w:rtl w:val="true"/>
        </w:rPr>
        <w:t xml:space="preserve">, </w:t>
      </w:r>
      <w:r>
        <w:rPr>
          <w:rtl w:val="true"/>
        </w:rPr>
        <w:t>אחריותו של המשיב אינה נקבעת אך על פי תרומתו הישירה לאירוע</w:t>
      </w:r>
      <w:r>
        <w:rPr>
          <w:rtl w:val="true"/>
        </w:rPr>
        <w:t xml:space="preserve">, </w:t>
      </w:r>
      <w:r>
        <w:rPr>
          <w:rtl w:val="true"/>
        </w:rPr>
        <w:t>אלא מתוך ראיה רחבה יותר של מטרתו המשותפת של ההמון שהוא היה חלק ממנו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10423/07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סיטרין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11.6.2008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6569/05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יד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24.7.2006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 xml:space="preserve">גם מבלי לטעת מסמרות באשר לגבולות המדויקים של המתחמים </w:t>
      </w:r>
      <w:r>
        <w:rPr>
          <w:rtl w:val="true"/>
        </w:rPr>
        <w:t>מצא</w:t>
      </w:r>
      <w:r>
        <w:rPr>
          <w:rtl w:val="true"/>
        </w:rPr>
        <w:t>תי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עונשו של המשיב אינו הולם את חומרת מעשיו</w:t>
      </w:r>
      <w:r>
        <w:rPr>
          <w:rtl w:val="true"/>
        </w:rPr>
        <w:t xml:space="preserve"> על יסוד שיקולי הענישה שהוזכרו לעיל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גזר על המשיב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אני סבור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 xml:space="preserve">בקביעת עונש זה לא </w:t>
      </w:r>
      <w:r>
        <w:rPr>
          <w:rtl w:val="true"/>
        </w:rPr>
        <w:t>העניק</w:t>
      </w:r>
      <w:r>
        <w:rPr>
          <w:rtl w:val="true"/>
        </w:rPr>
        <w:t xml:space="preserve"> בית המשפט משקל מספק לעקרון ההלימה</w:t>
      </w:r>
      <w:r>
        <w:rPr>
          <w:rtl w:val="true"/>
        </w:rPr>
        <w:t xml:space="preserve">, </w:t>
      </w:r>
      <w:r>
        <w:rPr>
          <w:rtl w:val="true"/>
        </w:rPr>
        <w:t xml:space="preserve">נוכח </w:t>
      </w:r>
      <w:r>
        <w:rPr>
          <w:rtl w:val="true"/>
        </w:rPr>
        <w:t>חומרת מעשי המשיב ונסיבות ביצוע העבירה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המשיב לקח חלק במספר אירועים בזמנים שונים</w:t>
      </w:r>
      <w:r>
        <w:rPr>
          <w:rtl w:val="true"/>
        </w:rPr>
        <w:t xml:space="preserve">; </w:t>
      </w:r>
      <w:r>
        <w:rPr>
          <w:rtl w:val="true"/>
        </w:rPr>
        <w:t>האירועים האמורים כללו משתתפים רבים</w:t>
      </w:r>
      <w:r>
        <w:rPr>
          <w:rtl w:val="true"/>
        </w:rPr>
        <w:t xml:space="preserve">; </w:t>
      </w:r>
      <w:r>
        <w:rPr>
          <w:rtl w:val="true"/>
        </w:rPr>
        <w:t>במסגרת אותם האירועים נגרם נזק רב לרכוש כמתואר לעיל</w:t>
      </w:r>
      <w:r>
        <w:rPr>
          <w:rtl w:val="true"/>
        </w:rPr>
        <w:t xml:space="preserve">; </w:t>
      </w:r>
      <w:r>
        <w:rPr>
          <w:rtl w:val="true"/>
        </w:rPr>
        <w:t>ובבסיס האירועים עמד מניע גזעני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הפגיעה החמורה בשלום הציבור ובביטחונו שנשקפת ממעשיו של המשיב מחייבת ענישה מחמירה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3708/21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13.7.2021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16.9.2014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אלדבס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יד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17.3.2014</w:t>
      </w:r>
      <w:r>
        <w:rPr>
          <w:rtl w:val="true"/>
        </w:rPr>
        <w:t xml:space="preserve">)). </w:t>
      </w:r>
      <w:r>
        <w:rPr>
          <w:rtl w:val="true"/>
        </w:rPr>
        <w:t>הגם ש</w:t>
      </w:r>
      <w:r>
        <w:rPr>
          <w:rtl w:val="true"/>
        </w:rPr>
        <w:t>בגזירת עונשו של המשיב היה מקום להתחשב בהודאתו</w:t>
      </w:r>
      <w:r>
        <w:rPr>
          <w:rtl w:val="true"/>
        </w:rPr>
        <w:t xml:space="preserve">, </w:t>
      </w:r>
      <w:r>
        <w:rPr>
          <w:rtl w:val="true"/>
        </w:rPr>
        <w:t>בגילו הצעיר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ובע</w:t>
      </w:r>
      <w:r>
        <w:rPr>
          <w:rtl w:val="true"/>
        </w:rPr>
        <w:t xml:space="preserve">ברו הפלילי הנקי </w:t>
      </w:r>
      <w:r>
        <w:rPr>
          <w:rtl w:val="true"/>
        </w:rPr>
        <w:t>(</w:t>
      </w:r>
      <w:r>
        <w:rPr>
          <w:rtl w:val="true"/>
        </w:rPr>
        <w:t>כפי שאכן קבע בית המשפט המחוזי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מלאכת ה</w:t>
      </w:r>
      <w:r>
        <w:rPr>
          <w:rtl w:val="true"/>
        </w:rPr>
        <w:t xml:space="preserve">איזון </w:t>
      </w:r>
      <w:r>
        <w:rPr>
          <w:rtl w:val="true"/>
        </w:rPr>
        <w:t>ש</w:t>
      </w:r>
      <w:r>
        <w:rPr>
          <w:rtl w:val="true"/>
        </w:rPr>
        <w:t>בין שיקולים אלה לבין שיקולי הרתעה והגנה על שלום הציבור</w:t>
      </w:r>
      <w:r>
        <w:rPr>
          <w:rtl w:val="true"/>
        </w:rPr>
        <w:t xml:space="preserve"> בעבירות שמבוצעות ממניע גזעני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 לתת משקל מוגבר לאחרונים</w:t>
      </w:r>
      <w:r>
        <w:rPr>
          <w:rtl w:val="true"/>
        </w:rPr>
        <w:t xml:space="preserve">, </w:t>
      </w:r>
      <w:r>
        <w:rPr>
          <w:rtl w:val="true"/>
        </w:rPr>
        <w:t>כפי שציינתי לעיל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 xml:space="preserve">יש מקום ליתן משקל </w:t>
      </w:r>
      <w:r>
        <w:rPr>
          <w:rtl w:val="true"/>
        </w:rPr>
        <w:t xml:space="preserve">לכך שהעבירות האמורות בוצעו במהלכו של מבצע </w:t>
      </w:r>
      <w:r>
        <w:rPr>
          <w:rtl w:val="true"/>
        </w:rPr>
        <w:t>"</w:t>
      </w:r>
      <w:r>
        <w:rPr>
          <w:rtl w:val="true"/>
        </w:rPr>
        <w:t>שומר החומות</w:t>
      </w:r>
      <w:r>
        <w:rPr>
          <w:rtl w:val="true"/>
        </w:rPr>
        <w:t xml:space="preserve">", </w:t>
      </w:r>
      <w:r>
        <w:rPr>
          <w:rtl w:val="true"/>
        </w:rPr>
        <w:t>עת שהאוכלוסיה האזרחית במדינת ישראל הייתה נתונה למתקפת רקטות</w:t>
      </w:r>
      <w:r>
        <w:rPr>
          <w:rtl w:val="true"/>
        </w:rPr>
        <w:t xml:space="preserve">, </w:t>
      </w:r>
      <w:r>
        <w:rPr>
          <w:rtl w:val="true"/>
        </w:rPr>
        <w:t xml:space="preserve">במקביל </w:t>
      </w:r>
      <w:r>
        <w:rPr>
          <w:rtl w:val="true"/>
        </w:rPr>
        <w:t>ל</w:t>
      </w:r>
      <w:r>
        <w:rPr>
          <w:rtl w:val="true"/>
        </w:rPr>
        <w:t>גל של הפרות סדר והתפרעויות אלימות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במסגרתו</w:t>
      </w:r>
      <w:r>
        <w:rPr>
          <w:rtl w:val="true"/>
        </w:rPr>
        <w:t xml:space="preserve"> </w:t>
      </w:r>
      <w:r>
        <w:rPr>
          <w:rtl w:val="true"/>
        </w:rPr>
        <w:t>הותקפו</w:t>
      </w:r>
      <w:r>
        <w:rPr>
          <w:rtl w:val="true"/>
        </w:rPr>
        <w:t xml:space="preserve"> כוחות הביטחון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אזרחים יהודים וערבים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 שתואר בכתב האישום המתוקן</w:t>
      </w:r>
      <w:r>
        <w:rPr>
          <w:rtl w:val="true"/>
        </w:rPr>
        <w:t xml:space="preserve">), </w:t>
      </w:r>
      <w:r>
        <w:rPr>
          <w:rtl w:val="true"/>
        </w:rPr>
        <w:t>ואף לכך יש השפעה על</w:t>
      </w:r>
      <w:r>
        <w:rPr>
          <w:rtl w:val="true"/>
        </w:rPr>
        <w:t xml:space="preserve"> </w:t>
      </w:r>
      <w:r>
        <w:rPr>
          <w:rtl w:val="true"/>
        </w:rPr>
        <w:t xml:space="preserve">חומרת </w:t>
      </w:r>
      <w:r>
        <w:rPr>
          <w:rtl w:val="true"/>
        </w:rPr>
        <w:t>ה</w:t>
      </w:r>
      <w:r>
        <w:rPr>
          <w:rtl w:val="true"/>
        </w:rPr>
        <w:t>עבירות שביצע המשיב</w:t>
      </w:r>
      <w:r>
        <w:rPr>
          <w:rtl w:val="true"/>
        </w:rPr>
        <w:t xml:space="preserve"> ממניע של גזענות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אדגיש כי </w:t>
      </w:r>
      <w:r>
        <w:rPr>
          <w:rtl w:val="true"/>
        </w:rPr>
        <w:t>המשיב הורשע בהשתתפות ב</w:t>
      </w:r>
      <w:r>
        <w:rPr>
          <w:rtl w:val="true"/>
        </w:rPr>
        <w:t>מספר</w:t>
      </w:r>
      <w:r>
        <w:rPr>
          <w:rtl w:val="true"/>
        </w:rPr>
        <w:t xml:space="preserve"> אירועים נפרדים אשר בוצעו בהזדמנויות שונות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;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2814/18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27.2.2019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4875/11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26.1.2012</w:t>
      </w:r>
      <w:r>
        <w:rPr>
          <w:rtl w:val="true"/>
        </w:rPr>
        <w:t xml:space="preserve">)). </w:t>
      </w:r>
      <w:r>
        <w:rPr>
          <w:rtl w:val="true"/>
        </w:rPr>
        <w:t>נוכח כל ה</w:t>
      </w:r>
      <w:r>
        <w:rPr>
          <w:rtl w:val="true"/>
        </w:rPr>
        <w:t>א</w:t>
      </w:r>
      <w:r>
        <w:rPr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>באתי לכלל מסקנה כי עקרון ההלימה</w:t>
      </w:r>
      <w:r>
        <w:rPr>
          <w:rtl w:val="true"/>
        </w:rPr>
        <w:t xml:space="preserve">, </w:t>
      </w:r>
      <w:r>
        <w:rPr>
          <w:rtl w:val="true"/>
        </w:rPr>
        <w:t>כמו גם הצורך בהגנה על שלום הציבור ושיקולי הרתעה</w:t>
      </w:r>
      <w:r>
        <w:rPr>
          <w:rtl w:val="true"/>
        </w:rPr>
        <w:t xml:space="preserve">, </w:t>
      </w:r>
      <w:r>
        <w:rPr>
          <w:rtl w:val="true"/>
        </w:rPr>
        <w:t>מחייבים החמרה בעונשו של המשיב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סוף דבר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אציע לחבריי להעמיד את עונש המאסר בפועל שייגזר על המשיב בגין העבירות נושא כתב האישום המתוקן על </w:t>
      </w:r>
      <w:r>
        <w:rPr>
          <w:rFonts w:cs="FrankRuehl" w:ascii="FrankRuehl" w:hAnsi="FrankRuehl"/>
          <w:color w:val="000000"/>
          <w:sz w:val="28"/>
        </w:rPr>
        <w:t>47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 בניכוי ימי מעצרו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בנוסף אציע לחבריי כי המשיב ישלם פיצוי כספי לנפגעי העבירה כלהלן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באישום השני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10,000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ח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באישום השלישי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10,000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ח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באישום הרביעי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2,000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ח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ובאישום החמישי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2,000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ח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זאת בשים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לב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לכלל שלפיו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אין </w:t>
      </w:r>
      <w:r>
        <w:rPr>
          <w:rFonts w:ascii="FrankRuehl" w:hAnsi="FrankRuehl"/>
          <w:color w:val="000000"/>
          <w:sz w:val="28"/>
          <w:sz w:val="28"/>
          <w:rtl w:val="true"/>
        </w:rPr>
        <w:t>ערכאת הערעור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נוהגת</w:t>
      </w:r>
      <w:r>
        <w:rPr>
          <w:rFonts w:ascii="FrankRuehl" w:hAnsi="FrankRuehl"/>
          <w:sz w:val="28"/>
          <w:sz w:val="28"/>
          <w:rtl w:val="true"/>
        </w:rPr>
        <w:t xml:space="preserve"> למצות את חומרת הדין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יתר חלקי גזר הדין יעמדו בעינ</w:t>
      </w:r>
      <w:r>
        <w:rPr>
          <w:rFonts w:ascii="FrankRuehl" w:hAnsi="FrankRuehl"/>
          <w:sz w:val="28"/>
          <w:sz w:val="28"/>
          <w:rtl w:val="true"/>
        </w:rPr>
        <w:t>ם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2"/>
        <w:gridCol w:w="2782"/>
        <w:gridCol w:w="2799"/>
      </w:tblGrid>
      <w:tr>
        <w:trPr/>
        <w:tc>
          <w:tcPr>
            <w:tcW w:w="278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2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9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</w:tr>
    </w:tbl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הוחלט כאמור בפסק דינו של המשנה לנשיאה ע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פוגלמן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bookmarkStart w:id="18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בחשון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27.10.2022</w:t>
      </w:r>
      <w:r>
        <w:rPr>
          <w:rFonts w:cs="Century" w:ascii="Century" w:hAnsi="Century"/>
          <w:rtl w:val="true"/>
        </w:rPr>
        <w:t xml:space="preserve">). </w:t>
      </w:r>
      <w:bookmarkEnd w:id="18"/>
    </w:p>
    <w:p>
      <w:pPr>
        <w:pStyle w:val="Ruller42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3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22039820</w:t>
      </w:r>
      <w:r>
        <w:rPr>
          <w:sz w:val="16"/>
          <w:rtl w:val="true"/>
        </w:rPr>
        <w:t>_</w:t>
      </w:r>
      <w:r>
        <w:rPr>
          <w:sz w:val="16"/>
        </w:rPr>
        <w:t>M04.docx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54678313-3982/22</w:t>
      </w:r>
    </w:p>
    <w:p>
      <w:pPr>
        <w:pStyle w:val="Ruller381"/>
        <w:ind w:end="0"/>
        <w:jc w:val="start"/>
        <w:rPr>
          <w:color w:val="FFFFFF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>
          <w:color w:val="FFFFFF"/>
        </w:rPr>
      </w:pPr>
      <w:r>
        <w:rPr>
          <w:color w:val="FFFFFF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3982/22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חג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וג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szCs w:val="28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  <w:sz w:val="24"/>
      <w:szCs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76902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f" TargetMode="External"/><Relationship Id="rId5" Type="http://schemas.openxmlformats.org/officeDocument/2006/relationships/hyperlink" Target="http://www.nevo.co.il/case/28243273" TargetMode="External"/><Relationship Id="rId6" Type="http://schemas.openxmlformats.org/officeDocument/2006/relationships/hyperlink" Target="http://www.nevo.co.il/case/28323911" TargetMode="External"/><Relationship Id="rId7" Type="http://schemas.openxmlformats.org/officeDocument/2006/relationships/hyperlink" Target="http://www.nevo.co.il/case/28296934" TargetMode="External"/><Relationship Id="rId8" Type="http://schemas.openxmlformats.org/officeDocument/2006/relationships/hyperlink" Target="http://www.nevo.co.il/case/26514632" TargetMode="External"/><Relationship Id="rId9" Type="http://schemas.openxmlformats.org/officeDocument/2006/relationships/hyperlink" Target="http://www.nevo.co.il/case/5823680" TargetMode="External"/><Relationship Id="rId10" Type="http://schemas.openxmlformats.org/officeDocument/2006/relationships/hyperlink" Target="http://www.nevo.co.il/law/70301/144f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4263086" TargetMode="External"/><Relationship Id="rId13" Type="http://schemas.openxmlformats.org/officeDocument/2006/relationships/hyperlink" Target="http://www.nevo.co.il/case/20221614" TargetMode="External"/><Relationship Id="rId14" Type="http://schemas.openxmlformats.org/officeDocument/2006/relationships/hyperlink" Target="http://www.nevo.co.il/case/21008663" TargetMode="External"/><Relationship Id="rId15" Type="http://schemas.openxmlformats.org/officeDocument/2006/relationships/hyperlink" Target="http://www.nevo.co.il/case/28152132" TargetMode="External"/><Relationship Id="rId16" Type="http://schemas.openxmlformats.org/officeDocument/2006/relationships/hyperlink" Target="http://www.nevo.co.il/case/27513376" TargetMode="External"/><Relationship Id="rId17" Type="http://schemas.openxmlformats.org/officeDocument/2006/relationships/hyperlink" Target="http://www.nevo.co.il/case/6169945" TargetMode="External"/><Relationship Id="rId18" Type="http://schemas.openxmlformats.org/officeDocument/2006/relationships/hyperlink" Target="http://www.nevo.co.il/case/6072632" TargetMode="External"/><Relationship Id="rId19" Type="http://schemas.openxmlformats.org/officeDocument/2006/relationships/hyperlink" Target="http://www.nevo.co.il/case/27654256" TargetMode="External"/><Relationship Id="rId20" Type="http://schemas.openxmlformats.org/officeDocument/2006/relationships/hyperlink" Target="http://www.nevo.co.il/case/17954529" TargetMode="External"/><Relationship Id="rId21" Type="http://schemas.openxmlformats.org/officeDocument/2006/relationships/hyperlink" Target="http://www.nevo.co.il/case/10538431" TargetMode="External"/><Relationship Id="rId22" Type="http://schemas.openxmlformats.org/officeDocument/2006/relationships/hyperlink" Target="http://www.nevo.co.il/case/23850973" TargetMode="External"/><Relationship Id="rId23" Type="http://schemas.openxmlformats.org/officeDocument/2006/relationships/hyperlink" Target="http://www.nevo.co.il/case/6245959" TargetMode="External"/><Relationship Id="rId24" Type="http://schemas.openxmlformats.org/officeDocument/2006/relationships/hyperlink" Target="https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2022-10-30T09:21:00Z</dcterms:created>
  <dc:creator>h4</dc:creator>
  <dc:description/>
  <cp:keywords/>
  <dc:language>en-IL</dc:language>
  <cp:lastModifiedBy>orly</cp:lastModifiedBy>
  <cp:lastPrinted>2022-10-27T09:03:00Z</cp:lastPrinted>
  <dcterms:modified xsi:type="dcterms:W3CDTF">2022-10-30T09:21:00Z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חג'וג'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27769025;28243273;28323911;28296934;26514632;5823680;24263086;20221614;21008663;28152132;27513376;6169945;6072632;27654256;17954529;10538431;23850973;6245959</vt:lpwstr>
  </property>
  <property fmtid="{D5CDD505-2E9C-101B-9397-08002B2CF9AE}" pid="9" name="CITY">
    <vt:lpwstr/>
  </property>
  <property fmtid="{D5CDD505-2E9C-101B-9397-08002B2CF9AE}" pid="10" name="DATE">
    <vt:lpwstr>20221027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ברון;ד' מינץ;ע' פוגלמן</vt:lpwstr>
  </property>
  <property fmtid="{D5CDD505-2E9C-101B-9397-08002B2CF9AE}" pid="14" name="LAWLISTTMP1">
    <vt:lpwstr>70301/144f</vt:lpwstr>
  </property>
  <property fmtid="{D5CDD505-2E9C-101B-9397-08002B2CF9AE}" pid="15" name="LAWYER">
    <vt:lpwstr>זוהר ארבל;שרית משגב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1446;1446;1446;504</vt:lpwstr>
  </property>
  <property fmtid="{D5CDD505-2E9C-101B-9397-08002B2CF9AE}" pid="48" name="NOSE31">
    <vt:lpwstr>מדיניות ענישה: עבירות אלימות על רקע אידיאולוגי</vt:lpwstr>
  </property>
  <property fmtid="{D5CDD505-2E9C-101B-9397-08002B2CF9AE}" pid="49" name="NOSE310">
    <vt:lpwstr/>
  </property>
  <property fmtid="{D5CDD505-2E9C-101B-9397-08002B2CF9AE}" pid="50" name="NOSE32">
    <vt:lpwstr>עקרון ההלימה‏</vt:lpwstr>
  </property>
  <property fmtid="{D5CDD505-2E9C-101B-9397-08002B2CF9AE}" pid="51" name="NOSE33">
    <vt:lpwstr>מתחם הענישה</vt:lpwstr>
  </property>
  <property fmtid="{D5CDD505-2E9C-101B-9397-08002B2CF9AE}" pid="52" name="NOSE34">
    <vt:lpwstr>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17645;14799;14985;15230</vt:lpwstr>
  </property>
  <property fmtid="{D5CDD505-2E9C-101B-9397-08002B2CF9AE}" pid="59" name="PADIDATE">
    <vt:lpwstr>20221030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3982</vt:lpwstr>
  </property>
  <property fmtid="{D5CDD505-2E9C-101B-9397-08002B2CF9AE}" pid="65" name="PROCYEAR">
    <vt:lpwstr>22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410120221027</vt:lpwstr>
  </property>
  <property fmtid="{D5CDD505-2E9C-101B-9397-08002B2CF9AE}" pid="69" name="TYPE_N_DATE">
    <vt:lpwstr>41020221027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