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spacing w:lineRule="auto" w:line="72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3998/17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  <w:sz w:val="32"/>
          <w:szCs w:val="40"/>
        </w:rPr>
      </w:pPr>
      <w:r>
        <w:rPr>
          <w:rFonts w:cs="Miriam"/>
          <w:b/>
          <w:bCs/>
          <w:sz w:val="32"/>
          <w:szCs w:val="40"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ארז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</w:tbl>
    <w:p>
      <w:pPr>
        <w:pStyle w:val="Ruller31"/>
        <w:spacing w:lineRule="auto" w:line="312"/>
        <w:ind w:end="0"/>
        <w:jc w:val="start"/>
        <w:rPr>
          <w:rFonts w:cs="Miriam"/>
          <w:b/>
          <w:bCs/>
          <w:sz w:val="16"/>
          <w:szCs w:val="20"/>
        </w:rPr>
      </w:pPr>
      <w:r>
        <w:rPr>
          <w:rFonts w:cs="Miriam"/>
          <w:b/>
          <w:bCs/>
          <w:sz w:val="16"/>
          <w:szCs w:val="20"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sz w:val="28"/>
          <w:szCs w:val="36"/>
        </w:rPr>
      </w:pPr>
      <w:r>
        <w:rPr>
          <w:sz w:val="28"/>
          <w:szCs w:val="36"/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sz w:val="28"/>
          <w:szCs w:val="36"/>
        </w:rPr>
      </w:pPr>
      <w:r>
        <w:rPr>
          <w:sz w:val="28"/>
          <w:szCs w:val="36"/>
          <w:rtl w:val="true"/>
        </w:rPr>
        <w:tab/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sz w:val="32"/>
          <w:szCs w:val="40"/>
        </w:rPr>
      </w:pPr>
      <w:r>
        <w:rPr>
          <w:sz w:val="32"/>
          <w:szCs w:val="40"/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אברבנאל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50065-08-16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26.2.2017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14.5.2017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sz w:val="32"/>
          <w:szCs w:val="40"/>
        </w:rPr>
      </w:pPr>
      <w:r>
        <w:rPr>
          <w:sz w:val="32"/>
          <w:szCs w:val="40"/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שבט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</w:t>
            </w:r>
            <w:r>
              <w:rPr>
                <w:sz w:val="24"/>
                <w:sz w:val="24"/>
                <w:szCs w:val="24"/>
                <w:rtl w:val="true"/>
              </w:rPr>
              <w:t>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29.1.2018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spacing w:lineRule="auto" w:line="312"/>
        <w:ind w:end="0"/>
        <w:jc w:val="start"/>
        <w:rPr>
          <w:sz w:val="16"/>
          <w:szCs w:val="20"/>
        </w:rPr>
      </w:pPr>
      <w:r>
        <w:rPr>
          <w:sz w:val="16"/>
          <w:szCs w:val="20"/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ניק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קאופמן</w:t>
            </w:r>
          </w:p>
        </w:tc>
      </w:tr>
    </w:tbl>
    <w:p>
      <w:pPr>
        <w:pStyle w:val="Ruller31"/>
        <w:spacing w:lineRule="auto" w:line="312"/>
        <w:ind w:end="0"/>
        <w:jc w:val="start"/>
        <w:rPr>
          <w:sz w:val="16"/>
          <w:szCs w:val="20"/>
        </w:rPr>
      </w:pPr>
      <w:r>
        <w:rPr>
          <w:sz w:val="16"/>
          <w:szCs w:val="20"/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דפנה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שמול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auto" w:line="312"/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348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348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355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9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חוק לתיקון דיני הראיות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הגנת ילדים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תשט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1955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11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1982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187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6" w:name="ABSTRACT_START"/>
      <w:bookmarkStart w:id="7" w:name="LawTable_End"/>
      <w:bookmarkEnd w:id="6"/>
      <w:bookmarkEnd w:id="7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הרשעת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מגונה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בקטינה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מתחת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לגיל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14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סעיף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348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סעיפים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345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345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דחיית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התקיימה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דרישת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הסיוע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הדרושה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ליתן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לראיית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DNA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להרשעה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סעיף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348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– </w:t>
      </w:r>
      <w:r>
        <w:rPr>
          <w:rFonts w:cs="Times New Roman" w:ascii="Times New Roman" w:hAnsi="Times New Roman"/>
          <w:spacing w:val="0"/>
          <w:sz w:val="24"/>
          <w:szCs w:val="26"/>
        </w:rPr>
        <w:t>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תנאי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ראיות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סיוע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לעדות קטין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ראיות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סיוע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לעדות מתלונן בעבירת מין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ראיות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בדיקת דנא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משקלה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עונשין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עבירות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מעשה מגונה בקטין שטרם מלאו לו </w:t>
      </w:r>
      <w:r>
        <w:rPr>
          <w:rFonts w:cs="Times New Roman" w:ascii="Times New Roman" w:hAnsi="Times New Roman"/>
          <w:spacing w:val="0"/>
          <w:sz w:val="24"/>
          <w:szCs w:val="26"/>
        </w:rPr>
        <w:t>14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עונשין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ענישה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מין בקטינים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דיון פלילי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ערעור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 בממצאים עובדתיים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שבמסגרתו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בעבירת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מגונה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בקטינה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ילידת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2010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סעיף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348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סעיפים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345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345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נגזרו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בניכוי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מעצרו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תנאי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מכוון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להכרעת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פוגלמן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ובהסכמת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ארז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וברון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הכרעת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לטענת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מצבה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הנפשי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האירוע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ניכר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וגלוי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יכול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דרישת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הסיוע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הניח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עילה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בממצאים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המבוססים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התרשמות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מעדויות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ומתיעוד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חקירתה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עמד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השינויים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בהתנהגות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ביחס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לגילה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סמיכות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הזמנים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האירוע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הדיווח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מצד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השינוי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במצבה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הנפשי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ניכר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וגלוי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לצורך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הסיוע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הראייתי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הנדרש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ובממצאים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להתערב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שינוי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ניכר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במצב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הנפשי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יכול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סיוע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לעדותה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מצבו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הנפשי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אדם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נתון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לשליטתו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ונתפס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כמקור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עצמאי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וחיצוני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לעדותו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תלונה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מידית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האירוע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עשויה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סיוע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כשלעצמה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רוב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להוסיף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לראיית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הסיוע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המבוססת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שינוי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במצב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הנפשי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לטענת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שלפיה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להתבסס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לעניין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דרישת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הסיוע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התנהגות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בימים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ובשבועות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שלאחר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האירוע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משום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שזו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עשויה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הייתה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מושפעת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מתגובות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הוריה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וחוקרת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הילדים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קבע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לשלול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טענה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לגמרי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אולם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הסבר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מספק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למצב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הנפשי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החריג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התלונה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המידית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האופן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שבו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התבטאה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בחקירתה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כשתיארה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האירוע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הילדים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תוך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שאמרה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שהאירוע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נעים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סירובה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המוחלט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לספר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האירוע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הילדים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בחקירה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הראשונה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ועוצמת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השינוי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שחל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בהתנהגותה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בתקופה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שלאחר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האירוע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ביטויים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מוחשיים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ואותנטיים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לשינוי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ניכר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במצבה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הנפשי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המתיישב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גילה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הצעיר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ועוד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נקבע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ליתן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משקל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נמוך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למצב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הנפשי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משנקבע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לתת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משקל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לעדותה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לפני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חוקרת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הילדים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להסתפק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בראיית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סיוע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משקל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מועט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יותר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David" w:hAnsi="David" w:cs="David"/>
          <w:szCs w:val="24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לראיית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DNA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חולק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שמקור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התאים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שהופקו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מתחתונים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לדעת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התאים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הגיע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לתחתונים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בדרך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מגע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ישיר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בדרך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עקיפה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קבע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בראיית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DNA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כשלעצמה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למלא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אחר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דרישת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הסיוע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בצד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נקבע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למרות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מגבלותיה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ליתן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לראיית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DNA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המתיישבת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היטב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גרסת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משקל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ראיה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מאמתת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המחזקת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יתר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הראיות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לטענת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בהינתן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הסכמת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הצדדים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שקיימת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אפשרות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שתאי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DNA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מגופו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הגיעו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לתחתונים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בדרך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שאינה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קשורה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לאירוע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שגה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לנתון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משקל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ראיה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מאמתת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הרי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שנוכח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המסקנה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ראית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DNA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התמלאה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דרישת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הסיוע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הראייתי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הרי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בעדות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ובסיוע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האמור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להרשיע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לטענה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בדבר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הרשעת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סעיף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348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סעיף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348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הניח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טעם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לקרוא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לתוך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המנויות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בסעיף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345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>) (</w:t>
      </w:r>
      <w:r>
        <w:rPr>
          <w:rFonts w:ascii="Times New Roman" w:hAnsi="Times New Roman" w:cs="Times New Roman"/>
          <w:spacing w:val="0"/>
          <w:szCs w:val="26"/>
          <w:rtl w:val="true"/>
        </w:rPr>
        <w:t>המפנה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לסעיף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345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)) </w:t>
      </w:r>
      <w:r>
        <w:rPr>
          <w:rFonts w:ascii="Times New Roman" w:hAnsi="Times New Roman" w:cs="Times New Roman"/>
          <w:spacing w:val="0"/>
          <w:szCs w:val="26"/>
          <w:rtl w:val="true"/>
        </w:rPr>
        <w:t>דרישה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להוכיח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שימוש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בכוח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שתשתכלל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העבירה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סעיף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348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>חרף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ביטולה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בתיקון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61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להוסיף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המקרה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הוכח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ברמה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הנדרשת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הסכימה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למעשה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נדחה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בהעדר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המאזן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נכוחה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השיקולים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הרלוונטיים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העניין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bookmarkStart w:id="8" w:name="ABSTRACT_END"/>
      <w:bookmarkEnd w:id="8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9" w:name="PsakDin"/>
            <w:bookmarkStart w:id="10" w:name="BeginProtocol"/>
            <w:bookmarkStart w:id="11" w:name="secretary"/>
            <w:bookmarkEnd w:id="9"/>
            <w:bookmarkEnd w:id="10"/>
            <w:bookmarkEnd w:id="11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pacing w:val="0"/>
          <w:sz w:val="28"/>
          <w:szCs w:val="24"/>
        </w:rPr>
      </w:pPr>
      <w:bookmarkStart w:id="12" w:name="Writer_Name"/>
      <w:bookmarkEnd w:id="12"/>
      <w:r>
        <w:rPr>
          <w:rFonts w:cs="Miriam"/>
          <w:spacing w:val="0"/>
          <w:sz w:val="28"/>
          <w:sz w:val="28"/>
          <w:szCs w:val="24"/>
          <w:u w:val="single"/>
          <w:rtl w:val="true"/>
        </w:rPr>
        <w:t>השופט</w:t>
      </w:r>
      <w:r>
        <w:rPr>
          <w:rFonts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8"/>
          <w:sz w:val="28"/>
          <w:szCs w:val="24"/>
          <w:u w:val="single"/>
          <w:rtl w:val="true"/>
        </w:rPr>
        <w:t>ע</w:t>
      </w:r>
      <w:r>
        <w:rPr>
          <w:rFonts w:cs="Miriam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8"/>
          <w:sz w:val="28"/>
          <w:szCs w:val="24"/>
          <w:u w:val="single"/>
          <w:rtl w:val="true"/>
        </w:rPr>
        <w:t>פוגלמן</w:t>
      </w:r>
      <w:r>
        <w:rPr>
          <w:rFonts w:cs="Miriam"/>
          <w:spacing w:val="0"/>
          <w:sz w:val="28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pacing w:val="0"/>
          <w:sz w:val="28"/>
          <w:szCs w:val="24"/>
        </w:rPr>
      </w:pPr>
      <w:r>
        <w:rPr>
          <w:rFonts w:cs="Miriam"/>
          <w:spacing w:val="0"/>
          <w:sz w:val="28"/>
          <w:szCs w:val="24"/>
          <w:rtl w:val="true"/>
        </w:rPr>
      </w:r>
      <w:bookmarkStart w:id="13" w:name="Start_Write"/>
      <w:bookmarkStart w:id="14" w:name="Start_Write"/>
      <w:bookmarkEnd w:id="14"/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אברבנאל</w:t>
      </w:r>
      <w:r>
        <w:rPr>
          <w:rtl w:val="true"/>
        </w:rPr>
        <w:t xml:space="preserve">), </w:t>
      </w:r>
      <w:r>
        <w:rPr>
          <w:rtl w:val="true"/>
        </w:rPr>
        <w:t>שבמסגרתו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העונשין</w:t>
      </w:r>
      <w:r>
        <w:rPr>
          <w:rtl w:val="true"/>
        </w:rPr>
        <w:t xml:space="preserve">),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7"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tl w:val="true"/>
        </w:rPr>
        <w:t xml:space="preserve">,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בניכוי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) </w:t>
      </w:r>
      <w:r>
        <w:rPr>
          <w:rtl w:val="true"/>
        </w:rPr>
        <w:t>ומאסר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בתנאים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מכוון להכרעת הדין ולגזר הדין כאחד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 xml:space="preserve">יליד </w:t>
      </w:r>
      <w:r>
        <w:rPr/>
        <w:t>1969</w:t>
      </w:r>
      <w:r>
        <w:rPr>
          <w:rtl w:val="true"/>
        </w:rPr>
        <w:t xml:space="preserve"> </w:t>
      </w:r>
      <w:r>
        <w:rPr>
          <w:rtl w:val="true"/>
        </w:rPr>
        <w:t>ותושב סרי לנקה</w:t>
      </w:r>
      <w:r>
        <w:rPr>
          <w:rtl w:val="true"/>
        </w:rPr>
        <w:t xml:space="preserve">, </w:t>
      </w:r>
      <w:r>
        <w:rPr>
          <w:rtl w:val="true"/>
        </w:rPr>
        <w:t xml:space="preserve">שהה בישראל במועד האירוע המתואר בכתב האישום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האירוע</w:t>
      </w:r>
      <w:r>
        <w:rPr>
          <w:rtl w:val="true"/>
        </w:rPr>
        <w:t xml:space="preserve">) </w:t>
      </w:r>
      <w:r>
        <w:rPr>
          <w:rtl w:val="true"/>
        </w:rPr>
        <w:t>מכוח אשרת עבודה לטיפול בקשישים</w:t>
      </w:r>
      <w:r>
        <w:rPr>
          <w:rtl w:val="true"/>
        </w:rPr>
        <w:t xml:space="preserve">. </w:t>
      </w:r>
      <w:r>
        <w:rPr>
          <w:rtl w:val="true"/>
        </w:rPr>
        <w:t>על פי 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המערער עבד בביתם של בני זוג בירושלים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הבית</w:t>
      </w:r>
      <w:r>
        <w:rPr>
          <w:rtl w:val="true"/>
        </w:rPr>
        <w:t xml:space="preserve"> 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הזוג</w:t>
      </w:r>
      <w:r>
        <w:rPr>
          <w:rtl w:val="true"/>
        </w:rPr>
        <w:t xml:space="preserve">) </w:t>
      </w:r>
      <w:r>
        <w:rPr>
          <w:rtl w:val="true"/>
        </w:rPr>
        <w:t>בעבודות ניקיון למשך שלוש שנים עובר לאירוע</w:t>
      </w:r>
      <w:r>
        <w:rPr>
          <w:rtl w:val="true"/>
        </w:rPr>
        <w:t xml:space="preserve">, </w:t>
      </w:r>
      <w:r>
        <w:rPr>
          <w:rtl w:val="true"/>
        </w:rPr>
        <w:t>בניגוד לאשרה שניתנה לו</w:t>
      </w:r>
      <w:r>
        <w:rPr>
          <w:rtl w:val="true"/>
        </w:rPr>
        <w:t xml:space="preserve">. </w:t>
      </w:r>
      <w:r>
        <w:rPr>
          <w:rtl w:val="true"/>
        </w:rPr>
        <w:t xml:space="preserve">לזוג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ובהם 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ילידת </w:t>
      </w:r>
      <w:r>
        <w:rPr/>
        <w:t>2010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ז</w:t>
      </w:r>
      <w:r>
        <w:rPr>
          <w:rtl w:val="true"/>
        </w:rPr>
        <w:t xml:space="preserve">', </w:t>
      </w:r>
      <w:r>
        <w:rPr>
          <w:rtl w:val="true"/>
        </w:rPr>
        <w:t xml:space="preserve">ילידת </w:t>
      </w:r>
      <w:r>
        <w:rPr/>
        <w:t>2012</w:t>
      </w:r>
      <w:r>
        <w:rPr>
          <w:rtl w:val="true"/>
        </w:rPr>
        <w:t xml:space="preserve"> (</w:t>
      </w:r>
      <w:r>
        <w:rPr>
          <w:rtl w:val="true"/>
        </w:rPr>
        <w:t>להלן יחד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המשפחה</w:t>
      </w:r>
      <w:r>
        <w:rPr>
          <w:rtl w:val="true"/>
        </w:rPr>
        <w:t xml:space="preserve">). </w:t>
      </w:r>
      <w:r>
        <w:rPr>
          <w:rtl w:val="true"/>
        </w:rPr>
        <w:t xml:space="preserve">ביום </w:t>
      </w:r>
      <w:r>
        <w:rPr/>
        <w:t>11.8.2016</w:t>
      </w:r>
      <w:r>
        <w:rPr>
          <w:rtl w:val="true"/>
        </w:rPr>
        <w:t xml:space="preserve"> </w:t>
      </w:r>
      <w:r>
        <w:rPr>
          <w:rtl w:val="true"/>
        </w:rPr>
        <w:t>נכנס המערער לבית בשעות הבוקר לצורך ביצוע עבודות ניקיון</w:t>
      </w:r>
      <w:r>
        <w:rPr>
          <w:rtl w:val="true"/>
        </w:rPr>
        <w:t xml:space="preserve">, </w:t>
      </w:r>
      <w:r>
        <w:rPr>
          <w:rtl w:val="true"/>
        </w:rPr>
        <w:t xml:space="preserve">באמצעות מפתח שניתן לו על ידי אב המשפחה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האב</w:t>
      </w:r>
      <w:r>
        <w:rPr>
          <w:rtl w:val="true"/>
        </w:rPr>
        <w:t xml:space="preserve">). </w:t>
      </w:r>
      <w:r>
        <w:rPr>
          <w:rtl w:val="true"/>
        </w:rPr>
        <w:t xml:space="preserve">בשעה </w:t>
      </w:r>
      <w:r>
        <w:rPr/>
        <w:t>12:30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הגיעו הזוג</w:t>
      </w:r>
      <w:r>
        <w:rPr>
          <w:rtl w:val="true"/>
        </w:rPr>
        <w:t xml:space="preserve">, </w:t>
      </w:r>
      <w:r>
        <w:rPr>
          <w:rtl w:val="true"/>
        </w:rPr>
        <w:t>המתלוננת ו</w:t>
      </w:r>
      <w:r>
        <w:rPr>
          <w:rtl w:val="true"/>
        </w:rPr>
        <w:t>-</w:t>
      </w:r>
      <w:r>
        <w:rPr>
          <w:rtl w:val="true"/>
        </w:rPr>
        <w:t>ז</w:t>
      </w:r>
      <w:r>
        <w:rPr>
          <w:rtl w:val="true"/>
        </w:rPr>
        <w:t xml:space="preserve">' </w:t>
      </w:r>
      <w:r>
        <w:rPr>
          <w:rtl w:val="true"/>
        </w:rPr>
        <w:t>לבית</w:t>
      </w:r>
      <w:r>
        <w:rPr>
          <w:rtl w:val="true"/>
        </w:rPr>
        <w:t xml:space="preserve">. </w:t>
      </w:r>
      <w:r>
        <w:rPr>
          <w:rtl w:val="true"/>
        </w:rPr>
        <w:t xml:space="preserve">אם המשפחה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האם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ז</w:t>
      </w:r>
      <w:r>
        <w:rPr>
          <w:rtl w:val="true"/>
        </w:rPr>
        <w:t xml:space="preserve">' </w:t>
      </w:r>
      <w:r>
        <w:rPr>
          <w:rtl w:val="true"/>
        </w:rPr>
        <w:t>נכנסו לחדר השינה של ההורים לצורך מנוחת צהריים</w:t>
      </w:r>
      <w:r>
        <w:rPr>
          <w:rtl w:val="true"/>
        </w:rPr>
        <w:t xml:space="preserve">, </w:t>
      </w:r>
      <w:r>
        <w:rPr>
          <w:rtl w:val="true"/>
        </w:rPr>
        <w:t>והמערער המשיך בניקיון הבית</w:t>
      </w:r>
      <w:r>
        <w:rPr>
          <w:rtl w:val="true"/>
        </w:rPr>
        <w:t xml:space="preserve">. </w:t>
      </w:r>
      <w:r>
        <w:rPr>
          <w:rtl w:val="true"/>
        </w:rPr>
        <w:t xml:space="preserve">סמוך לשעה </w:t>
      </w:r>
      <w:r>
        <w:rPr/>
        <w:t>13:30</w:t>
      </w:r>
      <w:r>
        <w:rPr>
          <w:rtl w:val="true"/>
        </w:rPr>
        <w:t xml:space="preserve"> </w:t>
      </w:r>
      <w:r>
        <w:rPr>
          <w:rtl w:val="true"/>
        </w:rPr>
        <w:t>הודיע האב למערער כי הוא יוצא מהבית וכי האם נמצאת בחדר השינה</w:t>
      </w:r>
      <w:r>
        <w:rPr>
          <w:rtl w:val="true"/>
        </w:rPr>
        <w:t xml:space="preserve">. </w:t>
      </w:r>
      <w:r>
        <w:rPr>
          <w:rtl w:val="true"/>
        </w:rPr>
        <w:t>המתלוננת ניגשה למערער</w:t>
      </w:r>
      <w:r>
        <w:rPr>
          <w:rtl w:val="true"/>
        </w:rPr>
        <w:t xml:space="preserve">, </w:t>
      </w:r>
      <w:r>
        <w:rPr>
          <w:rtl w:val="true"/>
        </w:rPr>
        <w:t>אשר באותה העת ניקה את שירותי הילדים</w:t>
      </w:r>
      <w:r>
        <w:rPr>
          <w:rtl w:val="true"/>
        </w:rPr>
        <w:t xml:space="preserve">, </w:t>
      </w:r>
      <w:r>
        <w:rPr>
          <w:rtl w:val="true"/>
        </w:rPr>
        <w:t>שוחחה עמו והתיישבה על השידה בשירותים</w:t>
      </w:r>
      <w:r>
        <w:rPr>
          <w:rtl w:val="true"/>
        </w:rPr>
        <w:t xml:space="preserve">. </w:t>
      </w:r>
      <w:r>
        <w:rPr>
          <w:rtl w:val="true"/>
        </w:rPr>
        <w:t>המערער ניגש למתלוננת</w:t>
      </w:r>
      <w:r>
        <w:rPr>
          <w:rtl w:val="true"/>
        </w:rPr>
        <w:t xml:space="preserve">, </w:t>
      </w:r>
      <w:r>
        <w:rPr>
          <w:rtl w:val="true"/>
        </w:rPr>
        <w:t>הצמיד את מצחו למצחה</w:t>
      </w:r>
      <w:r>
        <w:rPr>
          <w:rtl w:val="true"/>
        </w:rPr>
        <w:t xml:space="preserve">, </w:t>
      </w:r>
      <w:r>
        <w:rPr>
          <w:rtl w:val="true"/>
        </w:rPr>
        <w:t>ונישק אותה בלחי</w:t>
      </w:r>
      <w:r>
        <w:rPr>
          <w:rtl w:val="true"/>
        </w:rPr>
        <w:t xml:space="preserve">. </w:t>
      </w:r>
      <w:r>
        <w:rPr>
          <w:rtl w:val="true"/>
        </w:rPr>
        <w:t>סמוך לאחר מכן</w:t>
      </w:r>
      <w:r>
        <w:rPr>
          <w:rtl w:val="true"/>
        </w:rPr>
        <w:t xml:space="preserve">, </w:t>
      </w:r>
      <w:r>
        <w:rPr>
          <w:rtl w:val="true"/>
        </w:rPr>
        <w:t>המערער אחז במתלוננת</w:t>
      </w:r>
      <w:r>
        <w:rPr>
          <w:rtl w:val="true"/>
        </w:rPr>
        <w:t xml:space="preserve">, </w:t>
      </w:r>
      <w:r>
        <w:rPr>
          <w:rtl w:val="true"/>
        </w:rPr>
        <w:t>הרים אותה</w:t>
      </w:r>
      <w:r>
        <w:rPr>
          <w:rtl w:val="true"/>
        </w:rPr>
        <w:t xml:space="preserve">, </w:t>
      </w:r>
      <w:r>
        <w:rPr>
          <w:rtl w:val="true"/>
        </w:rPr>
        <w:t>הובילה לחדרה והניח אותה על המיטה בחדר</w:t>
      </w:r>
      <w:r>
        <w:rPr>
          <w:rtl w:val="true"/>
        </w:rPr>
        <w:t xml:space="preserve">, </w:t>
      </w:r>
      <w:r>
        <w:rPr>
          <w:rtl w:val="true"/>
        </w:rPr>
        <w:t>בתנוחה שבה שכבה המתלוננת על המיטה</w:t>
      </w:r>
      <w:r>
        <w:rPr>
          <w:rtl w:val="true"/>
        </w:rPr>
        <w:t xml:space="preserve">. </w:t>
      </w:r>
      <w:r>
        <w:rPr>
          <w:rtl w:val="true"/>
        </w:rPr>
        <w:t>המערער הרים את החצאית של המתלוננת</w:t>
      </w:r>
      <w:r>
        <w:rPr>
          <w:rtl w:val="true"/>
        </w:rPr>
        <w:t xml:space="preserve">, </w:t>
      </w:r>
      <w:r>
        <w:rPr>
          <w:rtl w:val="true"/>
        </w:rPr>
        <w:t>הפשיל את תחתוניה עד לאזור הברכיים</w:t>
      </w:r>
      <w:r>
        <w:rPr>
          <w:rtl w:val="true"/>
        </w:rPr>
        <w:t xml:space="preserve">, </w:t>
      </w:r>
      <w:r>
        <w:rPr>
          <w:rtl w:val="true"/>
        </w:rPr>
        <w:t xml:space="preserve">וליקק את </w:t>
      </w:r>
      <w:r>
        <w:rPr>
          <w:rtl w:val="true"/>
        </w:rPr>
        <w:t>א</w:t>
      </w:r>
      <w:r>
        <w:rPr>
          <w:rtl w:val="true"/>
        </w:rPr>
        <w:t>י</w:t>
      </w:r>
      <w:r>
        <w:rPr>
          <w:rtl w:val="true"/>
        </w:rPr>
        <w:t>בר</w:t>
      </w:r>
      <w:r>
        <w:rPr>
          <w:rtl w:val="true"/>
        </w:rPr>
        <w:t xml:space="preserve"> מינה</w:t>
      </w:r>
      <w:r>
        <w:rPr>
          <w:rtl w:val="true"/>
        </w:rPr>
        <w:t xml:space="preserve">. </w:t>
      </w:r>
      <w:r>
        <w:rPr>
          <w:rtl w:val="true"/>
        </w:rPr>
        <w:t>המתלוננת דחפה בעזרת ידה את ראשו של המערער</w:t>
      </w:r>
      <w:r>
        <w:rPr>
          <w:rtl w:val="true"/>
        </w:rPr>
        <w:t xml:space="preserve">, </w:t>
      </w:r>
      <w:r>
        <w:rPr>
          <w:rtl w:val="true"/>
        </w:rPr>
        <w:t>לבשה את תחתוניה</w:t>
      </w:r>
      <w:r>
        <w:rPr>
          <w:rtl w:val="true"/>
        </w:rPr>
        <w:t xml:space="preserve">, </w:t>
      </w:r>
      <w:r>
        <w:rPr>
          <w:rtl w:val="true"/>
        </w:rPr>
        <w:t>ברחה מהמקום ורצה לחדר השינה של אמה</w:t>
      </w:r>
      <w:r>
        <w:rPr>
          <w:rtl w:val="true"/>
        </w:rPr>
        <w:t xml:space="preserve">. </w:t>
      </w:r>
      <w:r>
        <w:rPr>
          <w:rtl w:val="true"/>
        </w:rPr>
        <w:t>המתלוננת העירה את אמה וסיפרה לה את שארע</w:t>
      </w:r>
      <w:r>
        <w:rPr>
          <w:rtl w:val="true"/>
        </w:rPr>
        <w:t xml:space="preserve">. </w:t>
      </w:r>
      <w:r>
        <w:rPr>
          <w:rtl w:val="true"/>
        </w:rPr>
        <w:t>המערער נטל את התשלום עבור ניקיון הבית</w:t>
      </w:r>
      <w:r>
        <w:rPr>
          <w:rtl w:val="true"/>
        </w:rPr>
        <w:t xml:space="preserve">, </w:t>
      </w:r>
      <w:r>
        <w:rPr>
          <w:rtl w:val="true"/>
        </w:rPr>
        <w:t>שהיה מונח מבעוד מועד במטבח</w:t>
      </w:r>
      <w:r>
        <w:rPr>
          <w:rtl w:val="true"/>
        </w:rPr>
        <w:t xml:space="preserve">, </w:t>
      </w:r>
      <w:r>
        <w:rPr>
          <w:rtl w:val="true"/>
        </w:rPr>
        <w:t>ועזב את המקום</w:t>
      </w:r>
      <w:r>
        <w:rPr>
          <w:rtl w:val="true"/>
        </w:rPr>
        <w:t xml:space="preserve">. </w:t>
      </w:r>
      <w:r>
        <w:rPr>
          <w:rtl w:val="true"/>
        </w:rPr>
        <w:t>בתשובתו לכתב האישום כפר המערער בביצוע העבירה שיוחסה לו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בהכרעת דין מיום </w:t>
      </w:r>
      <w:r>
        <w:rPr/>
        <w:t>26.2.2017</w:t>
      </w:r>
      <w:r>
        <w:rPr>
          <w:rtl w:val="true"/>
        </w:rPr>
        <w:t xml:space="preserve"> </w:t>
      </w:r>
      <w:r>
        <w:rPr>
          <w:rtl w:val="true"/>
        </w:rPr>
        <w:t>הרשיע בית המשפט המחוזי את המערער בעבירה של מעשה מגונה בקטינה כאמור ברישת הדברים</w:t>
      </w:r>
      <w:r>
        <w:rPr>
          <w:rtl w:val="true"/>
        </w:rPr>
        <w:t xml:space="preserve">. </w:t>
      </w:r>
      <w:r>
        <w:rPr>
          <w:rtl w:val="true"/>
        </w:rPr>
        <w:t>בפתח הכרעת הדין</w:t>
      </w:r>
      <w:r>
        <w:rPr>
          <w:rtl w:val="true"/>
        </w:rPr>
        <w:t xml:space="preserve">, </w:t>
      </w:r>
      <w:r>
        <w:rPr>
          <w:rtl w:val="true"/>
        </w:rPr>
        <w:t>הבהיר בית המשפט כי המחלוקת בין הצדדים נוגעת לחלק בכתב האישום שלפיו המערער הרים את חצאיתה של 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הפשיל את תחתוניה וליקק את </w:t>
      </w:r>
      <w:r>
        <w:rPr>
          <w:rtl w:val="true"/>
        </w:rPr>
        <w:t>איבר</w:t>
      </w:r>
      <w:r>
        <w:rPr>
          <w:rtl w:val="true"/>
        </w:rPr>
        <w:t xml:space="preserve"> מינה</w:t>
      </w:r>
      <w:r>
        <w:rPr>
          <w:rtl w:val="true"/>
        </w:rPr>
        <w:t xml:space="preserve">, </w:t>
      </w:r>
      <w:r>
        <w:rPr>
          <w:rtl w:val="true"/>
        </w:rPr>
        <w:t>כמו גם לכך שהמתלוננת דחפה אותו</w:t>
      </w:r>
      <w:r>
        <w:rPr>
          <w:rtl w:val="true"/>
        </w:rPr>
        <w:t xml:space="preserve">, </w:t>
      </w:r>
      <w:r>
        <w:rPr>
          <w:rtl w:val="true"/>
        </w:rPr>
        <w:t>ברחה מהמקום</w:t>
      </w:r>
      <w:r>
        <w:rPr>
          <w:rtl w:val="true"/>
        </w:rPr>
        <w:t xml:space="preserve">, </w:t>
      </w:r>
      <w:r>
        <w:rPr>
          <w:rtl w:val="true"/>
        </w:rPr>
        <w:t>רצה לחדר השינה של אמה וסיפרה על האירוע</w:t>
      </w:r>
      <w:r>
        <w:rPr>
          <w:rtl w:val="true"/>
        </w:rPr>
        <w:t xml:space="preserve">. </w:t>
      </w:r>
      <w:r>
        <w:rPr>
          <w:rtl w:val="true"/>
        </w:rPr>
        <w:t>עוד חלק המערער על כך שפגש במתלוננת בשירותים אותו יום</w:t>
      </w:r>
      <w:r>
        <w:rPr>
          <w:rtl w:val="true"/>
        </w:rPr>
        <w:t xml:space="preserve">, </w:t>
      </w:r>
      <w:r>
        <w:rPr>
          <w:rtl w:val="true"/>
        </w:rPr>
        <w:t>כנטען בכתב האישום</w:t>
      </w:r>
      <w:r>
        <w:rPr>
          <w:rtl w:val="true"/>
        </w:rPr>
        <w:t xml:space="preserve">, </w:t>
      </w:r>
      <w:r>
        <w:rPr>
          <w:rtl w:val="true"/>
        </w:rPr>
        <w:t>וטען כי פגש אותה במסדרון בקומה העליונה בבית</w:t>
      </w:r>
      <w:r>
        <w:rPr>
          <w:rtl w:val="true"/>
        </w:rPr>
        <w:t xml:space="preserve">. </w:t>
      </w:r>
      <w:r>
        <w:rPr>
          <w:rtl w:val="true"/>
        </w:rPr>
        <w:t xml:space="preserve">עוד יצוין כי עדות הקטינה בקשר לאירוע נמסרה בדרך של תיעוד חקירותיה על ידי חוקרת ילדים בהתאם </w:t>
      </w:r>
      <w:hyperlink r:id="rId18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לתיקון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דיני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הגנת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ילדים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התשט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1955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ילדים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בית המשפט מצא כי עדות המתלוננת מהימנה ומשכנעת וקבע כי יש ליתן לה משקל רב</w:t>
      </w:r>
      <w:r>
        <w:rPr>
          <w:rtl w:val="true"/>
        </w:rPr>
        <w:t xml:space="preserve">. </w:t>
      </w:r>
      <w:r>
        <w:rPr>
          <w:rtl w:val="true"/>
        </w:rPr>
        <w:t>נקבע כי דבריה של המתלוננת לפני חוקרת הילדים מתאפיינים בבהירות רבה</w:t>
      </w:r>
      <w:r>
        <w:rPr>
          <w:rtl w:val="true"/>
        </w:rPr>
        <w:t xml:space="preserve">, </w:t>
      </w:r>
      <w:r>
        <w:rPr>
          <w:rtl w:val="true"/>
        </w:rPr>
        <w:t>בעקביות ובאותנטיות וכי ניכר שזו ענתה לעניין ועשתה מאמץ לדייק בפרטים</w:t>
      </w:r>
      <w:r>
        <w:rPr>
          <w:rtl w:val="true"/>
        </w:rPr>
        <w:t xml:space="preserve">. </w:t>
      </w:r>
      <w:r>
        <w:rPr>
          <w:rtl w:val="true"/>
        </w:rPr>
        <w:t>עוד צוין כי בתיאורה של המתלוננת את האירוע</w:t>
      </w:r>
      <w:r>
        <w:rPr>
          <w:rtl w:val="true"/>
        </w:rPr>
        <w:t xml:space="preserve">, </w:t>
      </w:r>
      <w:r>
        <w:rPr>
          <w:rtl w:val="true"/>
        </w:rPr>
        <w:t>אשר במסגרתו בין היתר שללה את האפשרות שהמערער נגע בה במקומות נוספים או בהזדמנויות נוספות</w:t>
      </w:r>
      <w:r>
        <w:rPr>
          <w:rtl w:val="true"/>
        </w:rPr>
        <w:t xml:space="preserve">, </w:t>
      </w:r>
      <w:r>
        <w:rPr>
          <w:rtl w:val="true"/>
        </w:rPr>
        <w:t>לא ניתן למצוא סימן להמצאה מהדמיון או מגמתיות שנועדה להפליל את המערער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נוכח קביעות אלו נפנה בית המשפט לבחון אם מתקיימת דרישת הסיוע הראייתי הקבועה </w:t>
      </w:r>
      <w:hyperlink r:id="rId20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</w:t>
        </w:r>
      </w:hyperlink>
      <w:r>
        <w:rPr>
          <w:rtl w:val="true"/>
        </w:rPr>
        <w:t xml:space="preserve"> </w:t>
      </w:r>
      <w:r>
        <w:rPr>
          <w:rtl w:val="true"/>
        </w:rPr>
        <w:t>לחוק הגנת ילדים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עמד על תגובתה הנפשית של המתלוננת לאירוע </w:t>
      </w:r>
      <w:r>
        <w:rPr>
          <w:rtl w:val="true"/>
        </w:rPr>
        <w:t>–</w:t>
      </w:r>
      <w:r>
        <w:rPr>
          <w:rtl w:val="true"/>
        </w:rPr>
        <w:t xml:space="preserve"> המאופקת באופן יחסי </w:t>
      </w:r>
      <w:r>
        <w:rPr>
          <w:rtl w:val="true"/>
        </w:rPr>
        <w:t>–</w:t>
      </w:r>
      <w:r>
        <w:rPr>
          <w:rtl w:val="true"/>
        </w:rPr>
        <w:t xml:space="preserve"> התואמת את מידת הבנתה</w:t>
      </w:r>
      <w:r>
        <w:rPr>
          <w:rtl w:val="true"/>
        </w:rPr>
        <w:t xml:space="preserve">, </w:t>
      </w:r>
      <w:r>
        <w:rPr>
          <w:rtl w:val="true"/>
        </w:rPr>
        <w:t>בהתייחס לגילה</w:t>
      </w:r>
      <w:r>
        <w:rPr>
          <w:rtl w:val="true"/>
        </w:rPr>
        <w:t xml:space="preserve">; </w:t>
      </w:r>
      <w:r>
        <w:rPr>
          <w:rtl w:val="true"/>
        </w:rPr>
        <w:t>על תלונתה המיידית לאמה</w:t>
      </w:r>
      <w:r>
        <w:rPr>
          <w:rtl w:val="true"/>
        </w:rPr>
        <w:t xml:space="preserve">; </w:t>
      </w:r>
      <w:r>
        <w:rPr>
          <w:rtl w:val="true"/>
        </w:rPr>
        <w:t>על השינויים בהתנהגותה של המתלוננת לאחר האירוע</w:t>
      </w:r>
      <w:r>
        <w:rPr>
          <w:rtl w:val="true"/>
        </w:rPr>
        <w:t xml:space="preserve">, </w:t>
      </w:r>
      <w:r>
        <w:rPr>
          <w:rtl w:val="true"/>
        </w:rPr>
        <w:t>שבאו לידי ביטוי בדריכות</w:t>
      </w:r>
      <w:r>
        <w:rPr>
          <w:rtl w:val="true"/>
        </w:rPr>
        <w:t xml:space="preserve">, </w:t>
      </w:r>
      <w:r>
        <w:rPr>
          <w:rtl w:val="true"/>
        </w:rPr>
        <w:t>במתיחות ובבכי</w:t>
      </w:r>
      <w:r>
        <w:rPr>
          <w:rtl w:val="true"/>
        </w:rPr>
        <w:t xml:space="preserve">; </w:t>
      </w:r>
      <w:r>
        <w:rPr>
          <w:rtl w:val="true"/>
        </w:rPr>
        <w:t>ובפרט על כך שבתקופה שלאחר האירוע</w:t>
      </w:r>
      <w:r>
        <w:rPr>
          <w:rtl w:val="true"/>
        </w:rPr>
        <w:t xml:space="preserve">, </w:t>
      </w:r>
      <w:r>
        <w:rPr>
          <w:rtl w:val="true"/>
        </w:rPr>
        <w:t>על פי דברי ההורים</w:t>
      </w:r>
      <w:r>
        <w:rPr>
          <w:rtl w:val="true"/>
        </w:rPr>
        <w:t xml:space="preserve">, </w:t>
      </w:r>
      <w:r>
        <w:rPr>
          <w:rtl w:val="true"/>
        </w:rPr>
        <w:t>המתלוננת חזרה להרטיב אחרי תקופה ארוכה של גמילה</w:t>
      </w:r>
      <w:r>
        <w:rPr>
          <w:rtl w:val="true"/>
        </w:rPr>
        <w:t xml:space="preserve">, </w:t>
      </w:r>
      <w:r>
        <w:rPr>
          <w:rtl w:val="true"/>
        </w:rPr>
        <w:t>הייתה חשדנית כלפי זרים ודאגה לנעילת דלת הבית</w:t>
      </w:r>
      <w:r>
        <w:rPr>
          <w:rtl w:val="true"/>
        </w:rPr>
        <w:t xml:space="preserve">. </w:t>
      </w:r>
      <w:r>
        <w:rPr>
          <w:rtl w:val="true"/>
        </w:rPr>
        <w:t>היבטים אלה</w:t>
      </w:r>
      <w:r>
        <w:rPr>
          <w:rtl w:val="true"/>
        </w:rPr>
        <w:t xml:space="preserve">, </w:t>
      </w:r>
      <w:r>
        <w:rPr>
          <w:rtl w:val="true"/>
        </w:rPr>
        <w:t xml:space="preserve">לצד המשקל הניכר שראה לייחס לעדות המתלוננת </w:t>
      </w:r>
      <w:r>
        <w:rPr>
          <w:rtl w:val="true"/>
        </w:rPr>
        <w:t>(</w:t>
      </w:r>
      <w:r>
        <w:rPr>
          <w:rtl w:val="true"/>
        </w:rPr>
        <w:t>שנמסרה בחקירת הילדים כאמור</w:t>
      </w:r>
      <w:r>
        <w:rPr>
          <w:rtl w:val="true"/>
        </w:rPr>
        <w:t xml:space="preserve">), </w:t>
      </w:r>
      <w:r>
        <w:rPr>
          <w:rtl w:val="true"/>
        </w:rPr>
        <w:t>הביאו את בית המשפט למסקנה כי מתמלאת דרישת הסיוע במקרה דנא</w:t>
      </w:r>
      <w:r>
        <w:rPr>
          <w:rtl w:val="true"/>
        </w:rPr>
        <w:t xml:space="preserve">. </w:t>
      </w:r>
      <w:r>
        <w:rPr>
          <w:rtl w:val="true"/>
        </w:rPr>
        <w:t xml:space="preserve">לכך הוסף כי דגימת </w:t>
      </w:r>
      <w:r>
        <w:rPr>
          <w:rFonts w:cs="Century" w:ascii="Century" w:hAnsi="Century"/>
          <w:sz w:val="22"/>
        </w:rPr>
        <w:t>DNA</w:t>
      </w:r>
      <w:r>
        <w:rPr>
          <w:rtl w:val="true"/>
        </w:rPr>
        <w:t xml:space="preserve"> </w:t>
      </w:r>
      <w:r>
        <w:rPr>
          <w:rtl w:val="true"/>
        </w:rPr>
        <w:t xml:space="preserve">שנלקחה מהתחתונים שלבשה המתלוננת בעת האירוע ובה נמצא פרופיל </w:t>
      </w:r>
      <w:r>
        <w:rPr>
          <w:rFonts w:cs="Century" w:ascii="Century" w:hAnsi="Century"/>
          <w:sz w:val="22"/>
        </w:rPr>
        <w:t>DNA</w:t>
      </w:r>
      <w:r>
        <w:rPr>
          <w:rtl w:val="true"/>
        </w:rPr>
        <w:t xml:space="preserve"> </w:t>
      </w:r>
      <w:r>
        <w:rPr>
          <w:rtl w:val="true"/>
        </w:rPr>
        <w:t xml:space="preserve">המתאים למערער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ראיית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-</w:t>
      </w:r>
      <w:r>
        <w:rPr>
          <w:rFonts w:cs="Miriam" w:ascii="Times New Roman" w:hAnsi="Times New Roman"/>
          <w:spacing w:val="0"/>
          <w:sz w:val="28"/>
          <w:szCs w:val="24"/>
        </w:rPr>
        <w:t>DNA</w:t>
      </w:r>
      <w:r>
        <w:rPr>
          <w:rtl w:val="true"/>
        </w:rPr>
        <w:t xml:space="preserve">) </w:t>
      </w:r>
      <w:r>
        <w:rPr>
          <w:rtl w:val="true"/>
        </w:rPr>
        <w:t>משמשת חיזוק נוסף לראיות בתיק</w:t>
      </w:r>
      <w:r>
        <w:rPr>
          <w:rtl w:val="true"/>
        </w:rPr>
        <w:t xml:space="preserve">, </w:t>
      </w:r>
      <w:r>
        <w:rPr>
          <w:rtl w:val="true"/>
        </w:rPr>
        <w:t>הגם שמשקלה הוערך כנמוך</w:t>
      </w:r>
      <w:r>
        <w:rPr>
          <w:rtl w:val="true"/>
        </w:rPr>
        <w:t xml:space="preserve">, </w:t>
      </w:r>
      <w:r>
        <w:rPr>
          <w:rtl w:val="true"/>
        </w:rPr>
        <w:t>נוכח גישתו החופשית של המערער לזירת העבירה ומטעמים נוספים שפורטו</w:t>
      </w:r>
      <w:r>
        <w:rPr>
          <w:rtl w:val="true"/>
        </w:rPr>
        <w:t xml:space="preserve">. </w:t>
      </w:r>
      <w:r>
        <w:rPr>
          <w:rtl w:val="true"/>
        </w:rPr>
        <w:t>בצד האמור יוער כי בית המשפט דחה את טענת המשיבה שלפיה שקרי המערער</w:t>
      </w:r>
      <w:r>
        <w:rPr>
          <w:rtl w:val="true"/>
        </w:rPr>
        <w:t xml:space="preserve">, </w:t>
      </w:r>
      <w:r>
        <w:rPr>
          <w:rtl w:val="true"/>
        </w:rPr>
        <w:t>שבאים לידי ביטוי בפערים וסתירות בדברים שמסר במשטרה ובבית המשפט</w:t>
      </w:r>
      <w:r>
        <w:rPr>
          <w:rtl w:val="true"/>
        </w:rPr>
        <w:t xml:space="preserve">, </w:t>
      </w:r>
      <w:r>
        <w:rPr>
          <w:rtl w:val="true"/>
        </w:rPr>
        <w:t>עולים כדי ראיית סיוע</w:t>
      </w:r>
      <w:r>
        <w:rPr>
          <w:rtl w:val="true"/>
        </w:rPr>
        <w:t xml:space="preserve">. </w:t>
      </w:r>
      <w:r>
        <w:rPr>
          <w:rtl w:val="true"/>
        </w:rPr>
        <w:t>בהקשר זה נקבע</w:t>
      </w:r>
      <w:r>
        <w:rPr>
          <w:rtl w:val="true"/>
        </w:rPr>
        <w:t xml:space="preserve">, </w:t>
      </w:r>
      <w:r>
        <w:rPr>
          <w:rtl w:val="true"/>
        </w:rPr>
        <w:t>כי קשיי תרגום ופערים תרבותיים עשויים להסביר את הפערים שבין גרסאותיו</w:t>
      </w:r>
      <w:r>
        <w:rPr>
          <w:rtl w:val="true"/>
        </w:rPr>
        <w:t xml:space="preserve">; </w:t>
      </w:r>
      <w:r>
        <w:rPr>
          <w:rtl w:val="true"/>
        </w:rPr>
        <w:t>וכי גם אם יש לייחס משקל לסתירות בתשובותיו של המערער לחלק מהשאלות שהוצגו לו</w:t>
      </w:r>
      <w:r>
        <w:rPr>
          <w:rtl w:val="true"/>
        </w:rPr>
        <w:t xml:space="preserve">, </w:t>
      </w:r>
      <w:r>
        <w:rPr>
          <w:rtl w:val="true"/>
        </w:rPr>
        <w:t>הרי שאין מדובר בסתירות הנוגעות לרכיבים מהותיים בגרסה</w:t>
      </w:r>
      <w:r>
        <w:rPr>
          <w:rtl w:val="true"/>
        </w:rPr>
        <w:t xml:space="preserve">, </w:t>
      </w:r>
      <w:r>
        <w:rPr>
          <w:rtl w:val="true"/>
        </w:rPr>
        <w:t>שעשויות לשמש סיוע בנסיבות דנן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בהתאם להוראת </w:t>
      </w:r>
      <w:hyperlink r:id="rId2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משולב</w:t>
      </w:r>
      <w:r>
        <w:rPr>
          <w:rtl w:val="true"/>
        </w:rPr>
        <w:t xml:space="preserve">],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 </w:t>
      </w:r>
      <w:r>
        <w:rPr>
          <w:rtl w:val="true"/>
        </w:rPr>
        <w:t xml:space="preserve">הורה בית המשפט על הכנת תסקיר בעניין נפגעת העבירה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התסקיר</w:t>
      </w:r>
      <w:r>
        <w:rPr>
          <w:rtl w:val="true"/>
        </w:rPr>
        <w:t xml:space="preserve">). </w:t>
      </w:r>
      <w:r>
        <w:rPr>
          <w:rtl w:val="true"/>
        </w:rPr>
        <w:t>מהתסקיר עלה כי על אף שהמתלוננת נאלצה להתמודד עם אירוע חריג</w:t>
      </w:r>
      <w:r>
        <w:rPr>
          <w:rtl w:val="true"/>
        </w:rPr>
        <w:t xml:space="preserve">, </w:t>
      </w:r>
      <w:r>
        <w:rPr>
          <w:rtl w:val="true"/>
        </w:rPr>
        <w:t>שבגינו חוותה טלטלה שדרשה התארגנות וחזרה לאיזון</w:t>
      </w:r>
      <w:r>
        <w:rPr>
          <w:rtl w:val="true"/>
        </w:rPr>
        <w:t xml:space="preserve">, </w:t>
      </w:r>
      <w:r>
        <w:rPr>
          <w:rtl w:val="true"/>
        </w:rPr>
        <w:t>הצפי להחלמתה טוב וחיובי</w:t>
      </w:r>
      <w:r>
        <w:rPr>
          <w:rtl w:val="true"/>
        </w:rPr>
        <w:t xml:space="preserve">. </w:t>
      </w:r>
      <w:r>
        <w:rPr>
          <w:rtl w:val="true"/>
        </w:rPr>
        <w:t>לדברי שירות המבחן</w:t>
      </w:r>
      <w:r>
        <w:rPr>
          <w:rtl w:val="true"/>
        </w:rPr>
        <w:t xml:space="preserve">, </w:t>
      </w:r>
      <w:r>
        <w:rPr>
          <w:rtl w:val="true"/>
        </w:rPr>
        <w:t>התושייה שגילתה המתלוננת</w:t>
      </w:r>
      <w:r>
        <w:rPr>
          <w:rtl w:val="true"/>
        </w:rPr>
        <w:t xml:space="preserve">, </w:t>
      </w:r>
      <w:r>
        <w:rPr>
          <w:rtl w:val="true"/>
        </w:rPr>
        <w:t>שקלטה שהמעשה שנעשה בה הוא אסור</w:t>
      </w:r>
      <w:r>
        <w:rPr>
          <w:rtl w:val="true"/>
        </w:rPr>
        <w:t xml:space="preserve">, </w:t>
      </w:r>
      <w:r>
        <w:rPr>
          <w:rtl w:val="true"/>
        </w:rPr>
        <w:t>התנגדותה למערער וריצתה לאמה לדווח לה על שאירע</w:t>
      </w:r>
      <w:r>
        <w:rPr>
          <w:rtl w:val="true"/>
        </w:rPr>
        <w:t xml:space="preserve">, </w:t>
      </w:r>
      <w:r>
        <w:rPr>
          <w:rtl w:val="true"/>
        </w:rPr>
        <w:t>מוליכים למסקנה כי סביר שהמתלוננת לא תיכנס למצב פוסט טראומטי קשה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צוין כי לאחר האירוע חשה המתלוננת חרדה ופחד מאנשים</w:t>
      </w:r>
      <w:r>
        <w:rPr>
          <w:rtl w:val="true"/>
        </w:rPr>
        <w:t xml:space="preserve">; </w:t>
      </w:r>
      <w:r>
        <w:rPr>
          <w:rtl w:val="true"/>
        </w:rPr>
        <w:t>כי היא חזרה להרטיב לאחר שנגמלה</w:t>
      </w:r>
      <w:r>
        <w:rPr>
          <w:rtl w:val="true"/>
        </w:rPr>
        <w:t xml:space="preserve">; </w:t>
      </w:r>
      <w:r>
        <w:rPr>
          <w:rtl w:val="true"/>
        </w:rPr>
        <w:t>וכי לא רצתה להישאר לבד</w:t>
      </w:r>
      <w:r>
        <w:rPr>
          <w:rtl w:val="true"/>
        </w:rPr>
        <w:t xml:space="preserve">. </w:t>
      </w:r>
      <w:r>
        <w:rPr>
          <w:rtl w:val="true"/>
        </w:rPr>
        <w:t>עוד הוסף</w:t>
      </w:r>
      <w:r>
        <w:rPr>
          <w:rtl w:val="true"/>
        </w:rPr>
        <w:t xml:space="preserve">, </w:t>
      </w:r>
      <w:r>
        <w:rPr>
          <w:rtl w:val="true"/>
        </w:rPr>
        <w:t>כי הורי המתלוננת פנו לטיפול פרטי להתמודדות עם המשבר שנוצר בעקבות האירוע</w:t>
      </w:r>
      <w:r>
        <w:rPr>
          <w:rtl w:val="true"/>
        </w:rPr>
        <w:t xml:space="preserve">. </w:t>
      </w:r>
      <w:r>
        <w:rPr>
          <w:rtl w:val="true"/>
        </w:rPr>
        <w:t>בנוסף צוין כי החקירה יצרה אצל המתלוננת מצב של דיסוננס בין ההבנה כי עליה לדווח לחוקרת על שקרה</w:t>
      </w:r>
      <w:r>
        <w:rPr>
          <w:rtl w:val="true"/>
        </w:rPr>
        <w:t xml:space="preserve">, </w:t>
      </w:r>
      <w:r>
        <w:rPr>
          <w:rtl w:val="true"/>
        </w:rPr>
        <w:t xml:space="preserve">על מנת שיגנו עליה לבין </w:t>
      </w:r>
      <w:r>
        <w:rPr>
          <w:rtl w:val="true"/>
        </w:rPr>
        <w:t>כך</w:t>
      </w:r>
      <w:r>
        <w:rPr>
          <w:rtl w:val="true"/>
        </w:rPr>
        <w:t xml:space="preserve"> </w:t>
      </w:r>
      <w:r>
        <w:rPr>
          <w:rtl w:val="true"/>
        </w:rPr>
        <w:t>שהחקירה</w:t>
      </w:r>
      <w:r>
        <w:rPr>
          <w:rtl w:val="true"/>
        </w:rPr>
        <w:t xml:space="preserve"> </w:t>
      </w:r>
      <w:r>
        <w:rPr>
          <w:rtl w:val="true"/>
        </w:rPr>
        <w:t>אילצה</w:t>
      </w:r>
      <w:r>
        <w:rPr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 </w:t>
      </w:r>
      <w:r>
        <w:rPr>
          <w:rtl w:val="true"/>
        </w:rPr>
        <w:t>להתבטא בצורה שאינה מתאימה לאופן שבו חונכה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התסקיר עמד על כך שמצב זה עשוי להיפתר עם גדילתה ותוך תיווך של העולם על ידי מבוגר או איש מקצוע במידת הצורך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הוזכר כי המתלוננת מתארת חודרנות של זיכרון האירוע למודעות</w:t>
      </w:r>
      <w:r>
        <w:rPr>
          <w:rtl w:val="true"/>
        </w:rPr>
        <w:t xml:space="preserve">, </w:t>
      </w:r>
      <w:r>
        <w:rPr>
          <w:rtl w:val="true"/>
        </w:rPr>
        <w:t>העולה כתוצאה מ</w:t>
      </w:r>
      <w:r>
        <w:rPr>
          <w:rtl w:val="true"/>
        </w:rPr>
        <w:t>"</w:t>
      </w:r>
      <w:r>
        <w:rPr>
          <w:rtl w:val="true"/>
        </w:rPr>
        <w:t>טריגרים</w:t>
      </w:r>
      <w:r>
        <w:rPr>
          <w:rtl w:val="true"/>
        </w:rPr>
        <w:t>" (</w:t>
      </w:r>
      <w:r>
        <w:rPr>
          <w:rtl w:val="true"/>
        </w:rPr>
        <w:t>מזנקים</w:t>
      </w:r>
      <w:r>
        <w:rPr>
          <w:rtl w:val="true"/>
        </w:rPr>
        <w:t xml:space="preserve">)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באופן שגורם לה תחושה קשה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Fonts w:eastAsia="Garamond"/>
          <w:rtl w:val="true"/>
        </w:rPr>
        <w:t xml:space="preserve"> </w:t>
      </w:r>
      <w:r>
        <w:rPr>
          <w:rtl w:val="true"/>
        </w:rPr>
        <w:t>בקביעת מתחם העונש ההולם בעניינו של המערער</w:t>
      </w:r>
      <w:r>
        <w:rPr>
          <w:rtl w:val="true"/>
        </w:rPr>
        <w:t xml:space="preserve">, </w:t>
      </w:r>
      <w:r>
        <w:rPr>
          <w:rtl w:val="true"/>
        </w:rPr>
        <w:t>ציין בית המשפט כי האחרון פגע בילדה רכה בשנים</w:t>
      </w:r>
      <w:r>
        <w:rPr>
          <w:rtl w:val="true"/>
        </w:rPr>
        <w:t xml:space="preserve">, </w:t>
      </w:r>
      <w:r>
        <w:rPr>
          <w:rtl w:val="true"/>
        </w:rPr>
        <w:t>תוך שהוא מנצל את תמימותה הטבעית והאמון שניתן בו</w:t>
      </w:r>
      <w:r>
        <w:rPr>
          <w:rtl w:val="true"/>
        </w:rPr>
        <w:t xml:space="preserve">; </w:t>
      </w:r>
      <w:r>
        <w:rPr>
          <w:rtl w:val="true"/>
        </w:rPr>
        <w:t>וכי המערער ראה במתלוננת אובייקט מיני ועשה בה מעשה מיני חמור</w:t>
      </w:r>
      <w:r>
        <w:rPr>
          <w:rtl w:val="true"/>
        </w:rPr>
        <w:t xml:space="preserve">. </w:t>
      </w:r>
      <w:r>
        <w:rPr>
          <w:rtl w:val="true"/>
        </w:rPr>
        <w:t>בית המשפט הוסיף כי האירוע נקטע מייד בראשיתו הודות לאינטואיציה של המתלוננת</w:t>
      </w:r>
      <w:r>
        <w:rPr>
          <w:rtl w:val="true"/>
        </w:rPr>
        <w:t xml:space="preserve">, </w:t>
      </w:r>
      <w:r>
        <w:rPr>
          <w:rtl w:val="true"/>
        </w:rPr>
        <w:t>שהדפה את ראשו של המערער ונמלטה לחדר אמה</w:t>
      </w:r>
      <w:r>
        <w:rPr>
          <w:rtl w:val="true"/>
        </w:rPr>
        <w:t xml:space="preserve">. </w:t>
      </w:r>
      <w:r>
        <w:rPr>
          <w:rtl w:val="true"/>
        </w:rPr>
        <w:t>עוד עמד בית המשפט על הפגיעה במתלוננת ובהוריה כפי שבאה לידי ביטוי בתסקיר</w:t>
      </w:r>
      <w:r>
        <w:rPr>
          <w:rtl w:val="true"/>
        </w:rPr>
        <w:t xml:space="preserve">, </w:t>
      </w:r>
      <w:r>
        <w:rPr>
          <w:rtl w:val="true"/>
        </w:rPr>
        <w:t>תוך שציין כי הצפי החיובי להחלמת המתלוננת אינו סיבה להקל בעונש המערער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בית המשפט קבע כי אין בנמצא ראיות לתכנון מוקדם של המעשה מצד המערער וכן כי לא ננקטה כלפי המתלוננת אלימות או אכזריות מעבר לפגיעה המינית</w:t>
      </w:r>
      <w:r>
        <w:rPr>
          <w:rtl w:val="true"/>
        </w:rPr>
        <w:t xml:space="preserve">. </w:t>
      </w:r>
      <w:r>
        <w:rPr>
          <w:rtl w:val="true"/>
        </w:rPr>
        <w:t xml:space="preserve">לאחר שבחן את מדיניות הענישה הנוהגת במקרים דומים ואת הוראת </w:t>
      </w:r>
      <w:hyperlink r:id="rId2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שלפיו בהיעדר טעמים מיוחדים אין להפחית את עונש המאסר של מי שהורשע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בעבירה שבה הורשע המערער</w:t>
      </w:r>
      <w:r>
        <w:rPr>
          <w:rtl w:val="true"/>
        </w:rPr>
        <w:t xml:space="preserve">, </w:t>
      </w:r>
      <w:r>
        <w:rPr>
          <w:rtl w:val="true"/>
        </w:rPr>
        <w:t>מרבע מהעונש המרבי</w:t>
      </w:r>
      <w:r>
        <w:rPr>
          <w:rtl w:val="true"/>
        </w:rPr>
        <w:t xml:space="preserve">), </w:t>
      </w:r>
      <w:r>
        <w:rPr>
          <w:rtl w:val="true"/>
        </w:rPr>
        <w:t xml:space="preserve">העמיד בית המשפט את מתחם העונש ההולם בענייננו על שנתיים וחצי עד </w:t>
      </w:r>
      <w:r>
        <w:rPr/>
        <w:t>4.5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גזר בית המשפט את עונשו של המערער בתוך המתחם לאחר ששקל בית המשפט</w:t>
      </w:r>
      <w:r>
        <w:rPr>
          <w:rtl w:val="true"/>
        </w:rPr>
        <w:t xml:space="preserve">, </w:t>
      </w:r>
      <w:r>
        <w:rPr>
          <w:rtl w:val="true"/>
        </w:rPr>
        <w:t>לקולה</w:t>
      </w:r>
      <w:r>
        <w:rPr>
          <w:rtl w:val="true"/>
        </w:rPr>
        <w:t xml:space="preserve">, </w:t>
      </w:r>
      <w:r>
        <w:rPr>
          <w:rtl w:val="true"/>
        </w:rPr>
        <w:t>את העובדה שהמערער נעדר עבר פלילי</w:t>
      </w:r>
      <w:r>
        <w:rPr>
          <w:rtl w:val="true"/>
        </w:rPr>
        <w:t xml:space="preserve">; </w:t>
      </w:r>
      <w:r>
        <w:rPr>
          <w:rtl w:val="true"/>
        </w:rPr>
        <w:t>את הפגיעה שצפויה להיגרם למשפחתו כתוצאה ממאסרו</w:t>
      </w:r>
      <w:r>
        <w:rPr>
          <w:rtl w:val="true"/>
        </w:rPr>
        <w:t xml:space="preserve">; </w:t>
      </w:r>
      <w:r>
        <w:rPr>
          <w:rtl w:val="true"/>
        </w:rPr>
        <w:t>ואת הקושי החריג המתעורר בנשיאת עונש של מאסר בפועל על ידי המערער</w:t>
      </w:r>
      <w:r>
        <w:rPr>
          <w:rtl w:val="true"/>
        </w:rPr>
        <w:t xml:space="preserve">, </w:t>
      </w:r>
      <w:r>
        <w:rPr>
          <w:rtl w:val="true"/>
        </w:rPr>
        <w:t>הנובע מהיותו תושב זר שאינו דובר עברית ומתקשה בשפה האנגלית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שקל בית המשפט לחובת המערער את העובדה שלא נטל אחריות על מעשיו</w:t>
      </w:r>
      <w:r>
        <w:rPr>
          <w:rtl w:val="true"/>
        </w:rPr>
        <w:t xml:space="preserve">. </w:t>
      </w:r>
      <w:r>
        <w:rPr>
          <w:rtl w:val="true"/>
        </w:rPr>
        <w:t>נוכח כל האמור גזר בית המשפט על המערער עונשים כאמור ברישת פסק דין זה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מכאן הערעור שלפנינו</w:t>
      </w:r>
      <w:r>
        <w:rPr>
          <w:rtl w:val="true"/>
        </w:rPr>
        <w:t xml:space="preserve">, </w:t>
      </w:r>
      <w:r>
        <w:rPr>
          <w:rtl w:val="true"/>
        </w:rPr>
        <w:t>המופנה כאמור נגד הכרעת הדין וגזר הדין</w:t>
      </w:r>
      <w:r>
        <w:rPr>
          <w:rtl w:val="true"/>
        </w:rPr>
        <w:t xml:space="preserve">. </w:t>
      </w:r>
      <w:r>
        <w:rPr>
          <w:rtl w:val="true"/>
        </w:rPr>
        <w:t>אשר להכרעת הדין</w:t>
      </w:r>
      <w:r>
        <w:rPr>
          <w:rtl w:val="true"/>
        </w:rPr>
        <w:t xml:space="preserve">, </w:t>
      </w:r>
      <w:r>
        <w:rPr>
          <w:rtl w:val="true"/>
        </w:rPr>
        <w:t>בפי המערער שלוש השגות מרכזיות</w:t>
      </w:r>
      <w:r>
        <w:rPr>
          <w:rtl w:val="true"/>
        </w:rPr>
        <w:t xml:space="preserve">: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טוען המערער כי שגה בית המשפט המחוזי עת קבע כי השינוי שחל במצבה הנפשי של המתלוננת עולה כדי הסיוע הנדרש לעדותה לפני חוקרת הילדים</w:t>
      </w:r>
      <w:r>
        <w:rPr>
          <w:rtl w:val="true"/>
        </w:rPr>
        <w:t xml:space="preserve">. </w:t>
      </w:r>
      <w:r>
        <w:rPr>
          <w:rtl w:val="true"/>
        </w:rPr>
        <w:t>לעמדת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השינוי במצבה הנפשי של המתלוננת לא היה </w:t>
      </w:r>
      <w:r>
        <w:rPr>
          <w:rtl w:val="true"/>
        </w:rPr>
        <w:t>"</w:t>
      </w:r>
      <w:r>
        <w:rPr>
          <w:rtl w:val="true"/>
        </w:rPr>
        <w:t>ניכר וגלוי לעין</w:t>
      </w:r>
      <w:r>
        <w:rPr>
          <w:rtl w:val="true"/>
        </w:rPr>
        <w:t xml:space="preserve">" </w:t>
      </w:r>
      <w:r>
        <w:rPr>
          <w:rtl w:val="true"/>
        </w:rPr>
        <w:t>כפי שנדרש בפסיקת בית משפט זה</w:t>
      </w:r>
      <w:r>
        <w:rPr>
          <w:rtl w:val="true"/>
        </w:rPr>
        <w:t xml:space="preserve">, </w:t>
      </w:r>
      <w:r>
        <w:rPr>
          <w:rtl w:val="true"/>
        </w:rPr>
        <w:t>אלא נסמך על תחושתה הסובייקטיבית של אמה</w:t>
      </w:r>
      <w:r>
        <w:rPr>
          <w:rtl w:val="true"/>
        </w:rPr>
        <w:t xml:space="preserve">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משיג המערער על כך שבית המשפט המחוזי נתן משקל לראיית ה</w:t>
      </w:r>
      <w:r>
        <w:rPr>
          <w:rtl w:val="true"/>
        </w:rPr>
        <w:t>-</w:t>
      </w:r>
      <w:r>
        <w:rPr>
          <w:rFonts w:cs="Century" w:ascii="Century" w:hAnsi="Century"/>
          <w:sz w:val="22"/>
        </w:rPr>
        <w:t>DNA</w:t>
      </w:r>
      <w:r>
        <w:rPr>
          <w:rtl w:val="true"/>
        </w:rPr>
        <w:t xml:space="preserve">, </w:t>
      </w:r>
      <w:r>
        <w:rPr>
          <w:rtl w:val="true"/>
        </w:rPr>
        <w:t>בין היתר מן הטעם שהמומחית מטעם המשיבה אישרה כי ייתכן שה</w:t>
      </w:r>
      <w:r>
        <w:rPr>
          <w:rtl w:val="true"/>
        </w:rPr>
        <w:t>-</w:t>
      </w:r>
      <w:r>
        <w:rPr>
          <w:rFonts w:cs="Century" w:ascii="Century" w:hAnsi="Century"/>
          <w:sz w:val="22"/>
        </w:rPr>
        <w:t>DNA</w:t>
      </w:r>
      <w:r>
        <w:rPr>
          <w:rtl w:val="true"/>
        </w:rPr>
        <w:t xml:space="preserve"> </w:t>
      </w:r>
      <w:r>
        <w:rPr>
          <w:rtl w:val="true"/>
        </w:rPr>
        <w:t>שאותר על תחתוני המתלוננת אינו בהכרח מתאי רוק וכי ייתכן שה</w:t>
      </w:r>
      <w:r>
        <w:rPr>
          <w:rtl w:val="true"/>
        </w:rPr>
        <w:t>-</w:t>
      </w:r>
      <w:r>
        <w:rPr>
          <w:rFonts w:cs="Century" w:ascii="Century" w:hAnsi="Century"/>
          <w:sz w:val="22"/>
        </w:rPr>
        <w:t>DNA</w:t>
      </w:r>
      <w:r>
        <w:rPr>
          <w:rtl w:val="true"/>
        </w:rPr>
        <w:t xml:space="preserve"> </w:t>
      </w:r>
      <w:r>
        <w:rPr>
          <w:rtl w:val="true"/>
        </w:rPr>
        <w:t>של המערער הגיע לתחתונים בדרך עקיפה ותמימה</w:t>
      </w:r>
      <w:r>
        <w:rPr>
          <w:rtl w:val="true"/>
        </w:rPr>
        <w:t xml:space="preserve">. </w:t>
      </w:r>
      <w:r>
        <w:rPr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 xml:space="preserve">טוען המערער כי שגה בית משפט קמא שלא התנה את הרשעתו בהוכחה כי ביצע את המעשה תוך </w:t>
      </w:r>
      <w:r>
        <w:rPr>
          <w:rtl w:val="true"/>
        </w:rPr>
        <w:t>"</w:t>
      </w:r>
      <w:r>
        <w:rPr>
          <w:rtl w:val="true"/>
        </w:rPr>
        <w:t>שימוש בכוח</w:t>
      </w:r>
      <w:r>
        <w:rPr>
          <w:rtl w:val="true"/>
        </w:rPr>
        <w:t xml:space="preserve">", </w:t>
      </w:r>
      <w:r>
        <w:rPr>
          <w:rtl w:val="true"/>
        </w:rPr>
        <w:t xml:space="preserve">שנכלל בעבר בנסיבות שאליהן הפנתה העבירה </w:t>
      </w:r>
      <w:hyperlink r:id="rId25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המנויות </w:t>
      </w:r>
      <w:hyperlink r:id="rId27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).</w:t>
        </w:r>
      </w:hyperlink>
      <w:r>
        <w:rPr>
          <w:rtl w:val="true"/>
        </w:rPr>
        <w:t xml:space="preserve"> </w:t>
      </w:r>
      <w:r>
        <w:rPr>
          <w:rtl w:val="true"/>
        </w:rPr>
        <w:t>לפי הילוך טענה זו</w:t>
      </w:r>
      <w:r>
        <w:rPr>
          <w:rtl w:val="true"/>
        </w:rPr>
        <w:t xml:space="preserve">, </w:t>
      </w:r>
      <w:r>
        <w:rPr>
          <w:rtl w:val="true"/>
        </w:rPr>
        <w:t xml:space="preserve">לאחר ששונה סעיף זה </w:t>
      </w:r>
      <w:r>
        <w:rPr>
          <w:rtl w:val="true"/>
        </w:rPr>
        <w:t>(</w:t>
      </w:r>
      <w:r>
        <w:rPr>
          <w:rtl w:val="true"/>
        </w:rPr>
        <w:t>והסעיפים שאליו הוא מפנה</w:t>
      </w:r>
      <w:r>
        <w:rPr>
          <w:rtl w:val="true"/>
        </w:rPr>
        <w:t xml:space="preserve">), </w:t>
      </w:r>
      <w:r>
        <w:rPr>
          <w:rtl w:val="true"/>
        </w:rPr>
        <w:t xml:space="preserve">שהעונש המרבי בגינו עומד על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 xml:space="preserve">אין הבחנה ברורה בינו לבין </w:t>
      </w:r>
      <w:hyperlink r:id="rId2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שהעונש המרבי המנוי בו עומד על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) </w:t>
      </w:r>
      <w:r>
        <w:rPr>
          <w:rtl w:val="true"/>
        </w:rPr>
        <w:t>מלבד יסוד היעדר ההסכמה הנדרש לפי הסעיף הראשון</w:t>
      </w:r>
      <w:r>
        <w:rPr>
          <w:rtl w:val="true"/>
        </w:rPr>
        <w:t xml:space="preserve">. </w:t>
      </w:r>
      <w:r>
        <w:rPr>
          <w:rtl w:val="true"/>
        </w:rPr>
        <w:t>להיעדר ההסכמה</w:t>
      </w:r>
      <w:r>
        <w:rPr>
          <w:rtl w:val="true"/>
        </w:rPr>
        <w:t xml:space="preserve">, </w:t>
      </w:r>
      <w:r>
        <w:rPr>
          <w:rtl w:val="true"/>
        </w:rPr>
        <w:t>כך המערער</w:t>
      </w:r>
      <w:r>
        <w:rPr>
          <w:rtl w:val="true"/>
        </w:rPr>
        <w:t xml:space="preserve">, </w:t>
      </w:r>
      <w:r>
        <w:rPr>
          <w:rtl w:val="true"/>
        </w:rPr>
        <w:t xml:space="preserve">ממילא אין משמעות רבה כאשר עסקינן בקטינה מתחת לגיל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 xml:space="preserve">שנים ולכן לא היה מקום להרשיעו בעבירה לפי </w:t>
      </w:r>
      <w:hyperlink r:id="rId3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מבלי שיוכח </w:t>
      </w:r>
      <w:r>
        <w:rPr>
          <w:rtl w:val="true"/>
        </w:rPr>
        <w:t>"</w:t>
      </w:r>
      <w:r>
        <w:rPr>
          <w:rtl w:val="true"/>
        </w:rPr>
        <w:t>שימוש בכוח</w:t>
      </w:r>
      <w:r>
        <w:rPr>
          <w:rtl w:val="true"/>
        </w:rPr>
        <w:t xml:space="preserve">", </w:t>
      </w:r>
      <w:r>
        <w:rPr>
          <w:rtl w:val="true"/>
        </w:rPr>
        <w:t>הגם שרכיב זה נמחק זה מכבר</w:t>
      </w:r>
      <w:r>
        <w:rPr>
          <w:rtl w:val="true"/>
        </w:rPr>
        <w:t xml:space="preserve">. </w:t>
      </w:r>
      <w:r>
        <w:rPr>
          <w:rtl w:val="true"/>
        </w:rPr>
        <w:t>לחלופין</w:t>
      </w:r>
      <w:r>
        <w:rPr>
          <w:rtl w:val="true"/>
        </w:rPr>
        <w:t xml:space="preserve">, </w:t>
      </w:r>
      <w:r>
        <w:rPr>
          <w:rtl w:val="true"/>
        </w:rPr>
        <w:t>לעמדת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הרשעה </w:t>
      </w:r>
      <w:hyperlink r:id="rId32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תוך הסתמכות על יסוד היעדר ההסכמה תתאפשר רק כאשר גיל הנפגעת עומד על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 xml:space="preserve">עד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אשר לגזר הדין</w:t>
      </w:r>
      <w:r>
        <w:rPr>
          <w:rtl w:val="true"/>
        </w:rPr>
        <w:t xml:space="preserve">, </w:t>
      </w:r>
      <w:r>
        <w:rPr>
          <w:rtl w:val="true"/>
        </w:rPr>
        <w:t>טוען המערער כי לא היה מקום לקבוע שהרף התחתון של מתחם הענישה בעניינו יעמוד על שנתיים וחצי</w:t>
      </w:r>
      <w:r>
        <w:rPr>
          <w:rtl w:val="true"/>
        </w:rPr>
        <w:t xml:space="preserve">, </w:t>
      </w:r>
      <w:r>
        <w:rPr>
          <w:rtl w:val="true"/>
        </w:rPr>
        <w:t xml:space="preserve">בשל האפשרות כי חלק מהעונש המזערי כמובנו </w:t>
      </w:r>
      <w:hyperlink r:id="rId33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ירוצה</w:t>
      </w:r>
      <w:r>
        <w:rPr>
          <w:rtl w:val="true"/>
        </w:rPr>
        <w:t xml:space="preserve"> בדרך של מאסר על תנאי</w:t>
      </w:r>
      <w:r>
        <w:rPr>
          <w:rtl w:val="true"/>
        </w:rPr>
        <w:t xml:space="preserve">. </w:t>
      </w:r>
      <w:r>
        <w:rPr>
          <w:rtl w:val="true"/>
        </w:rPr>
        <w:t>עוד נטען כי העונש שהוטל על המערער חורג באופן משמעותי ממדיניות הענישה הנוהגת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המשיבה סומכת את ידיה על פסק הדין של בית משפט קמא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עדותה של המתלוננת לא מותירה ספק בדבר אמינותה</w:t>
      </w:r>
      <w:r>
        <w:rPr>
          <w:rtl w:val="true"/>
        </w:rPr>
        <w:t xml:space="preserve">, </w:t>
      </w:r>
      <w:r>
        <w:rPr>
          <w:rtl w:val="true"/>
        </w:rPr>
        <w:t>עקביותה וכנותה ותגובתה של המתלוננת לאירוע מאופקת</w:t>
      </w:r>
      <w:r>
        <w:rPr>
          <w:rtl w:val="true"/>
        </w:rPr>
        <w:t xml:space="preserve">, </w:t>
      </w:r>
      <w:r>
        <w:rPr>
          <w:rtl w:val="true"/>
        </w:rPr>
        <w:t>אותנטית ותואמת את גילה הצעיר ואת מידת הבנתה אותו</w:t>
      </w:r>
      <w:r>
        <w:rPr>
          <w:rtl w:val="true"/>
        </w:rPr>
        <w:t xml:space="preserve">. </w:t>
      </w:r>
      <w:r>
        <w:rPr>
          <w:rtl w:val="true"/>
        </w:rPr>
        <w:t>אשר לדרישת הסיוע</w:t>
      </w:r>
      <w:r>
        <w:rPr>
          <w:rtl w:val="true"/>
        </w:rPr>
        <w:t xml:space="preserve">, </w:t>
      </w:r>
      <w:r>
        <w:rPr>
          <w:rtl w:val="true"/>
        </w:rPr>
        <w:t>נטען כי בצדק נקבע שמצבה הנפשי של המתלוננת לאחר האירוע</w:t>
      </w:r>
      <w:r>
        <w:rPr>
          <w:rtl w:val="true"/>
        </w:rPr>
        <w:t xml:space="preserve">, </w:t>
      </w:r>
      <w:r>
        <w:rPr>
          <w:rtl w:val="true"/>
        </w:rPr>
        <w:t>לצד מיידיות התלונה מקימים דרישה זו</w:t>
      </w:r>
      <w:r>
        <w:rPr>
          <w:rtl w:val="true"/>
        </w:rPr>
        <w:t xml:space="preserve">. </w:t>
      </w:r>
      <w:r>
        <w:rPr>
          <w:rtl w:val="true"/>
        </w:rPr>
        <w:t>בכל הקשור לראיית ה</w:t>
      </w:r>
      <w:r>
        <w:rPr>
          <w:rtl w:val="true"/>
        </w:rPr>
        <w:t>-</w:t>
      </w:r>
      <w:r>
        <w:rPr>
          <w:rFonts w:cs="Century" w:ascii="Century" w:hAnsi="Century"/>
          <w:sz w:val="22"/>
        </w:rPr>
        <w:t>DNA</w:t>
      </w:r>
      <w:r>
        <w:rPr>
          <w:rtl w:val="true"/>
        </w:rPr>
        <w:t xml:space="preserve">, </w:t>
      </w:r>
      <w:r>
        <w:rPr>
          <w:rtl w:val="true"/>
        </w:rPr>
        <w:t>מפנה המשיבה לקביעתו של בית המשפט שלפיה אמנם לא ניתן לשלול שתאים מגופו של המערער מצאו את דרכם לתחתוני המתלוננת על ידי העברה משנית</w:t>
      </w:r>
      <w:r>
        <w:rPr>
          <w:rtl w:val="true"/>
        </w:rPr>
        <w:t xml:space="preserve">, </w:t>
      </w:r>
      <w:r>
        <w:rPr>
          <w:rtl w:val="true"/>
        </w:rPr>
        <w:t>שאינה קשורה לעבירה נושא 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אך מדובר עדיין </w:t>
      </w:r>
      <w:r>
        <w:rPr>
          <w:rtl w:val="true"/>
        </w:rPr>
        <w:t>בראיה</w:t>
      </w:r>
      <w:r>
        <w:rPr>
          <w:rtl w:val="true"/>
        </w:rPr>
        <w:t xml:space="preserve"> המתיישבת היטב עם גרסת המתלוננת</w:t>
      </w:r>
      <w:r>
        <w:rPr>
          <w:rtl w:val="true"/>
        </w:rPr>
        <w:t xml:space="preserve">. </w:t>
      </w:r>
      <w:r>
        <w:rPr>
          <w:rtl w:val="true"/>
        </w:rPr>
        <w:t xml:space="preserve">אשר לטענה בדבר הרשעת המערער </w:t>
      </w:r>
      <w:hyperlink r:id="rId35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המשיבה מדגישה כי לאחר שהסעיף תוקן</w:t>
      </w:r>
      <w:r>
        <w:rPr>
          <w:rtl w:val="true"/>
        </w:rPr>
        <w:t xml:space="preserve">, </w:t>
      </w:r>
      <w:r>
        <w:rPr>
          <w:rtl w:val="true"/>
        </w:rPr>
        <w:t xml:space="preserve">אין עוד צורך להוכיח </w:t>
      </w:r>
      <w:r>
        <w:rPr>
          <w:rtl w:val="true"/>
        </w:rPr>
        <w:t>"</w:t>
      </w:r>
      <w:r>
        <w:rPr>
          <w:rtl w:val="true"/>
        </w:rPr>
        <w:t>שימוש בכוח</w:t>
      </w:r>
      <w:r>
        <w:rPr>
          <w:rtl w:val="true"/>
        </w:rPr>
        <w:t xml:space="preserve">", </w:t>
      </w:r>
      <w:r>
        <w:rPr>
          <w:rtl w:val="true"/>
        </w:rPr>
        <w:t xml:space="preserve">כדי לשכלל את העבירה </w:t>
      </w:r>
      <w:r>
        <w:rPr>
          <w:rtl w:val="true"/>
        </w:rPr>
        <w:t>(</w:t>
      </w:r>
      <w:r>
        <w:rPr>
          <w:rtl w:val="true"/>
        </w:rPr>
        <w:t>שיסודותיה התקיימו בנסיבות דנן</w:t>
      </w:r>
      <w:r>
        <w:rPr>
          <w:rtl w:val="true"/>
        </w:rPr>
        <w:t xml:space="preserve">).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טוענת המשיבה כי העונש שהושת על המערער אינו סוטה ממדיניות הענישה הראויה ומשקף את הפגיעה המינית הקשה בילדה בגיל צעיר</w:t>
      </w:r>
      <w:r>
        <w:rPr>
          <w:rtl w:val="true"/>
        </w:rPr>
        <w:t xml:space="preserve">, </w:t>
      </w:r>
      <w:r>
        <w:rPr>
          <w:rtl w:val="true"/>
        </w:rPr>
        <w:t>תוך הפרת האמון שניתן במערער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tl w:val="true"/>
        </w:rPr>
        <w:t>אקדים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בנימוקי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ובעיקרי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שהאזנתי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לטיעוני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tl w:val="true"/>
        </w:rPr>
        <w:t xml:space="preserve">, </w:t>
      </w:r>
      <w:r>
        <w:rPr>
          <w:rtl w:val="true"/>
        </w:rPr>
        <w:t>באתי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לחברותיי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שנעשה</w:t>
      </w:r>
      <w:r>
        <w:rPr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כפי שפורט 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לערעור בדבר הכרעת הדין שלושה ראשים עיקריים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ראשית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סבור המערער כי לא התקיימה בעניינו דרישת הסיוע הדרושה לעדות המתלוננת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טוען המערער כי לא היה מקום ליתן משקל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כלשהו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לראיית ה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DNA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שלישית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משיג המערער על הרשעתו בעבירה לפי </w:t>
      </w:r>
      <w:hyperlink r:id="rId3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348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3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מאחר שלטענתו לצורך התקיימות הסעיף יש להוכיח יסוד של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שימוש בכוח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ולחלופין נטען כי הסעיף כלל לא חל על מעשה מגונה בקטינה מתחת לגיל </w:t>
      </w: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לאחר הדיון בנדבכים אלה אדון בערעורו של המערער על חומרת העונש שהושת עליו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 xml:space="preserve">נפנה לבחון את טענות המערער בדבר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הסיוע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הראייתי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מצבה הנפשי של המתלוננת לאחר האירוע לא היה </w:t>
      </w:r>
      <w:r>
        <w:rPr>
          <w:rtl w:val="true"/>
        </w:rPr>
        <w:t>"</w:t>
      </w:r>
      <w:r>
        <w:rPr>
          <w:rtl w:val="true"/>
        </w:rPr>
        <w:t>ניכר וגלוי לעין</w:t>
      </w:r>
      <w:r>
        <w:rPr>
          <w:rtl w:val="true"/>
        </w:rPr>
        <w:t xml:space="preserve">" </w:t>
      </w:r>
      <w:r>
        <w:rPr>
          <w:rtl w:val="true"/>
        </w:rPr>
        <w:t>ועל כן לא יכול למלא אחר דרישת הסיוע</w:t>
      </w:r>
      <w:r>
        <w:rPr>
          <w:rtl w:val="true"/>
        </w:rPr>
        <w:t xml:space="preserve">. </w:t>
      </w:r>
      <w:r>
        <w:rPr>
          <w:rtl w:val="true"/>
        </w:rPr>
        <w:t>בהקשר זה נטען</w:t>
      </w:r>
      <w:r>
        <w:rPr>
          <w:rtl w:val="true"/>
        </w:rPr>
        <w:t xml:space="preserve">, </w:t>
      </w:r>
      <w:r>
        <w:rPr>
          <w:rtl w:val="true"/>
        </w:rPr>
        <w:t xml:space="preserve">כי התנהגות המתלוננת בתקופה שלאחר האירוע עשויה להיות מוסברת בכך שהוריה וחוקרת הילדים גרמו לה להרגיש </w:t>
      </w:r>
      <w:r>
        <w:rPr>
          <w:rtl w:val="true"/>
        </w:rPr>
        <w:t>"</w:t>
      </w:r>
      <w:r>
        <w:rPr>
          <w:rtl w:val="true"/>
        </w:rPr>
        <w:t>תחושת קורבנות</w:t>
      </w:r>
      <w:r>
        <w:rPr>
          <w:rtl w:val="true"/>
        </w:rPr>
        <w:t xml:space="preserve">". </w:t>
      </w:r>
      <w:r>
        <w:rPr>
          <w:rtl w:val="true"/>
        </w:rPr>
        <w:t xml:space="preserve">בהכרעת הדין נקבע כי מצבה הנפשי של המתלוננת </w:t>
      </w:r>
      <w:r>
        <w:rPr>
          <w:rtl w:val="true"/>
        </w:rPr>
        <w:t>–</w:t>
      </w:r>
      <w:r>
        <w:rPr>
          <w:rtl w:val="true"/>
        </w:rPr>
        <w:t xml:space="preserve"> שבא לידי ביטוי הן באופן שבו סיפרה לאמה על האירוע</w:t>
      </w:r>
      <w:r>
        <w:rPr>
          <w:rtl w:val="true"/>
        </w:rPr>
        <w:t xml:space="preserve">, </w:t>
      </w:r>
      <w:r>
        <w:rPr>
          <w:rtl w:val="true"/>
        </w:rPr>
        <w:t>הן בתגובותיה לחקירתה הראשונה</w:t>
      </w:r>
      <w:r>
        <w:rPr>
          <w:rtl w:val="true"/>
        </w:rPr>
        <w:t xml:space="preserve">, </w:t>
      </w:r>
      <w:r>
        <w:rPr>
          <w:rtl w:val="true"/>
        </w:rPr>
        <w:t xml:space="preserve">הן בהתנהגותה בימים ובשבועות שלאחריו </w:t>
      </w:r>
      <w:r>
        <w:rPr>
          <w:rtl w:val="true"/>
        </w:rPr>
        <w:t>–</w:t>
      </w:r>
      <w:r>
        <w:rPr>
          <w:rtl w:val="true"/>
        </w:rPr>
        <w:t xml:space="preserve"> הוא משום מצב נפשי חריג שיש לראות בו ראיה עצמאית המספקת בנסיבות המקרה את דרישת הסיוע</w:t>
      </w:r>
      <w:r>
        <w:rPr>
          <w:rtl w:val="true"/>
        </w:rPr>
        <w:t xml:space="preserve">. </w:t>
      </w:r>
      <w:r>
        <w:rPr>
          <w:rtl w:val="true"/>
        </w:rPr>
        <w:t>בית המשפט מצא כי דברי האם בעדותה באשר לאופן שבו סיפרה לה המתלוננת על האירוע מהימנים</w:t>
      </w:r>
      <w:r>
        <w:rPr>
          <w:rtl w:val="true"/>
        </w:rPr>
        <w:t xml:space="preserve">; </w:t>
      </w:r>
      <w:r>
        <w:rPr>
          <w:rtl w:val="true"/>
        </w:rPr>
        <w:t>כי בהתנהגותה של המתלוננת בפרק הזמן מרגע שהעירה את אמה ועד ליציאתה לחקירת הילדים חלו שינויים בולטים</w:t>
      </w:r>
      <w:r>
        <w:rPr>
          <w:rtl w:val="true"/>
        </w:rPr>
        <w:t xml:space="preserve">, </w:t>
      </w:r>
      <w:r>
        <w:rPr>
          <w:rtl w:val="true"/>
        </w:rPr>
        <w:t>וזו הייתה מתוחה</w:t>
      </w:r>
      <w:r>
        <w:rPr>
          <w:rtl w:val="true"/>
        </w:rPr>
        <w:t xml:space="preserve">, </w:t>
      </w:r>
      <w:r>
        <w:rPr>
          <w:rtl w:val="true"/>
        </w:rPr>
        <w:t>בכתה ורעדה</w:t>
      </w:r>
      <w:r>
        <w:rPr>
          <w:rtl w:val="true"/>
        </w:rPr>
        <w:t xml:space="preserve">; </w:t>
      </w:r>
      <w:r>
        <w:rPr>
          <w:rtl w:val="true"/>
        </w:rPr>
        <w:t xml:space="preserve">וכי תלונתה </w:t>
      </w:r>
      <w:r>
        <w:rPr>
          <w:rtl w:val="true"/>
        </w:rPr>
        <w:t>המיידית</w:t>
      </w:r>
      <w:r>
        <w:rPr>
          <w:rtl w:val="true"/>
        </w:rPr>
        <w:t xml:space="preserve"> של המתלוננת לאמה על האירוע רגעים ספורים לאחריו</w:t>
      </w:r>
      <w:r>
        <w:rPr>
          <w:rtl w:val="true"/>
        </w:rPr>
        <w:t xml:space="preserve">, </w:t>
      </w:r>
      <w:r>
        <w:rPr>
          <w:rtl w:val="true"/>
        </w:rPr>
        <w:t>בעלת משקל מיוחד</w:t>
      </w:r>
      <w:r>
        <w:rPr>
          <w:rtl w:val="true"/>
        </w:rPr>
        <w:t xml:space="preserve">. </w:t>
      </w:r>
      <w:r>
        <w:rPr>
          <w:rtl w:val="true"/>
        </w:rPr>
        <w:t>לצד קביעות אלו</w:t>
      </w:r>
      <w:r>
        <w:rPr>
          <w:rtl w:val="true"/>
        </w:rPr>
        <w:t xml:space="preserve">, </w:t>
      </w:r>
      <w:r>
        <w:rPr>
          <w:rtl w:val="true"/>
        </w:rPr>
        <w:t>עמד בית המשפט גם על כך שצפייה בתיעוד חקירתה הראשונה של המתלוננת מלמדת על השינוי בהתנהגותה כאשר נשאלה על האירוע</w:t>
      </w:r>
      <w:r>
        <w:rPr>
          <w:rtl w:val="true"/>
        </w:rPr>
        <w:t xml:space="preserve">, </w:t>
      </w:r>
      <w:r>
        <w:rPr>
          <w:rtl w:val="true"/>
        </w:rPr>
        <w:t>עת סירבה סירוב מוחלט לשתף פעולה עם חוקרת הילדים בשלב זה</w:t>
      </w:r>
      <w:r>
        <w:rPr>
          <w:rtl w:val="true"/>
        </w:rPr>
        <w:t xml:space="preserve">. </w:t>
      </w:r>
      <w:r>
        <w:rPr>
          <w:rtl w:val="true"/>
        </w:rPr>
        <w:t>לכך הוספו השינויים בהתנהגות המתלוננת בתקופה שלאחר האירוע</w:t>
      </w:r>
      <w:r>
        <w:rPr>
          <w:rtl w:val="true"/>
        </w:rPr>
        <w:t xml:space="preserve">, </w:t>
      </w:r>
      <w:r>
        <w:rPr>
          <w:rtl w:val="true"/>
        </w:rPr>
        <w:t>כפי שעלו בעדויות הוריה</w:t>
      </w:r>
      <w:r>
        <w:rPr>
          <w:rtl w:val="true"/>
        </w:rPr>
        <w:t xml:space="preserve">, </w:t>
      </w:r>
      <w:r>
        <w:rPr>
          <w:rtl w:val="true"/>
        </w:rPr>
        <w:t>כמפורט מעלה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איני סבור כי המערער הניח עילה להתערב בממצאים האמורים</w:t>
      </w:r>
      <w:r>
        <w:rPr>
          <w:rtl w:val="true"/>
        </w:rPr>
        <w:t xml:space="preserve">, </w:t>
      </w:r>
      <w:r>
        <w:rPr>
          <w:rtl w:val="true"/>
        </w:rPr>
        <w:t xml:space="preserve">המבוססים על התרשמותו של בית המשפט מעדויותיהם של הורי המתלוננת </w:t>
      </w:r>
      <w:r>
        <w:rPr>
          <w:rtl w:val="true"/>
        </w:rPr>
        <w:t>ומתיעוד</w:t>
      </w:r>
      <w:r>
        <w:rPr>
          <w:rtl w:val="true"/>
        </w:rPr>
        <w:t xml:space="preserve"> </w:t>
      </w:r>
      <w:r>
        <w:rPr>
          <w:rtl w:val="true"/>
        </w:rPr>
        <w:t>חקירתה</w:t>
      </w:r>
      <w:r>
        <w:rPr>
          <w:rtl w:val="true"/>
        </w:rPr>
        <w:t xml:space="preserve">. </w:t>
      </w:r>
      <w:r>
        <w:rPr>
          <w:rtl w:val="true"/>
        </w:rPr>
        <w:t>בית המשפט עמד על</w:t>
      </w:r>
      <w:r>
        <w:rPr>
          <w:rtl w:val="true"/>
        </w:rPr>
        <w:t xml:space="preserve"> </w:t>
      </w:r>
      <w:r>
        <w:rPr>
          <w:rtl w:val="true"/>
        </w:rPr>
        <w:t>השינויים</w:t>
      </w:r>
      <w:r>
        <w:rPr>
          <w:rtl w:val="true"/>
        </w:rPr>
        <w:t xml:space="preserve"> </w:t>
      </w:r>
      <w:r>
        <w:rPr>
          <w:rtl w:val="true"/>
        </w:rPr>
        <w:t>בהתנהגות</w:t>
      </w:r>
      <w:r>
        <w:rPr>
          <w:rtl w:val="true"/>
        </w:rPr>
        <w:t xml:space="preserve"> המתלוננת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ביחס</w:t>
      </w:r>
      <w:r>
        <w:rPr>
          <w:rtl w:val="true"/>
        </w:rPr>
        <w:t xml:space="preserve"> </w:t>
      </w:r>
      <w:r>
        <w:rPr>
          <w:rtl w:val="true"/>
        </w:rPr>
        <w:t>לגילה</w:t>
      </w:r>
      <w:r>
        <w:rPr>
          <w:rtl w:val="true"/>
        </w:rPr>
        <w:t>)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כמו גם על סמיכות הזמנים בין קרות האירוע לבין הדיווח עליו מצד המתלוננת</w:t>
      </w:r>
      <w:r>
        <w:rPr>
          <w:rtl w:val="true"/>
        </w:rPr>
        <w:t xml:space="preserve">. </w:t>
      </w:r>
      <w:r>
        <w:rPr>
          <w:rtl w:val="true"/>
        </w:rPr>
        <w:t>בהסתמך על דברים אלה הגיע בית המשפט למסקנה כי השינוי במצב הנפשי של המתלוננת היה ניכר וגלוי לעין לצורך הסיוע הראייתי הנדרש</w:t>
      </w:r>
      <w:r>
        <w:rPr>
          <w:rtl w:val="true"/>
        </w:rPr>
        <w:t xml:space="preserve">. </w:t>
      </w:r>
      <w:r>
        <w:rPr>
          <w:rtl w:val="true"/>
        </w:rPr>
        <w:t>בממצאים מעין אלה לא נוהגת ערכאת הערעור להתערב</w:t>
      </w:r>
      <w:r>
        <w:rPr>
          <w:rtl w:val="true"/>
        </w:rPr>
        <w:t xml:space="preserve">, </w:t>
      </w:r>
      <w:r>
        <w:rPr>
          <w:rtl w:val="true"/>
        </w:rPr>
        <w:t>בשל יתרונה המובנה של הערכאה הדיונית באיתור אותות האמת</w:t>
      </w:r>
      <w:r>
        <w:rPr>
          <w:rtl w:val="true"/>
        </w:rPr>
        <w:t xml:space="preserve">, </w:t>
      </w:r>
      <w:r>
        <w:rPr>
          <w:rtl w:val="true"/>
        </w:rPr>
        <w:t xml:space="preserve">נוכח התרשמותה הבלתי אמצעית מהראיות ומהעדויות </w:t>
      </w:r>
      <w:r>
        <w:rPr>
          <w:rtl w:val="true"/>
        </w:rPr>
        <w:t>(</w:t>
      </w:r>
      <w:r>
        <w:rPr>
          <w:rtl w:val="true"/>
        </w:rPr>
        <w:t xml:space="preserve">ראו למשל </w:t>
      </w:r>
      <w:hyperlink r:id="rId39">
        <w:bookmarkStart w:id="15" w:name="Text1"/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4623/07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‏ ‏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אזרי</w:t>
      </w:r>
      <w:bookmarkEnd w:id="15"/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פסקה </w:t>
      </w:r>
      <w:r>
        <w:rPr>
          <w:rFonts w:cs="FrankRuehl" w:ascii="FrankRuehl" w:hAnsi="FrankRuehl"/>
          <w:color w:val="000000"/>
          <w:sz w:val="28"/>
        </w:rPr>
        <w:t>8</w:t>
      </w:r>
      <w:r>
        <w:rPr>
          <w:rFonts w:cs="FrankRuehl" w:ascii="FrankRuehl" w:hAnsi="FrankRuehl"/>
          <w:color w:val="000000"/>
          <w:sz w:val="28"/>
          <w:rtl w:val="true"/>
        </w:rPr>
        <w:t xml:space="preserve"> (</w:t>
      </w:r>
      <w:r>
        <w:rPr>
          <w:rFonts w:cs="FrankRuehl" w:ascii="FrankRuehl" w:hAnsi="FrankRuehl"/>
          <w:color w:val="000000"/>
          <w:sz w:val="28"/>
        </w:rPr>
        <w:t>30.10.2007</w:t>
      </w:r>
      <w:r>
        <w:rPr>
          <w:rFonts w:cs="FrankRuehl" w:ascii="FrankRuehl" w:hAnsi="FrankRuehl"/>
          <w:color w:val="000000"/>
          <w:sz w:val="28"/>
          <w:rtl w:val="true"/>
        </w:rPr>
        <w:t xml:space="preserve">); 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8146/09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אבשלום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/>
          <w:b/>
          <w:spacing w:val="0"/>
          <w:sz w:val="22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18</w:t>
      </w:r>
      <w:r>
        <w:rPr>
          <w:rtl w:val="true"/>
        </w:rPr>
        <w:t xml:space="preserve"> (</w:t>
      </w:r>
      <w:r>
        <w:rPr/>
        <w:t>8.9.2011</w:t>
      </w:r>
      <w:r>
        <w:rPr>
          <w:rtl w:val="true"/>
        </w:rPr>
        <w:t xml:space="preserve">)). </w:t>
      </w:r>
      <w:r>
        <w:rPr>
          <w:rtl w:val="true"/>
        </w:rPr>
        <w:t>לכך יש להוסיף כי פסיקתנו קבעה לא אחת כי שינוי ניכר במצבה הנפשי של מתלוננת יכול לעלות כדי סיוע לעדותה</w:t>
      </w:r>
      <w:r>
        <w:rPr>
          <w:rtl w:val="true"/>
        </w:rPr>
        <w:t xml:space="preserve">, </w:t>
      </w:r>
      <w:r>
        <w:rPr>
          <w:rtl w:val="true"/>
        </w:rPr>
        <w:t xml:space="preserve">שכן מצבו הנפשי של אדם אינו נתון לשליטתו ונתפס כמקור עצמאי וחיצוני לעדותו </w:t>
      </w:r>
      <w:r>
        <w:rPr>
          <w:rtl w:val="true"/>
        </w:rPr>
        <w:t>(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3619/14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/>
          <w:b/>
          <w:spacing w:val="0"/>
          <w:sz w:val="22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19</w:t>
      </w:r>
      <w:r>
        <w:rPr>
          <w:rtl w:val="true"/>
        </w:rPr>
        <w:t xml:space="preserve"> (</w:t>
      </w:r>
      <w:r>
        <w:rPr/>
        <w:t>3.9.2015</w:t>
      </w:r>
      <w:r>
        <w:rPr>
          <w:rtl w:val="true"/>
        </w:rPr>
        <w:t xml:space="preserve">)). </w:t>
      </w:r>
      <w:r>
        <w:rPr>
          <w:rtl w:val="true"/>
        </w:rPr>
        <w:t xml:space="preserve">כן נקבע כי תלונה </w:t>
      </w:r>
      <w:r>
        <w:rPr>
          <w:rtl w:val="true"/>
        </w:rPr>
        <w:t>מי</w:t>
      </w:r>
      <w:r>
        <w:rPr>
          <w:rtl w:val="true"/>
        </w:rPr>
        <w:t>י</w:t>
      </w:r>
      <w:r>
        <w:rPr>
          <w:rtl w:val="true"/>
        </w:rPr>
        <w:t>דית</w:t>
      </w:r>
      <w:r>
        <w:rPr>
          <w:rtl w:val="true"/>
        </w:rPr>
        <w:t xml:space="preserve"> לאחר האירוע עשויה לעלות כדי ראיית סיוע כשלעצמה</w:t>
      </w:r>
      <w:r>
        <w:rPr>
          <w:rtl w:val="true"/>
        </w:rPr>
        <w:t xml:space="preserve">, </w:t>
      </w:r>
      <w:r>
        <w:rPr>
          <w:rtl w:val="true"/>
        </w:rPr>
        <w:t xml:space="preserve">אולם על פי רוב יש בה להוסיף משקל לראיית הסיוע המבוססת על שינוי במצב הנפשי </w:t>
      </w:r>
      <w:r>
        <w:rPr>
          <w:rtl w:val="true"/>
        </w:rPr>
        <w:t>(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5348/15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/>
          <w:b/>
          <w:spacing w:val="0"/>
          <w:sz w:val="22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28</w:t>
      </w:r>
      <w:r>
        <w:rPr>
          <w:rtl w:val="true"/>
        </w:rPr>
        <w:t xml:space="preserve"> (</w:t>
      </w:r>
      <w:r>
        <w:rPr/>
        <w:t>3.4.2016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); 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6730/05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7</w:t>
      </w:r>
      <w:r>
        <w:rPr>
          <w:rtl w:val="true"/>
        </w:rPr>
        <w:t xml:space="preserve"> (</w:t>
      </w:r>
      <w:r>
        <w:rPr/>
        <w:t>9.2.2006</w:t>
      </w:r>
      <w:r>
        <w:rPr>
          <w:rtl w:val="true"/>
        </w:rPr>
        <w:t xml:space="preserve">); 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993/00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נור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נו</w:t>
        </w:r>
      </w:hyperlink>
      <w:r>
        <w:rPr>
          <w:rtl w:val="true"/>
        </w:rPr>
        <w:t>(</w:t>
      </w:r>
      <w:r>
        <w:rPr/>
        <w:t>6</w:t>
      </w:r>
      <w:r>
        <w:rPr>
          <w:rtl w:val="true"/>
        </w:rPr>
        <w:t xml:space="preserve">) </w:t>
      </w:r>
      <w:r>
        <w:rPr/>
        <w:t>205</w:t>
      </w:r>
      <w:r>
        <w:rPr>
          <w:rtl w:val="true"/>
        </w:rPr>
        <w:t xml:space="preserve">, </w:t>
      </w:r>
      <w:r>
        <w:rPr/>
        <w:t>234</w:t>
      </w:r>
      <w:r>
        <w:rPr>
          <w:rtl w:val="true"/>
        </w:rPr>
        <w:t xml:space="preserve"> (</w:t>
      </w:r>
      <w:r>
        <w:rPr/>
        <w:t>2002</w:t>
      </w:r>
      <w:r>
        <w:rPr>
          <w:rtl w:val="true"/>
        </w:rPr>
        <w:t xml:space="preserve">)). </w:t>
      </w:r>
      <w:r>
        <w:rPr>
          <w:rtl w:val="true"/>
        </w:rPr>
        <w:t>איני סבור כי נפלה טעות באופן שבו יישם בית המשפט המחוזי הלכות אלו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אין בידי לקבל את טענת המערער שלפיה לא היה מקום להתבסס</w:t>
      </w:r>
      <w:r>
        <w:rPr>
          <w:rtl w:val="true"/>
        </w:rPr>
        <w:t xml:space="preserve">, </w:t>
      </w:r>
      <w:r>
        <w:rPr>
          <w:rtl w:val="true"/>
        </w:rPr>
        <w:t>לעניין דרישת הסיוע</w:t>
      </w:r>
      <w:r>
        <w:rPr>
          <w:rtl w:val="true"/>
        </w:rPr>
        <w:t xml:space="preserve">, </w:t>
      </w:r>
      <w:r>
        <w:rPr>
          <w:rtl w:val="true"/>
        </w:rPr>
        <w:t>על התנהגותה של המתלוננת בימים ובשבועות שלאחר האירוע</w:t>
      </w:r>
      <w:r>
        <w:rPr>
          <w:rtl w:val="true"/>
        </w:rPr>
        <w:t xml:space="preserve">, </w:t>
      </w:r>
      <w:r>
        <w:rPr>
          <w:rtl w:val="true"/>
        </w:rPr>
        <w:t>משום שזו עשויה הייתה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להיות מושפעת מתגובות הוריה וחוקרת הילדים</w:t>
      </w:r>
      <w:r>
        <w:rPr>
          <w:rtl w:val="true"/>
        </w:rPr>
        <w:t xml:space="preserve">. </w:t>
      </w:r>
      <w:r>
        <w:rPr>
          <w:rtl w:val="true"/>
        </w:rPr>
        <w:t>בית המשפט המחוזי נדרש לטענה זו</w:t>
      </w:r>
      <w:r>
        <w:rPr>
          <w:rtl w:val="true"/>
        </w:rPr>
        <w:t xml:space="preserve">, </w:t>
      </w:r>
      <w:r>
        <w:rPr>
          <w:rtl w:val="true"/>
        </w:rPr>
        <w:t>וקבע כי אמנם לא ניתן לשלול אותה לגמרי</w:t>
      </w:r>
      <w:r>
        <w:rPr>
          <w:rtl w:val="true"/>
        </w:rPr>
        <w:t xml:space="preserve">, </w:t>
      </w:r>
      <w:r>
        <w:rPr>
          <w:rtl w:val="true"/>
        </w:rPr>
        <w:t>אולם אין בה הסבר מספק למצב הנפשי החריג של המתלוננת כפי שתואר</w:t>
      </w:r>
      <w:r>
        <w:rPr>
          <w:rtl w:val="true"/>
        </w:rPr>
        <w:t xml:space="preserve">. </w:t>
      </w:r>
      <w:r>
        <w:rPr>
          <w:rtl w:val="true"/>
        </w:rPr>
        <w:t>מסקנה זו מקובלת גם עליי</w:t>
      </w:r>
      <w:r>
        <w:rPr>
          <w:rtl w:val="true"/>
        </w:rPr>
        <w:t xml:space="preserve">. </w:t>
      </w:r>
      <w:r>
        <w:rPr>
          <w:rtl w:val="true"/>
        </w:rPr>
        <w:t>ב</w:t>
      </w:r>
      <w:hyperlink r:id="rId4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3204/17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31</w:t>
      </w:r>
      <w:r>
        <w:rPr>
          <w:rtl w:val="true"/>
        </w:rPr>
        <w:t xml:space="preserve"> (</w:t>
      </w:r>
      <w:r>
        <w:rPr/>
        <w:t>24.1.2018</w:t>
      </w:r>
      <w:r>
        <w:rPr>
          <w:rtl w:val="true"/>
        </w:rPr>
        <w:t xml:space="preserve">) </w:t>
      </w:r>
      <w:r>
        <w:rPr>
          <w:rtl w:val="true"/>
        </w:rPr>
        <w:t>דחה בית משפט זה טענה דומה</w:t>
      </w:r>
      <w:r>
        <w:rPr>
          <w:rtl w:val="true"/>
        </w:rPr>
        <w:t xml:space="preserve">, </w:t>
      </w:r>
      <w:r>
        <w:rPr>
          <w:rtl w:val="true"/>
        </w:rPr>
        <w:t xml:space="preserve">משנמצא כי המתלונן באותו המקרה הביע את תחושותיו השליליות מהאירוע טרם המועד הנטען ליצירת </w:t>
      </w:r>
      <w:r>
        <w:rPr>
          <w:rtl w:val="true"/>
        </w:rPr>
        <w:t>"</w:t>
      </w:r>
      <w:r>
        <w:rPr>
          <w:rtl w:val="true"/>
        </w:rPr>
        <w:t>תחושת הקורבנות</w:t>
      </w:r>
      <w:r>
        <w:rPr>
          <w:rtl w:val="true"/>
        </w:rPr>
        <w:t xml:space="preserve">".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כפי שקבע בית המשפט המחוזי</w:t>
      </w:r>
      <w:r>
        <w:rPr>
          <w:rtl w:val="true"/>
        </w:rPr>
        <w:t xml:space="preserve">, </w:t>
      </w:r>
      <w:r>
        <w:rPr>
          <w:rtl w:val="true"/>
        </w:rPr>
        <w:t>התלונה המיידית של המתלוננת</w:t>
      </w:r>
      <w:r>
        <w:rPr>
          <w:rtl w:val="true"/>
        </w:rPr>
        <w:t xml:space="preserve">; </w:t>
      </w:r>
      <w:r>
        <w:rPr>
          <w:rtl w:val="true"/>
        </w:rPr>
        <w:t xml:space="preserve">האופן שבו התבטאה האחרונה בחקירתה כשתיארה את האירוע לחוקרת הילדים תוך שאמרה שהאירוע </w:t>
      </w:r>
      <w:r>
        <w:rPr>
          <w:rtl w:val="true"/>
        </w:rPr>
        <w:t>"</w:t>
      </w:r>
      <w:r>
        <w:rPr>
          <w:rtl w:val="true"/>
        </w:rPr>
        <w:t>לא היה לי נעים</w:t>
      </w:r>
      <w:r>
        <w:rPr>
          <w:rtl w:val="true"/>
        </w:rPr>
        <w:t xml:space="preserve">"; </w:t>
      </w:r>
      <w:r>
        <w:rPr>
          <w:rtl w:val="true"/>
        </w:rPr>
        <w:t>סירובה המוחלט לספר על האירוע לחוקרת הילדים בחקירה הראשונה</w:t>
      </w:r>
      <w:r>
        <w:rPr>
          <w:rtl w:val="true"/>
        </w:rPr>
        <w:t xml:space="preserve">; </w:t>
      </w:r>
      <w:r>
        <w:rPr>
          <w:rtl w:val="true"/>
        </w:rPr>
        <w:t>ועוצמת השינוי שחל בהתנהגותה בתקופה שלאחר האירוע</w:t>
      </w:r>
      <w:r>
        <w:rPr>
          <w:rtl w:val="true"/>
        </w:rPr>
        <w:t xml:space="preserve">, </w:t>
      </w:r>
      <w:r>
        <w:rPr>
          <w:rtl w:val="true"/>
        </w:rPr>
        <w:t xml:space="preserve">לרבות הרטבה בלילה לאחר זמן ממושך של גמילה </w:t>
      </w:r>
      <w:r>
        <w:rPr>
          <w:rtl w:val="true"/>
        </w:rPr>
        <w:t>–</w:t>
      </w:r>
      <w:r>
        <w:rPr>
          <w:rtl w:val="true"/>
        </w:rPr>
        <w:t xml:space="preserve"> בכולם יש ביטויים מוחשיים ואותנטיים לשינוי ניכר במצבה הנפשי</w:t>
      </w:r>
      <w:r>
        <w:rPr>
          <w:rtl w:val="true"/>
        </w:rPr>
        <w:t xml:space="preserve">, </w:t>
      </w:r>
      <w:r>
        <w:rPr>
          <w:rtl w:val="true"/>
        </w:rPr>
        <w:t xml:space="preserve">המתיישב עם גילה הצעיר </w:t>
      </w:r>
      <w:r>
        <w:rPr>
          <w:rtl w:val="true"/>
        </w:rPr>
        <w:t>(</w:t>
      </w:r>
      <w:r>
        <w:rPr>
          <w:rtl w:val="true"/>
        </w:rPr>
        <w:t xml:space="preserve">ראו 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29</w:t>
      </w:r>
      <w:r>
        <w:rPr>
          <w:rtl w:val="true"/>
        </w:rPr>
        <w:t xml:space="preserve">). </w:t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 xml:space="preserve">אף לו הייתי מניח </w:t>
      </w:r>
      <w:r>
        <w:rPr>
          <w:rtl w:val="true"/>
        </w:rPr>
        <w:t>–</w:t>
      </w:r>
      <w:r>
        <w:rPr>
          <w:rtl w:val="true"/>
        </w:rPr>
        <w:t xml:space="preserve"> לטובת המערער ולצורך הדיון בלבד </w:t>
      </w:r>
      <w:r>
        <w:rPr>
          <w:rtl w:val="true"/>
        </w:rPr>
        <w:t>–</w:t>
      </w:r>
      <w:r>
        <w:rPr>
          <w:rtl w:val="true"/>
        </w:rPr>
        <w:t xml:space="preserve"> כי יש ליתן משקל נמוך למצבה הנפשי של 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מקובלת עליי עמדת המשיבה שלפיה משנקבע כי יש לתת משקל רב לעדותה לפני חוקרת הילדים </w:t>
      </w:r>
      <w:r>
        <w:rPr>
          <w:rtl w:val="true"/>
        </w:rPr>
        <w:t>–</w:t>
      </w:r>
      <w:r>
        <w:rPr>
          <w:rtl w:val="true"/>
        </w:rPr>
        <w:t xml:space="preserve"> ניתן להסתפק אף בראיית סיוע בעלת משקל מועט יותר </w:t>
      </w:r>
      <w:r>
        <w:rPr>
          <w:rtl w:val="true"/>
        </w:rPr>
        <w:t>(</w:t>
      </w:r>
      <w:r>
        <w:rPr>
          <w:rtl w:val="true"/>
        </w:rPr>
        <w:t xml:space="preserve">ראו למשל 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26</w:t>
      </w:r>
      <w:r>
        <w:rPr>
          <w:rFonts w:cs="Century" w:ascii="Century" w:hAnsi="Century"/>
          <w:sz w:val="22"/>
          <w:rtl w:val="true"/>
        </w:rPr>
        <w:t xml:space="preserve">; </w:t>
      </w:r>
      <w:hyperlink r:id="rId46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2470/15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46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25.10.2015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47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5676/10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38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23.8.2012</w:t>
      </w:r>
      <w:r>
        <w:rPr>
          <w:rFonts w:cs="Century" w:ascii="Century" w:hAnsi="Century"/>
          <w:sz w:val="22"/>
          <w:rtl w:val="true"/>
        </w:rPr>
        <w:t>)).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מכאן להשגות המערער בנוגע ל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ראיית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cs="Miriam" w:ascii="Century" w:hAnsi="Century"/>
          <w:b/>
          <w:spacing w:val="0"/>
          <w:sz w:val="22"/>
          <w:szCs w:val="24"/>
        </w:rPr>
        <w:t>DNA</w:t>
      </w:r>
      <w:r>
        <w:rPr>
          <w:rtl w:val="true"/>
        </w:rPr>
        <w:t xml:space="preserve">. </w:t>
      </w:r>
      <w:r>
        <w:rPr>
          <w:rtl w:val="true"/>
        </w:rPr>
        <w:t>בדיון שנערך לפני בית המשפט המחוזי</w:t>
      </w:r>
      <w:r>
        <w:rPr>
          <w:rtl w:val="true"/>
        </w:rPr>
        <w:t xml:space="preserve">, </w:t>
      </w:r>
      <w:r>
        <w:rPr>
          <w:rtl w:val="true"/>
        </w:rPr>
        <w:t>לא חלקו הצדדים על כך שמקור התאים שהופקו מהתחתונים</w:t>
      </w:r>
      <w:r>
        <w:rPr>
          <w:rtl w:val="true"/>
        </w:rPr>
        <w:t xml:space="preserve">, </w:t>
      </w:r>
      <w:r>
        <w:rPr>
          <w:rtl w:val="true"/>
        </w:rPr>
        <w:t>שאינם בהכרח תאי רוק</w:t>
      </w:r>
      <w:r>
        <w:rPr>
          <w:rtl w:val="true"/>
        </w:rPr>
        <w:t xml:space="preserve">, </w:t>
      </w:r>
      <w:r>
        <w:rPr>
          <w:rtl w:val="true"/>
        </w:rPr>
        <w:t>הוא המערער</w:t>
      </w:r>
      <w:r>
        <w:rPr>
          <w:rtl w:val="true"/>
        </w:rPr>
        <w:t xml:space="preserve">; </w:t>
      </w:r>
      <w:r>
        <w:rPr>
          <w:rtl w:val="true"/>
        </w:rPr>
        <w:t>ועל כך שלא ניתן לדעת אם התאים הגיע לתחתוני המתלוננת בדרך של מגע ישיר או בדרך עקיפה</w:t>
      </w:r>
      <w:r>
        <w:rPr>
          <w:rtl w:val="true"/>
        </w:rPr>
        <w:t xml:space="preserve">, </w:t>
      </w:r>
      <w:r>
        <w:rPr>
          <w:rtl w:val="true"/>
        </w:rPr>
        <w:t>כך שהתאים הועברו בלא משים ממקום כלשהו לתחתוני המתלוננת</w:t>
      </w:r>
      <w:r>
        <w:rPr>
          <w:rtl w:val="true"/>
        </w:rPr>
        <w:t xml:space="preserve">. </w:t>
      </w:r>
      <w:r>
        <w:rPr>
          <w:rtl w:val="true"/>
        </w:rPr>
        <w:t>בית המשפט קבע כי למערער הייתה גישה חופשית בבית וכי הוא שהה בו ביום האירוע שעות ארוכות</w:t>
      </w:r>
      <w:r>
        <w:rPr>
          <w:rtl w:val="true"/>
        </w:rPr>
        <w:t xml:space="preserve">, </w:t>
      </w:r>
      <w:r>
        <w:rPr>
          <w:rtl w:val="true"/>
        </w:rPr>
        <w:t>כך שייתכן שתאים מגופו נמצאו על חפצים בבית והועברו בדרך משנית לתחתוני המתלוננת</w:t>
      </w:r>
      <w:r>
        <w:rPr>
          <w:rtl w:val="true"/>
        </w:rPr>
        <w:t xml:space="preserve">, </w:t>
      </w:r>
      <w:r>
        <w:rPr>
          <w:rtl w:val="true"/>
        </w:rPr>
        <w:t>באופן שהמתלוננת או אדם אחר נגעו במקום שבו היו מצויים תאים מגופו של המערער ולאחר מכן הועברו התאים לתחתונים</w:t>
      </w:r>
      <w:r>
        <w:rPr>
          <w:rtl w:val="true"/>
        </w:rPr>
        <w:t xml:space="preserve">. </w:t>
      </w:r>
      <w:r>
        <w:rPr>
          <w:rtl w:val="true"/>
        </w:rPr>
        <w:t>עוד צוין</w:t>
      </w:r>
      <w:r>
        <w:rPr>
          <w:rtl w:val="true"/>
        </w:rPr>
        <w:t xml:space="preserve">, </w:t>
      </w:r>
      <w:r>
        <w:rPr>
          <w:rtl w:val="true"/>
        </w:rPr>
        <w:t>כי לא ניתן לשלול שהמערער ליטף את ראש המתלוננת</w:t>
      </w:r>
      <w:r>
        <w:rPr>
          <w:rtl w:val="true"/>
        </w:rPr>
        <w:t xml:space="preserve">, </w:t>
      </w:r>
      <w:r>
        <w:rPr>
          <w:rtl w:val="true"/>
        </w:rPr>
        <w:t>חיבק או נישק אותה ביום האירוע</w:t>
      </w:r>
      <w:r>
        <w:rPr>
          <w:rtl w:val="true"/>
        </w:rPr>
        <w:t xml:space="preserve">, </w:t>
      </w:r>
      <w:r>
        <w:rPr>
          <w:rtl w:val="true"/>
        </w:rPr>
        <w:t>כפי שנהג לעשות לילדי המשפחה</w:t>
      </w:r>
      <w:r>
        <w:rPr>
          <w:rtl w:val="true"/>
        </w:rPr>
        <w:t xml:space="preserve">; </w:t>
      </w:r>
      <w:r>
        <w:rPr>
          <w:rtl w:val="true"/>
        </w:rPr>
        <w:t xml:space="preserve">וכי אין מחלוקת שהמערער הרים את המתלוננת וקרב את פניו אל פניה </w:t>
      </w:r>
      <w:r>
        <w:rPr>
          <w:rtl w:val="true"/>
        </w:rPr>
        <w:t>–</w:t>
      </w:r>
      <w:r>
        <w:rPr>
          <w:rtl w:val="true"/>
        </w:rPr>
        <w:t xml:space="preserve"> אירועים שאף הם היו עשויים לאפשר העברה משנית של תאים מגופו של המערער לתחתוני המתלוננת</w:t>
      </w:r>
      <w:r>
        <w:rPr>
          <w:rtl w:val="true"/>
        </w:rPr>
        <w:t xml:space="preserve">. </w:t>
      </w:r>
      <w:r>
        <w:rPr>
          <w:rtl w:val="true"/>
        </w:rPr>
        <w:t xml:space="preserve">עוד צוין כי בדגימה שנלקחה מהתחתונים נמצא פרופיל </w:t>
      </w:r>
      <w:r>
        <w:rPr>
          <w:rFonts w:cs="Century" w:ascii="Century" w:hAnsi="Century"/>
          <w:sz w:val="22"/>
        </w:rPr>
        <w:t>DNA</w:t>
      </w:r>
      <w:r>
        <w:rPr>
          <w:rtl w:val="true"/>
        </w:rPr>
        <w:t xml:space="preserve"> </w:t>
      </w:r>
      <w:r>
        <w:rPr>
          <w:rtl w:val="true"/>
        </w:rPr>
        <w:t xml:space="preserve">של אנשים נוספים שאינם המתלוננת או המערער </w:t>
      </w:r>
      <w:r>
        <w:rPr>
          <w:rtl w:val="true"/>
        </w:rPr>
        <w:t>–</w:t>
      </w:r>
      <w:r>
        <w:rPr>
          <w:rtl w:val="true"/>
        </w:rPr>
        <w:t xml:space="preserve"> עובדה המלמדת על אפשרות להעביר תאים מאנשים שונים לתחתוני המתלוננת</w:t>
      </w:r>
      <w:r>
        <w:rPr>
          <w:rtl w:val="true"/>
        </w:rPr>
        <w:t xml:space="preserve">. </w:t>
      </w:r>
      <w:r>
        <w:rPr>
          <w:rtl w:val="true"/>
        </w:rPr>
        <w:t>נוכח האמור</w:t>
      </w:r>
      <w:r>
        <w:rPr>
          <w:rtl w:val="true"/>
        </w:rPr>
        <w:t xml:space="preserve">, </w:t>
      </w:r>
      <w:r>
        <w:rPr>
          <w:rtl w:val="true"/>
        </w:rPr>
        <w:t>קבע בית המשפט כי אין בראיית ה</w:t>
      </w:r>
      <w:r>
        <w:rPr>
          <w:rtl w:val="true"/>
        </w:rPr>
        <w:t>-</w:t>
      </w:r>
      <w:r>
        <w:rPr>
          <w:rFonts w:cs="Century" w:ascii="Century" w:hAnsi="Century"/>
          <w:sz w:val="22"/>
        </w:rPr>
        <w:t>DNA</w:t>
      </w:r>
      <w:r>
        <w:rPr>
          <w:rtl w:val="true"/>
        </w:rPr>
        <w:t xml:space="preserve"> </w:t>
      </w:r>
      <w:r>
        <w:rPr>
          <w:rtl w:val="true"/>
        </w:rPr>
        <w:t>כשלעצמה כדי למלא אחר דרישת הסיוע</w:t>
      </w:r>
      <w:r>
        <w:rPr>
          <w:rtl w:val="true"/>
        </w:rPr>
        <w:t xml:space="preserve">. </w:t>
      </w:r>
      <w:r>
        <w:rPr>
          <w:rtl w:val="true"/>
        </w:rPr>
        <w:t>בצד האמור</w:t>
      </w:r>
      <w:r>
        <w:rPr>
          <w:rtl w:val="true"/>
        </w:rPr>
        <w:t xml:space="preserve">, </w:t>
      </w:r>
      <w:r>
        <w:rPr>
          <w:rtl w:val="true"/>
        </w:rPr>
        <w:t>נקבע כי למרות מגבלותיה שפורטו</w:t>
      </w:r>
      <w:r>
        <w:rPr>
          <w:rtl w:val="true"/>
        </w:rPr>
        <w:t xml:space="preserve">, </w:t>
      </w:r>
      <w:r>
        <w:rPr>
          <w:rtl w:val="true"/>
        </w:rPr>
        <w:t>יש ליתן לראיית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>
          <w:rFonts w:cs="Century" w:ascii="Century" w:hAnsi="Century"/>
          <w:sz w:val="22"/>
        </w:rPr>
        <w:t>DNA</w:t>
      </w:r>
      <w:r>
        <w:rPr>
          <w:rtl w:val="true"/>
        </w:rPr>
        <w:t xml:space="preserve">, </w:t>
      </w:r>
      <w:r>
        <w:rPr>
          <w:rtl w:val="true"/>
        </w:rPr>
        <w:t>המתיישבת היטב עם גרסת המתלוננת</w:t>
      </w:r>
      <w:r>
        <w:rPr>
          <w:rtl w:val="true"/>
        </w:rPr>
        <w:t xml:space="preserve">, </w:t>
      </w:r>
      <w:r>
        <w:rPr>
          <w:rtl w:val="true"/>
        </w:rPr>
        <w:t>משקל של ראיה מאמתת</w:t>
      </w:r>
      <w:r>
        <w:rPr>
          <w:rtl w:val="true"/>
        </w:rPr>
        <w:t xml:space="preserve">, </w:t>
      </w:r>
      <w:r>
        <w:rPr>
          <w:rtl w:val="true"/>
        </w:rPr>
        <w:t>המחזקת את יתר הראיות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בעניין זה טוען המערער כי</w:t>
      </w:r>
      <w:r>
        <w:rPr>
          <w:rtl w:val="true"/>
        </w:rPr>
        <w:t xml:space="preserve"> </w:t>
      </w:r>
      <w:r>
        <w:rPr>
          <w:rtl w:val="true"/>
        </w:rPr>
        <w:t>בהינתן</w:t>
      </w:r>
      <w:r>
        <w:rPr>
          <w:rtl w:val="true"/>
        </w:rPr>
        <w:t xml:space="preserve"> </w:t>
      </w:r>
      <w:r>
        <w:rPr>
          <w:rtl w:val="true"/>
        </w:rPr>
        <w:t>הסכמת</w:t>
      </w:r>
      <w:r>
        <w:rPr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 </w:t>
      </w:r>
      <w:r>
        <w:rPr>
          <w:rtl w:val="true"/>
        </w:rPr>
        <w:t>שקיימת</w:t>
      </w:r>
      <w:r>
        <w:rPr>
          <w:rtl w:val="true"/>
        </w:rPr>
        <w:t xml:space="preserve"> </w:t>
      </w:r>
      <w:r>
        <w:rPr>
          <w:rtl w:val="true"/>
        </w:rPr>
        <w:t>אפשרות</w:t>
      </w:r>
      <w:r>
        <w:rPr>
          <w:rtl w:val="true"/>
        </w:rPr>
        <w:t xml:space="preserve"> </w:t>
      </w:r>
      <w:r>
        <w:rPr>
          <w:rtl w:val="true"/>
        </w:rPr>
        <w:t>שתאי</w:t>
      </w:r>
      <w:r>
        <w:rPr>
          <w:rtl w:val="true"/>
        </w:rPr>
        <w:t xml:space="preserve"> </w:t>
      </w:r>
      <w:r>
        <w:rPr>
          <w:rFonts w:cs="Century" w:ascii="Century" w:hAnsi="Century"/>
          <w:sz w:val="22"/>
        </w:rPr>
        <w:t>DNA</w:t>
      </w:r>
      <w:r>
        <w:rPr>
          <w:rtl w:val="true"/>
        </w:rPr>
        <w:t xml:space="preserve"> </w:t>
      </w:r>
      <w:r>
        <w:rPr>
          <w:rtl w:val="true"/>
        </w:rPr>
        <w:t>מגופו</w:t>
      </w:r>
      <w:r>
        <w:rPr>
          <w:rtl w:val="true"/>
        </w:rPr>
        <w:t xml:space="preserve"> </w:t>
      </w:r>
      <w:r>
        <w:rPr>
          <w:rtl w:val="true"/>
        </w:rPr>
        <w:t>הגיעו</w:t>
      </w:r>
      <w:r>
        <w:rPr>
          <w:rtl w:val="true"/>
        </w:rPr>
        <w:t xml:space="preserve"> </w:t>
      </w:r>
      <w:r>
        <w:rPr>
          <w:rtl w:val="true"/>
        </w:rPr>
        <w:t>לתחתוני</w:t>
      </w:r>
      <w:r>
        <w:rPr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 </w:t>
      </w:r>
      <w:r>
        <w:rPr>
          <w:rtl w:val="true"/>
        </w:rPr>
        <w:t>בדרך</w:t>
      </w:r>
      <w:r>
        <w:rPr>
          <w:rtl w:val="true"/>
        </w:rPr>
        <w:t xml:space="preserve"> </w:t>
      </w:r>
      <w:r>
        <w:rPr>
          <w:rtl w:val="true"/>
        </w:rPr>
        <w:t>שאינה</w:t>
      </w:r>
      <w:r>
        <w:rPr>
          <w:rtl w:val="true"/>
        </w:rPr>
        <w:t xml:space="preserve"> </w:t>
      </w:r>
      <w:r>
        <w:rPr>
          <w:rtl w:val="true"/>
        </w:rPr>
        <w:t>קשורה</w:t>
      </w:r>
      <w:r>
        <w:rPr>
          <w:rtl w:val="true"/>
        </w:rPr>
        <w:t xml:space="preserve"> </w:t>
      </w:r>
      <w:r>
        <w:rPr>
          <w:rtl w:val="true"/>
        </w:rPr>
        <w:t>לאירוע</w:t>
      </w:r>
      <w:r>
        <w:rPr>
          <w:rtl w:val="true"/>
        </w:rPr>
        <w:t xml:space="preserve"> </w:t>
      </w:r>
      <w:r>
        <w:rPr>
          <w:rtl w:val="true"/>
        </w:rPr>
        <w:t>נושא</w:t>
      </w:r>
      <w:r>
        <w:rPr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tl w:val="true"/>
        </w:rPr>
        <w:t xml:space="preserve"> </w:t>
      </w:r>
      <w:r>
        <w:rPr>
          <w:rtl w:val="true"/>
        </w:rPr>
        <w:t>ששגה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 </w:t>
      </w:r>
      <w:r>
        <w:rPr>
          <w:rtl w:val="true"/>
        </w:rPr>
        <w:t>נתן</w:t>
      </w:r>
      <w:r>
        <w:rPr>
          <w:rtl w:val="true"/>
        </w:rPr>
        <w:t xml:space="preserve"> </w:t>
      </w:r>
      <w:r>
        <w:rPr>
          <w:rtl w:val="true"/>
        </w:rPr>
        <w:t>לנתון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ראיה</w:t>
      </w:r>
      <w:r>
        <w:rPr>
          <w:rtl w:val="true"/>
        </w:rPr>
        <w:t xml:space="preserve"> </w:t>
      </w:r>
      <w:r>
        <w:rPr>
          <w:rtl w:val="true"/>
        </w:rPr>
        <w:t>מאמתת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נוכח</w:t>
      </w:r>
      <w:r>
        <w:rPr>
          <w:rtl w:val="true"/>
        </w:rPr>
        <w:t xml:space="preserve"> </w:t>
      </w:r>
      <w:r>
        <w:rPr>
          <w:rtl w:val="true"/>
        </w:rPr>
        <w:t>מסקנתנו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ללא</w:t>
      </w:r>
      <w:r>
        <w:rPr>
          <w:rtl w:val="true"/>
        </w:rPr>
        <w:t xml:space="preserve"> </w:t>
      </w:r>
      <w:r>
        <w:rPr>
          <w:rtl w:val="true"/>
        </w:rPr>
        <w:t>ראית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>
          <w:rFonts w:cs="Century" w:ascii="Century" w:hAnsi="Century"/>
          <w:sz w:val="22"/>
        </w:rPr>
        <w:t>DNA</w:t>
      </w:r>
      <w:r>
        <w:rPr>
          <w:rtl w:val="true"/>
        </w:rPr>
        <w:t xml:space="preserve"> </w:t>
      </w:r>
      <w:r>
        <w:rPr>
          <w:rtl w:val="true"/>
        </w:rPr>
        <w:t>התמלאה</w:t>
      </w:r>
      <w:r>
        <w:rPr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 </w:t>
      </w:r>
      <w:r>
        <w:rPr>
          <w:rtl w:val="true"/>
        </w:rPr>
        <w:t>דרישת</w:t>
      </w:r>
      <w:r>
        <w:rPr>
          <w:rtl w:val="true"/>
        </w:rPr>
        <w:t xml:space="preserve"> </w:t>
      </w:r>
      <w:r>
        <w:rPr>
          <w:rtl w:val="true"/>
        </w:rPr>
        <w:t>הסיוע</w:t>
      </w:r>
      <w:r>
        <w:rPr>
          <w:rtl w:val="true"/>
        </w:rPr>
        <w:t xml:space="preserve"> </w:t>
      </w:r>
      <w:r>
        <w:rPr>
          <w:rtl w:val="true"/>
        </w:rPr>
        <w:t>הראייתי</w:t>
      </w:r>
      <w:r>
        <w:rPr>
          <w:rtl w:val="true"/>
        </w:rPr>
        <w:t xml:space="preserve"> – </w:t>
      </w:r>
      <w:r>
        <w:rPr>
          <w:rtl w:val="true"/>
        </w:rPr>
        <w:t>הרי</w:t>
      </w:r>
      <w:r>
        <w:rPr>
          <w:rtl w:val="true"/>
        </w:rPr>
        <w:t xml:space="preserve"> </w:t>
      </w:r>
      <w:r>
        <w:rPr>
          <w:rtl w:val="true"/>
        </w:rPr>
        <w:t>שדי</w:t>
      </w:r>
      <w:r>
        <w:rPr>
          <w:rtl w:val="true"/>
        </w:rPr>
        <w:t xml:space="preserve"> </w:t>
      </w:r>
      <w:r>
        <w:rPr>
          <w:rtl w:val="true"/>
        </w:rPr>
        <w:t>בעדות המתלוננת ובסיוע האמור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tl w:val="true"/>
        </w:rPr>
        <w:t xml:space="preserve"> </w:t>
      </w:r>
      <w:r>
        <w:rPr>
          <w:rtl w:val="true"/>
        </w:rPr>
        <w:t>להרשיע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טענה נוספת שהעלה המערער נוגעת ל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הרשעתו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בעבירה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hyperlink r:id="rId48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348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(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ב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)</w:t>
        </w:r>
      </w:hyperlink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</w:t>
      </w:r>
      <w:hyperlink r:id="rId49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ולא בעבירה לפי </w:t>
      </w:r>
      <w:hyperlink r:id="rId5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זה</w:t>
      </w:r>
      <w:r>
        <w:rPr>
          <w:rtl w:val="true"/>
        </w:rPr>
        <w:t xml:space="preserve">, </w:t>
      </w:r>
      <w:r>
        <w:rPr>
          <w:rtl w:val="true"/>
        </w:rPr>
        <w:t>אשר העונש המרבי בגינה קל יותר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מאחר שבמסגרת התיקון ל</w:t>
      </w:r>
      <w:hyperlink r:id="rId5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 מס</w:t>
      </w:r>
      <w:r>
        <w:rPr>
          <w:rtl w:val="true"/>
        </w:rPr>
        <w:t xml:space="preserve">' </w:t>
      </w:r>
      <w:r>
        <w:rPr/>
        <w:t>61</w:t>
      </w:r>
      <w:r>
        <w:rPr>
          <w:rtl w:val="true"/>
        </w:rPr>
        <w:t xml:space="preserve">),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2001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תיקון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cs="Miriam" w:ascii="Century" w:hAnsi="Century"/>
          <w:b/>
          <w:spacing w:val="0"/>
          <w:szCs w:val="24"/>
        </w:rPr>
        <w:t>61</w:t>
      </w:r>
      <w:r>
        <w:rPr>
          <w:rtl w:val="true"/>
        </w:rPr>
        <w:t xml:space="preserve">), </w:t>
      </w:r>
      <w:r>
        <w:rPr>
          <w:rtl w:val="true"/>
        </w:rPr>
        <w:t>בוטלה</w:t>
      </w:r>
      <w:r>
        <w:rPr>
          <w:rtl w:val="true"/>
        </w:rPr>
        <w:t xml:space="preserve"> </w:t>
      </w:r>
      <w:r>
        <w:rPr>
          <w:rtl w:val="true"/>
        </w:rPr>
        <w:t>דרישת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-"</w:t>
      </w:r>
      <w:r>
        <w:rPr>
          <w:rtl w:val="true"/>
        </w:rPr>
        <w:t>שימוש</w:t>
      </w:r>
      <w:r>
        <w:rPr>
          <w:rtl w:val="true"/>
        </w:rPr>
        <w:t xml:space="preserve"> </w:t>
      </w:r>
      <w:r>
        <w:rPr>
          <w:rtl w:val="true"/>
        </w:rPr>
        <w:t>בכוח</w:t>
      </w:r>
      <w:r>
        <w:rPr>
          <w:rtl w:val="true"/>
        </w:rPr>
        <w:t xml:space="preserve">" </w:t>
      </w:r>
      <w:r>
        <w:rPr>
          <w:rtl w:val="true"/>
        </w:rPr>
        <w:t>בעבירת</w:t>
      </w:r>
      <w:r>
        <w:rPr>
          <w:rtl w:val="true"/>
        </w:rPr>
        <w:t xml:space="preserve"> </w:t>
      </w:r>
      <w:r>
        <w:rPr>
          <w:rtl w:val="true"/>
        </w:rPr>
        <w:t>האינוס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tl w:val="true"/>
        </w:rPr>
        <w:t xml:space="preserve"> </w:t>
      </w:r>
      <w:hyperlink r:id="rId5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שאליה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פנה</w:t>
      </w:r>
      <w:r>
        <w:rPr>
          <w:rtl w:val="true"/>
        </w:rPr>
        <w:t xml:space="preserve"> </w:t>
      </w:r>
      <w:hyperlink r:id="rId5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שבו הורשע המערער</w:t>
      </w:r>
      <w:r>
        <w:rPr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לגישת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tl w:val="true"/>
        </w:rPr>
        <w:t xml:space="preserve"> </w:t>
      </w:r>
      <w:r>
        <w:rPr>
          <w:rtl w:val="true"/>
        </w:rPr>
        <w:t>תיקון</w:t>
      </w:r>
      <w:r>
        <w:rPr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61</w:t>
      </w:r>
      <w:r>
        <w:rPr>
          <w:rtl w:val="true"/>
        </w:rPr>
        <w:t xml:space="preserve"> </w:t>
      </w:r>
      <w:r>
        <w:rPr>
          <w:rtl w:val="true"/>
        </w:rPr>
        <w:t>נוצרה</w:t>
      </w:r>
      <w:r>
        <w:rPr>
          <w:rtl w:val="true"/>
        </w:rPr>
        <w:t xml:space="preserve"> </w:t>
      </w:r>
      <w:r>
        <w:rPr>
          <w:rtl w:val="true"/>
        </w:rPr>
        <w:t>חפיפה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האפשרות להרשיע</w:t>
      </w:r>
      <w:r>
        <w:rPr>
          <w:rtl w:val="true"/>
        </w:rPr>
        <w:t xml:space="preserve"> </w:t>
      </w:r>
      <w:r>
        <w:rPr>
          <w:rtl w:val="true"/>
        </w:rPr>
        <w:t>מי</w:t>
      </w:r>
      <w:r>
        <w:rPr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 xml:space="preserve"> </w:t>
      </w:r>
      <w:r>
        <w:rPr>
          <w:rtl w:val="true"/>
        </w:rPr>
        <w:t>מגונה</w:t>
      </w:r>
      <w:r>
        <w:rPr>
          <w:rtl w:val="true"/>
        </w:rPr>
        <w:t xml:space="preserve"> </w:t>
      </w:r>
      <w:r>
        <w:rPr>
          <w:rtl w:val="true"/>
        </w:rPr>
        <w:t>בקטינה</w:t>
      </w:r>
      <w:r>
        <w:rPr>
          <w:rtl w:val="true"/>
        </w:rPr>
        <w:t xml:space="preserve"> </w:t>
      </w:r>
      <w:r>
        <w:rPr>
          <w:rtl w:val="true"/>
        </w:rPr>
        <w:t>שטרם</w:t>
      </w:r>
      <w:r>
        <w:rPr>
          <w:rtl w:val="true"/>
        </w:rPr>
        <w:t xml:space="preserve"> </w:t>
      </w:r>
      <w:r>
        <w:rPr>
          <w:rtl w:val="true"/>
        </w:rPr>
        <w:t>מלאו</w:t>
      </w:r>
      <w:r>
        <w:rPr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 </w:t>
      </w:r>
      <w:r>
        <w:rPr>
          <w:rtl w:val="true"/>
        </w:rPr>
        <w:t>בהסכמתה</w:t>
      </w:r>
      <w:r>
        <w:rPr>
          <w:rtl w:val="true"/>
        </w:rPr>
        <w:t xml:space="preserve"> </w:t>
      </w:r>
      <w:r>
        <w:rPr>
          <w:rtl w:val="true"/>
        </w:rPr>
        <w:t>החופשית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לפי </w:t>
      </w:r>
      <w:hyperlink r:id="rId5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))</w:t>
        </w:r>
      </w:hyperlink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tl w:val="true"/>
        </w:rPr>
        <w:t xml:space="preserve"> </w:t>
      </w:r>
      <w:r>
        <w:rPr>
          <w:rtl w:val="true"/>
        </w:rPr>
        <w:t>מי</w:t>
      </w:r>
      <w:r>
        <w:rPr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 </w:t>
      </w:r>
      <w:r>
        <w:rPr>
          <w:rtl w:val="true"/>
        </w:rPr>
        <w:t>בקטינה</w:t>
      </w:r>
      <w:r>
        <w:rPr>
          <w:rtl w:val="true"/>
        </w:rPr>
        <w:t xml:space="preserve"> </w:t>
      </w:r>
      <w:r>
        <w:rPr>
          <w:rtl w:val="true"/>
        </w:rPr>
        <w:t>מתחת</w:t>
      </w:r>
      <w:r>
        <w:rPr>
          <w:rtl w:val="true"/>
        </w:rPr>
        <w:t xml:space="preserve"> </w:t>
      </w:r>
      <w:r>
        <w:rPr>
          <w:rtl w:val="true"/>
        </w:rPr>
        <w:t>לגיל</w:t>
      </w:r>
      <w:r>
        <w:rPr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tl w:val="true"/>
        </w:rPr>
        <w:t xml:space="preserve"> </w:t>
      </w:r>
      <w:r>
        <w:rPr>
          <w:rtl w:val="true"/>
        </w:rPr>
        <w:t>בהסכמתה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היינו</w:t>
      </w:r>
      <w:r>
        <w:rPr>
          <w:rtl w:val="true"/>
        </w:rPr>
        <w:t xml:space="preserve">, </w:t>
      </w:r>
      <w:r>
        <w:rPr>
          <w:rtl w:val="true"/>
        </w:rPr>
        <w:t>מי</w:t>
      </w:r>
      <w:r>
        <w:rPr>
          <w:rtl w:val="true"/>
        </w:rPr>
        <w:t xml:space="preserve"> </w:t>
      </w:r>
      <w:r>
        <w:rPr>
          <w:rtl w:val="true"/>
        </w:rPr>
        <w:t>שהורשע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tl w:val="true"/>
        </w:rPr>
        <w:t xml:space="preserve"> </w:t>
      </w:r>
      <w:hyperlink r:id="rId5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)).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דבריו</w:t>
      </w:r>
      <w:r>
        <w:rPr>
          <w:rtl w:val="true"/>
        </w:rPr>
        <w:t xml:space="preserve">, </w:t>
      </w:r>
      <w:r>
        <w:rPr>
          <w:rtl w:val="true"/>
        </w:rPr>
        <w:t>הסכמת</w:t>
      </w:r>
      <w:r>
        <w:rPr>
          <w:rtl w:val="true"/>
        </w:rPr>
        <w:t xml:space="preserve"> </w:t>
      </w:r>
      <w:r>
        <w:rPr>
          <w:rtl w:val="true"/>
        </w:rPr>
        <w:t>קטינה</w:t>
      </w:r>
      <w:r>
        <w:rPr>
          <w:rtl w:val="true"/>
        </w:rPr>
        <w:t xml:space="preserve"> </w:t>
      </w:r>
      <w:r>
        <w:rPr>
          <w:rtl w:val="true"/>
        </w:rPr>
        <w:t>מתחת</w:t>
      </w:r>
      <w:r>
        <w:rPr>
          <w:rtl w:val="true"/>
        </w:rPr>
        <w:t xml:space="preserve"> </w:t>
      </w:r>
      <w:r>
        <w:rPr>
          <w:rtl w:val="true"/>
        </w:rPr>
        <w:t>לגיל</w:t>
      </w:r>
      <w:r>
        <w:rPr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ממילא</w:t>
      </w:r>
      <w:r>
        <w:rPr>
          <w:rtl w:val="true"/>
        </w:rPr>
        <w:t xml:space="preserve"> </w:t>
      </w:r>
      <w:r>
        <w:rPr>
          <w:rtl w:val="true"/>
        </w:rPr>
        <w:t>אינה</w:t>
      </w:r>
      <w:r>
        <w:rPr>
          <w:rtl w:val="true"/>
        </w:rPr>
        <w:t xml:space="preserve"> </w:t>
      </w:r>
      <w:r>
        <w:rPr>
          <w:rtl w:val="true"/>
        </w:rPr>
        <w:t>הסכמה</w:t>
      </w:r>
      <w:r>
        <w:rPr>
          <w:rtl w:val="true"/>
        </w:rPr>
        <w:t xml:space="preserve"> </w:t>
      </w:r>
      <w:r>
        <w:rPr>
          <w:rtl w:val="true"/>
        </w:rPr>
        <w:t>ועל</w:t>
      </w:r>
      <w:r>
        <w:rPr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 </w:t>
      </w:r>
      <w:r>
        <w:rPr>
          <w:rtl w:val="true"/>
        </w:rPr>
        <w:t xml:space="preserve">הרשעתו </w:t>
      </w:r>
      <w:hyperlink r:id="rId56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מבלי להוכיח קיומו של שימוש בכוח </w:t>
      </w:r>
      <w:r>
        <w:rPr>
          <w:rtl w:val="true"/>
        </w:rPr>
        <w:t>–</w:t>
      </w:r>
      <w:r>
        <w:rPr>
          <w:rtl w:val="true"/>
        </w:rPr>
        <w:t xml:space="preserve"> מחמירה יתר על המידה ויש להסתפק </w:t>
      </w:r>
      <w:hyperlink r:id="rId57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).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בית המשפט המחוזי דחה את הטענות האמורות וקבע כי אין בקושי הפרשני שעליו הצביע המערער להוביל לפרשנות שלא עולה בקנה אחד עם לשון החוק ובפרט נכונים הדברים במקרה דנא </w:t>
      </w:r>
      <w:r>
        <w:rPr>
          <w:rtl w:val="true"/>
        </w:rPr>
        <w:t>–</w:t>
      </w:r>
      <w:r>
        <w:rPr>
          <w:rtl w:val="true"/>
        </w:rPr>
        <w:t xml:space="preserve"> כאשר עולה בבירור מגרסת המתלוננת כי לא הסכימה למעשה שבוצע בה ולכן יסוד זה בעבירה לפי </w:t>
      </w:r>
      <w:hyperlink r:id="rId5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</w:t>
      </w:r>
      <w:r>
        <w:rPr>
          <w:rtl w:val="true"/>
        </w:rPr>
        <w:t>–</w:t>
      </w:r>
      <w:r>
        <w:rPr>
          <w:rtl w:val="true"/>
        </w:rPr>
        <w:t xml:space="preserve"> מתקיים</w:t>
      </w:r>
      <w:r>
        <w:rPr>
          <w:rtl w:val="true"/>
        </w:rPr>
        <w:t xml:space="preserve">. </w:t>
      </w:r>
      <w:r>
        <w:rPr>
          <w:rtl w:val="true"/>
        </w:rPr>
        <w:t>לדברים אלה אין לי אלא להצטרף</w:t>
      </w:r>
      <w:r>
        <w:rPr>
          <w:rtl w:val="true"/>
        </w:rPr>
        <w:t xml:space="preserve">. </w:t>
      </w:r>
      <w:r>
        <w:rPr>
          <w:rtl w:val="true"/>
        </w:rPr>
        <w:t xml:space="preserve">המערער לא הניח טעם לקרוא לתוך הנסיבות המנויות </w:t>
      </w:r>
      <w:hyperlink r:id="rId59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(</w:t>
      </w:r>
      <w:r>
        <w:rPr>
          <w:rtl w:val="true"/>
        </w:rPr>
        <w:t xml:space="preserve">המפנה </w:t>
      </w:r>
      <w:hyperlink r:id="rId60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דרישה להוכיח </w:t>
      </w:r>
      <w:r>
        <w:rPr>
          <w:rtl w:val="true"/>
        </w:rPr>
        <w:t>"</w:t>
      </w:r>
      <w:r>
        <w:rPr>
          <w:rtl w:val="true"/>
        </w:rPr>
        <w:t>שימוש בכוח</w:t>
      </w:r>
      <w:r>
        <w:rPr>
          <w:rtl w:val="true"/>
        </w:rPr>
        <w:t xml:space="preserve">" </w:t>
      </w:r>
      <w:r>
        <w:rPr>
          <w:rtl w:val="true"/>
        </w:rPr>
        <w:t xml:space="preserve">על מנת שתשתכלל העבירה לפי </w:t>
      </w:r>
      <w:hyperlink r:id="rId6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חרף ביטולה בתיקון מס</w:t>
      </w:r>
      <w:r>
        <w:rPr>
          <w:rtl w:val="true"/>
        </w:rPr>
        <w:t xml:space="preserve">' </w:t>
      </w:r>
      <w:r>
        <w:rPr/>
        <w:t>61</w:t>
      </w:r>
      <w:r>
        <w:rPr>
          <w:rtl w:val="true"/>
        </w:rPr>
        <w:t xml:space="preserve"> (</w:t>
      </w:r>
      <w:r>
        <w:rPr>
          <w:rtl w:val="true"/>
        </w:rPr>
        <w:t xml:space="preserve">על הרקע לתיקון זה ראו </w:t>
      </w:r>
      <w:hyperlink r:id="rId6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5297/15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קסה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14</w:t>
      </w:r>
      <w:r>
        <w:rPr>
          <w:rtl w:val="true"/>
        </w:rPr>
        <w:t xml:space="preserve"> (</w:t>
      </w:r>
      <w:r>
        <w:rPr/>
        <w:t>27.9.2017</w:t>
      </w:r>
      <w:r>
        <w:rPr>
          <w:rtl w:val="true"/>
        </w:rPr>
        <w:t xml:space="preserve">)). </w:t>
      </w:r>
      <w:r>
        <w:rPr>
          <w:rtl w:val="true"/>
        </w:rPr>
        <w:t>לכך יש להוסיף</w:t>
      </w:r>
      <w:r>
        <w:rPr>
          <w:rtl w:val="true"/>
        </w:rPr>
        <w:t xml:space="preserve">, </w:t>
      </w:r>
      <w:r>
        <w:rPr>
          <w:rtl w:val="true"/>
        </w:rPr>
        <w:t>כפי שהדגישה המשיבה</w:t>
      </w:r>
      <w:r>
        <w:rPr>
          <w:rtl w:val="true"/>
        </w:rPr>
        <w:t xml:space="preserve">, </w:t>
      </w:r>
      <w:r>
        <w:rPr>
          <w:rtl w:val="true"/>
        </w:rPr>
        <w:t xml:space="preserve">כי בנסיבות המקרה שלפנינו הוכח </w:t>
      </w:r>
      <w:r>
        <w:rPr>
          <w:rtl w:val="true"/>
        </w:rPr>
        <w:t>–</w:t>
      </w:r>
      <w:r>
        <w:rPr>
          <w:rtl w:val="true"/>
        </w:rPr>
        <w:t xml:space="preserve"> ברמה הנדרשת </w:t>
      </w:r>
      <w:r>
        <w:rPr>
          <w:rtl w:val="true"/>
        </w:rPr>
        <w:t>–</w:t>
      </w:r>
      <w:r>
        <w:rPr>
          <w:rtl w:val="true"/>
        </w:rPr>
        <w:t xml:space="preserve"> כי המתלוננת לא הסכימה למעשה</w:t>
      </w:r>
      <w:r>
        <w:rPr>
          <w:rtl w:val="true"/>
        </w:rPr>
        <w:t xml:space="preserve">. </w:t>
      </w:r>
      <w:r>
        <w:rPr>
          <w:rtl w:val="true"/>
        </w:rPr>
        <w:t>לכן גם טענה זו דינה להידחות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במלואו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דין הערעור על חומרת העונש להידחות אף הוא</w:t>
      </w:r>
      <w:r>
        <w:rPr>
          <w:rtl w:val="true"/>
        </w:rPr>
        <w:t xml:space="preserve">. </w:t>
      </w:r>
      <w:r>
        <w:rPr>
          <w:rtl w:val="true"/>
        </w:rPr>
        <w:t>הלכה היא כי לא בנקל תתערב ערכאת הערעור בחומרת העונש שהוטל על ידי הערכאה הדיונית</w:t>
      </w:r>
      <w:r>
        <w:rPr>
          <w:rtl w:val="true"/>
        </w:rPr>
        <w:t xml:space="preserve">, </w:t>
      </w:r>
      <w:r>
        <w:rPr>
          <w:rtl w:val="true"/>
        </w:rPr>
        <w:t>אלא במקרים חריגים</w:t>
      </w:r>
      <w:r>
        <w:rPr>
          <w:rtl w:val="true"/>
        </w:rPr>
        <w:t xml:space="preserve">, </w:t>
      </w:r>
      <w:r>
        <w:rPr>
          <w:rtl w:val="true"/>
        </w:rPr>
        <w:t xml:space="preserve">שבהם ניכרת סטייה ברורה ממדיניות הענישה הראויה או אם מתקיימות נסיבות מיוחדות המצדיקות זאת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מני רבים</w:t>
      </w:r>
      <w:r>
        <w:rPr>
          <w:rtl w:val="true"/>
        </w:rPr>
        <w:t xml:space="preserve">, </w:t>
      </w:r>
      <w:hyperlink r:id="rId6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7874/15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41</w:t>
      </w:r>
      <w:r>
        <w:rPr>
          <w:rtl w:val="true"/>
        </w:rPr>
        <w:t xml:space="preserve"> (</w:t>
      </w:r>
      <w:r>
        <w:rPr/>
        <w:t>23.11.2017</w:t>
      </w:r>
      <w:r>
        <w:rPr>
          <w:rtl w:val="true"/>
        </w:rPr>
        <w:t xml:space="preserve">)). </w:t>
      </w:r>
      <w:r>
        <w:rPr>
          <w:rtl w:val="true"/>
        </w:rPr>
        <w:t>בית משפט זה עמד לא אחת על החומרה הרבה הגלומה בעבירות מין בכלל</w:t>
      </w:r>
      <w:r>
        <w:rPr>
          <w:rtl w:val="true"/>
        </w:rPr>
        <w:t xml:space="preserve">, </w:t>
      </w:r>
      <w:r>
        <w:rPr>
          <w:rtl w:val="true"/>
        </w:rPr>
        <w:t>ובעבירות מין המופנות לקטינים בפרט</w:t>
      </w:r>
      <w:r>
        <w:rPr>
          <w:rtl w:val="true"/>
        </w:rPr>
        <w:t xml:space="preserve">. </w:t>
      </w:r>
      <w:r>
        <w:rPr>
          <w:rtl w:val="true"/>
        </w:rPr>
        <w:t>הדברים מקבלים משנה תוקף במקרה שלפנינו</w:t>
      </w:r>
      <w:r>
        <w:rPr>
          <w:rtl w:val="true"/>
        </w:rPr>
        <w:t xml:space="preserve">, </w:t>
      </w:r>
      <w:r>
        <w:rPr>
          <w:rtl w:val="true"/>
        </w:rPr>
        <w:t>שבו ניצל המערער את אמונה של המתלוננת ושל משפחתה</w:t>
      </w:r>
      <w:r>
        <w:rPr>
          <w:rtl w:val="true"/>
        </w:rPr>
        <w:t xml:space="preserve">, </w:t>
      </w:r>
      <w:r>
        <w:rPr>
          <w:rtl w:val="true"/>
        </w:rPr>
        <w:t>שראו בו בן בית</w:t>
      </w:r>
      <w:r>
        <w:rPr>
          <w:rtl w:val="true"/>
        </w:rPr>
        <w:t xml:space="preserve">. </w:t>
      </w:r>
      <w:r>
        <w:rPr>
          <w:rtl w:val="true"/>
        </w:rPr>
        <w:t>בית המשפט המחוזי עמד על החומרה שבמעשי המערער</w:t>
      </w:r>
      <w:r>
        <w:rPr>
          <w:rtl w:val="true"/>
        </w:rPr>
        <w:t xml:space="preserve">, </w:t>
      </w:r>
      <w:r>
        <w:rPr>
          <w:rtl w:val="true"/>
        </w:rPr>
        <w:t xml:space="preserve">ועל השלכותיהם על המתלוננת ועל משפחתה </w:t>
      </w:r>
      <w:r>
        <w:rPr>
          <w:rtl w:val="true"/>
        </w:rPr>
        <w:t>(</w:t>
      </w:r>
      <w:r>
        <w:rPr>
          <w:rtl w:val="true"/>
        </w:rPr>
        <w:t>שפורטו בתסקיר שירות המבחן</w:t>
      </w:r>
      <w:r>
        <w:rPr>
          <w:rtl w:val="true"/>
        </w:rPr>
        <w:t xml:space="preserve">), </w:t>
      </w:r>
      <w:r>
        <w:rPr>
          <w:rtl w:val="true"/>
        </w:rPr>
        <w:t>ולצד זאת נשקלו גם נסיבות חייו הייחודיות והשפעת המאסר עליו ועל משפחתו</w:t>
      </w:r>
      <w:r>
        <w:rPr>
          <w:rtl w:val="true"/>
        </w:rPr>
        <w:t xml:space="preserve">. </w:t>
      </w:r>
      <w:r>
        <w:rPr>
          <w:rtl w:val="true"/>
        </w:rPr>
        <w:t>לאחר בחינה</w:t>
      </w:r>
      <w:r>
        <w:rPr>
          <w:rtl w:val="true"/>
        </w:rPr>
        <w:t xml:space="preserve">, </w:t>
      </w:r>
      <w:r>
        <w:rPr>
          <w:rtl w:val="true"/>
        </w:rPr>
        <w:t>איני סבור כי יש מקום להתערב בעונש שגזר בית המשפט המחוזי על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המאזן נכוחה בין השיקולים הרלוונטיים בנסיבות העניין </w:t>
      </w:r>
      <w:r>
        <w:rPr>
          <w:rtl w:val="true"/>
        </w:rPr>
        <w:t>(</w:t>
      </w:r>
      <w:r>
        <w:rPr>
          <w:rtl w:val="true"/>
        </w:rPr>
        <w:t xml:space="preserve">ראו והשוו </w:t>
      </w:r>
      <w:hyperlink r:id="rId6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1890/16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אוחיון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4</w:t>
      </w:r>
      <w:r>
        <w:rPr>
          <w:rtl w:val="true"/>
        </w:rPr>
        <w:t xml:space="preserve"> (</w:t>
      </w:r>
      <w:r>
        <w:rPr/>
        <w:t>9.3.2017</w:t>
      </w:r>
      <w:r>
        <w:rPr>
          <w:rtl w:val="true"/>
        </w:rPr>
        <w:t xml:space="preserve">); </w:t>
      </w:r>
      <w:hyperlink r:id="rId6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5847/15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קליין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24</w:t>
      </w:r>
      <w:r>
        <w:rPr>
          <w:rtl w:val="true"/>
        </w:rPr>
        <w:t xml:space="preserve"> (</w:t>
      </w:r>
      <w:r>
        <w:rPr/>
        <w:t>7.6.2016</w:t>
      </w:r>
      <w:r>
        <w:rPr>
          <w:rtl w:val="true"/>
        </w:rPr>
        <w:t xml:space="preserve">);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34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השופטת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ע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ברון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אני מסכימה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1"/>
        <w:ind w:end="0"/>
        <w:jc w:val="end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השופטת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ד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ברק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>-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ארז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פוגלמן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להוסיף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לנדרש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חיזוק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להתרשמותו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למהימנות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דיווח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כמהימנה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מיידית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כאלה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נזעקה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אמת</w:t>
      </w:r>
      <w:r>
        <w:rPr>
          <w:rtl w:val="true"/>
        </w:rPr>
        <w:t xml:space="preserve">" </w:t>
      </w:r>
      <w:r>
        <w:rPr>
          <w:rtl w:val="true"/>
        </w:rPr>
        <w:t>להעיר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התפתחה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תחושת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קורבנות</w:t>
      </w:r>
      <w:r>
        <w:rPr>
          <w:rtl w:val="true"/>
        </w:rPr>
        <w:t xml:space="preserve">" </w:t>
      </w:r>
      <w:r>
        <w:rPr>
          <w:rtl w:val="true"/>
        </w:rPr>
        <w:t>שמקורה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עצמם</w:t>
      </w:r>
      <w:r>
        <w:rPr>
          <w:rtl w:val="true"/>
        </w:rPr>
        <w:t xml:space="preserve">.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מתגובותיהם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וחוקרת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נחשפו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ascii="Times New Roman" w:hAnsi="Times New Roman" w:cs="Times New Roman"/>
          <w:rtl w:val="true"/>
        </w:rPr>
        <w:t xml:space="preserve"> ת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פוגלמן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ו</w:t>
      </w:r>
      <w:r>
        <w:rPr>
          <w:rtl w:val="true"/>
        </w:rPr>
        <w:t xml:space="preserve">' </w:t>
      </w:r>
      <w:r>
        <w:rPr>
          <w:rtl w:val="true"/>
        </w:rPr>
        <w:t>בניסן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22.3.2018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17039980</w:t>
      </w:r>
      <w:r>
        <w:rPr>
          <w:sz w:val="16"/>
          <w:rtl w:val="true"/>
        </w:rPr>
        <w:t>_</w:t>
      </w:r>
      <w:r>
        <w:rPr>
          <w:sz w:val="16"/>
        </w:rPr>
        <w:t>M07.doc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אש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66">
        <w:r>
          <w:rPr>
            <w:rStyle w:val="Hyperlink"/>
            <w:color w:val="000000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ע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פוגלמן </w:t>
      </w:r>
      <w:r>
        <w:rPr>
          <w:rFonts w:cs="David" w:ascii="David" w:hAnsi="David"/>
          <w:color w:val="000000"/>
          <w:szCs w:val="22"/>
        </w:rPr>
        <w:t>54678313-3998/17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67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68"/>
      <w:footerReference w:type="default" r:id="rId69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15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3998/17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64444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45.a.1" TargetMode="External"/><Relationship Id="rId5" Type="http://schemas.openxmlformats.org/officeDocument/2006/relationships/hyperlink" Target="http://www.nevo.co.il/law/70301/345.b.1" TargetMode="External"/><Relationship Id="rId6" Type="http://schemas.openxmlformats.org/officeDocument/2006/relationships/hyperlink" Target="http://www.nevo.co.il/law/70301/348.a" TargetMode="External"/><Relationship Id="rId7" Type="http://schemas.openxmlformats.org/officeDocument/2006/relationships/hyperlink" Target="http://www.nevo.co.il/law/70301/348.b" TargetMode="External"/><Relationship Id="rId8" Type="http://schemas.openxmlformats.org/officeDocument/2006/relationships/hyperlink" Target="http://www.nevo.co.il/law/70301/355" TargetMode="External"/><Relationship Id="rId9" Type="http://schemas.openxmlformats.org/officeDocument/2006/relationships/hyperlink" Target="http://www.nevo.co.il/law/70387" TargetMode="External"/><Relationship Id="rId10" Type="http://schemas.openxmlformats.org/officeDocument/2006/relationships/hyperlink" Target="http://www.nevo.co.il/law/70387/9.a" TargetMode="External"/><Relationship Id="rId11" Type="http://schemas.openxmlformats.org/officeDocument/2006/relationships/hyperlink" Target="http://www.nevo.co.il/law/70387/11" TargetMode="External"/><Relationship Id="rId12" Type="http://schemas.openxmlformats.org/officeDocument/2006/relationships/hyperlink" Target="http://www.nevo.co.il/law/74903" TargetMode="External"/><Relationship Id="rId13" Type="http://schemas.openxmlformats.org/officeDocument/2006/relationships/hyperlink" Target="http://www.nevo.co.il/law/74903/187.b" TargetMode="External"/><Relationship Id="rId14" Type="http://schemas.openxmlformats.org/officeDocument/2006/relationships/hyperlink" Target="http://www.nevo.co.il/law/70301/348.b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345.b.1" TargetMode="External"/><Relationship Id="rId17" Type="http://schemas.openxmlformats.org/officeDocument/2006/relationships/hyperlink" Target="http://www.nevo.co.il/law/70301/345.a.1" TargetMode="External"/><Relationship Id="rId18" Type="http://schemas.openxmlformats.org/officeDocument/2006/relationships/hyperlink" Target="http://www.nevo.co.il/law/70387/9.a" TargetMode="External"/><Relationship Id="rId19" Type="http://schemas.openxmlformats.org/officeDocument/2006/relationships/hyperlink" Target="http://www.nevo.co.il/law/70387" TargetMode="External"/><Relationship Id="rId20" Type="http://schemas.openxmlformats.org/officeDocument/2006/relationships/hyperlink" Target="http://www.nevo.co.il/law/70387/11" TargetMode="External"/><Relationship Id="rId21" Type="http://schemas.openxmlformats.org/officeDocument/2006/relationships/hyperlink" Target="http://www.nevo.co.il/law/74903/187.b" TargetMode="External"/><Relationship Id="rId22" Type="http://schemas.openxmlformats.org/officeDocument/2006/relationships/hyperlink" Target="http://www.nevo.co.il/law/74903" TargetMode="External"/><Relationship Id="rId23" Type="http://schemas.openxmlformats.org/officeDocument/2006/relationships/hyperlink" Target="http://www.nevo.co.il/law/70301/355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348.b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345.b.1" TargetMode="External"/><Relationship Id="rId28" Type="http://schemas.openxmlformats.org/officeDocument/2006/relationships/hyperlink" Target="http://www.nevo.co.il/law/70301/348.a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/348.b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348.b" TargetMode="External"/><Relationship Id="rId33" Type="http://schemas.openxmlformats.org/officeDocument/2006/relationships/hyperlink" Target="http://www.nevo.co.il/law/70301/355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/348.b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law/70301/348.b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case/5821173" TargetMode="External"/><Relationship Id="rId40" Type="http://schemas.openxmlformats.org/officeDocument/2006/relationships/hyperlink" Target="http://www.nevo.co.il/case/5756128" TargetMode="External"/><Relationship Id="rId41" Type="http://schemas.openxmlformats.org/officeDocument/2006/relationships/hyperlink" Target="http://www.nevo.co.il/case/16948372" TargetMode="External"/><Relationship Id="rId42" Type="http://schemas.openxmlformats.org/officeDocument/2006/relationships/hyperlink" Target="http://www.nevo.co.il/case/20489991" TargetMode="External"/><Relationship Id="rId43" Type="http://schemas.openxmlformats.org/officeDocument/2006/relationships/hyperlink" Target="http://www.nevo.co.il/case/6234544" TargetMode="External"/><Relationship Id="rId44" Type="http://schemas.openxmlformats.org/officeDocument/2006/relationships/hyperlink" Target="http://www.nevo.co.il/case/5739234" TargetMode="External"/><Relationship Id="rId45" Type="http://schemas.openxmlformats.org/officeDocument/2006/relationships/hyperlink" Target="http://www.nevo.co.il/case/22546687" TargetMode="External"/><Relationship Id="rId46" Type="http://schemas.openxmlformats.org/officeDocument/2006/relationships/hyperlink" Target="http://www.nevo.co.il/case/20180959" TargetMode="External"/><Relationship Id="rId47" Type="http://schemas.openxmlformats.org/officeDocument/2006/relationships/hyperlink" Target="http://www.nevo.co.il/case/6246519" TargetMode="External"/><Relationship Id="rId48" Type="http://schemas.openxmlformats.org/officeDocument/2006/relationships/hyperlink" Target="http://www.nevo.co.il/law/70301/348.b" TargetMode="External"/><Relationship Id="rId49" Type="http://schemas.openxmlformats.org/officeDocument/2006/relationships/hyperlink" Target="http://www.nevo.co.il/law/70301" TargetMode="External"/><Relationship Id="rId50" Type="http://schemas.openxmlformats.org/officeDocument/2006/relationships/hyperlink" Target="http://www.nevo.co.il/law/70301/348.a" TargetMode="External"/><Relationship Id="rId51" Type="http://schemas.openxmlformats.org/officeDocument/2006/relationships/hyperlink" Target="http://www.nevo.co.il/law/70301" TargetMode="External"/><Relationship Id="rId52" Type="http://schemas.openxmlformats.org/officeDocument/2006/relationships/hyperlink" Target="http://www.nevo.co.il/law/70301/345.a.1" TargetMode="External"/><Relationship Id="rId53" Type="http://schemas.openxmlformats.org/officeDocument/2006/relationships/hyperlink" Target="http://www.nevo.co.il/law/70301/348.b" TargetMode="External"/><Relationship Id="rId54" Type="http://schemas.openxmlformats.org/officeDocument/2006/relationships/hyperlink" Target="http://www.nevo.co.il/law/70301/348.b" TargetMode="External"/><Relationship Id="rId55" Type="http://schemas.openxmlformats.org/officeDocument/2006/relationships/hyperlink" Target="http://www.nevo.co.il/law/70301/348.a" TargetMode="External"/><Relationship Id="rId56" Type="http://schemas.openxmlformats.org/officeDocument/2006/relationships/hyperlink" Target="http://www.nevo.co.il/law/70301/348.b" TargetMode="External"/><Relationship Id="rId57" Type="http://schemas.openxmlformats.org/officeDocument/2006/relationships/hyperlink" Target="http://www.nevo.co.il/law/70301/348.a" TargetMode="External"/><Relationship Id="rId58" Type="http://schemas.openxmlformats.org/officeDocument/2006/relationships/hyperlink" Target="http://www.nevo.co.il/law/70301/348.b" TargetMode="External"/><Relationship Id="rId59" Type="http://schemas.openxmlformats.org/officeDocument/2006/relationships/hyperlink" Target="http://www.nevo.co.il/law/70301/345.b.1" TargetMode="External"/><Relationship Id="rId60" Type="http://schemas.openxmlformats.org/officeDocument/2006/relationships/hyperlink" Target="http://www.nevo.co.il/law/70301/345.a.1" TargetMode="External"/><Relationship Id="rId61" Type="http://schemas.openxmlformats.org/officeDocument/2006/relationships/hyperlink" Target="http://www.nevo.co.il/law/70301/348.b" TargetMode="External"/><Relationship Id="rId62" Type="http://schemas.openxmlformats.org/officeDocument/2006/relationships/hyperlink" Target="http://www.nevo.co.il/case/21473005" TargetMode="External"/><Relationship Id="rId63" Type="http://schemas.openxmlformats.org/officeDocument/2006/relationships/hyperlink" Target="http://www.nevo.co.il/case/20781912" TargetMode="External"/><Relationship Id="rId64" Type="http://schemas.openxmlformats.org/officeDocument/2006/relationships/hyperlink" Target="http://www.nevo.co.il/case/22303595" TargetMode="External"/><Relationship Id="rId65" Type="http://schemas.openxmlformats.org/officeDocument/2006/relationships/hyperlink" Target="http://www.nevo.co.il/case/20570636" TargetMode="External"/><Relationship Id="rId66" Type="http://schemas.openxmlformats.org/officeDocument/2006/relationships/hyperlink" Target="http://www.court.gov.il/" TargetMode="External"/><Relationship Id="rId67" Type="http://schemas.openxmlformats.org/officeDocument/2006/relationships/hyperlink" Target="http://www.nevo.co.il/advertisements/nevo-100.doc" TargetMode="External"/><Relationship Id="rId68" Type="http://schemas.openxmlformats.org/officeDocument/2006/relationships/header" Target="header1.xml"/><Relationship Id="rId69" Type="http://schemas.openxmlformats.org/officeDocument/2006/relationships/footer" Target="footer1.xml"/><Relationship Id="rId70" Type="http://schemas.openxmlformats.org/officeDocument/2006/relationships/numbering" Target="numbering.xml"/><Relationship Id="rId71" Type="http://schemas.openxmlformats.org/officeDocument/2006/relationships/fontTable" Target="fontTable.xml"/><Relationship Id="rId72" Type="http://schemas.openxmlformats.org/officeDocument/2006/relationships/settings" Target="settings.xml"/><Relationship Id="rId7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2018-04-14T03:26:00Z</dcterms:created>
  <dc:creator> </dc:creator>
  <dc:description/>
  <cp:keywords/>
  <dc:language>en-IL</dc:language>
  <cp:lastModifiedBy>orly</cp:lastModifiedBy>
  <cp:lastPrinted>2018-03-21T14:08:00Z</cp:lastPrinted>
  <dcterms:modified xsi:type="dcterms:W3CDTF">2018-04-14T03:26:00Z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21644441;5821173;5756128;16948372;20489991;6234544;5739234;22546687;20180959;6246519;21473005;20781912;22303595;20570636</vt:lpwstr>
  </property>
  <property fmtid="{D5CDD505-2E9C-101B-9397-08002B2CF9AE}" pid="9" name="CITY">
    <vt:lpwstr/>
  </property>
  <property fmtid="{D5CDD505-2E9C-101B-9397-08002B2CF9AE}" pid="10" name="DATE">
    <vt:lpwstr>20180322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ע' פוגלמן;ד' ברק ארז;ע' ברון</vt:lpwstr>
  </property>
  <property fmtid="{D5CDD505-2E9C-101B-9397-08002B2CF9AE}" pid="14" name="LAWLISTTMP1">
    <vt:lpwstr>70301/345.a.1:3;345.b.1:3;348.a:4;348.b:12;355:2</vt:lpwstr>
  </property>
  <property fmtid="{D5CDD505-2E9C-101B-9397-08002B2CF9AE}" pid="15" name="LAWLISTTMP2">
    <vt:lpwstr>70387/009.a;011</vt:lpwstr>
  </property>
  <property fmtid="{D5CDD505-2E9C-101B-9397-08002B2CF9AE}" pid="16" name="LAWLISTTMP3">
    <vt:lpwstr>74903/187.b</vt:lpwstr>
  </property>
  <property fmtid="{D5CDD505-2E9C-101B-9397-08002B2CF9AE}" pid="17" name="LAWYER">
    <vt:lpwstr>דפנה שמול;ניק קאופמן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פאני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ראיות</vt:lpwstr>
  </property>
  <property fmtid="{D5CDD505-2E9C-101B-9397-08002B2CF9AE}" pid="29" name="NOSE110">
    <vt:lpwstr/>
  </property>
  <property fmtid="{D5CDD505-2E9C-101B-9397-08002B2CF9AE}" pid="30" name="NOSE12">
    <vt:lpwstr>ראיות</vt:lpwstr>
  </property>
  <property fmtid="{D5CDD505-2E9C-101B-9397-08002B2CF9AE}" pid="31" name="NOSE13">
    <vt:lpwstr>ראיות</vt:lpwstr>
  </property>
  <property fmtid="{D5CDD505-2E9C-101B-9397-08002B2CF9AE}" pid="32" name="NOSE14">
    <vt:lpwstr>עונשין</vt:lpwstr>
  </property>
  <property fmtid="{D5CDD505-2E9C-101B-9397-08002B2CF9AE}" pid="33" name="NOSE15">
    <vt:lpwstr>עונשין</vt:lpwstr>
  </property>
  <property fmtid="{D5CDD505-2E9C-101B-9397-08002B2CF9AE}" pid="34" name="NOSE16">
    <vt:lpwstr>דיון פלילי</vt:lpwstr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89;89;89;77;77;18</vt:lpwstr>
  </property>
  <property fmtid="{D5CDD505-2E9C-101B-9397-08002B2CF9AE}" pid="39" name="NOSE21">
    <vt:lpwstr>סיוע</vt:lpwstr>
  </property>
  <property fmtid="{D5CDD505-2E9C-101B-9397-08002B2CF9AE}" pid="40" name="NOSE210">
    <vt:lpwstr/>
  </property>
  <property fmtid="{D5CDD505-2E9C-101B-9397-08002B2CF9AE}" pid="41" name="NOSE22">
    <vt:lpwstr>סיוע</vt:lpwstr>
  </property>
  <property fmtid="{D5CDD505-2E9C-101B-9397-08002B2CF9AE}" pid="42" name="NOSE23">
    <vt:lpwstr>בדיקת דנא</vt:lpwstr>
  </property>
  <property fmtid="{D5CDD505-2E9C-101B-9397-08002B2CF9AE}" pid="43" name="NOSE24">
    <vt:lpwstr>עבירות</vt:lpwstr>
  </property>
  <property fmtid="{D5CDD505-2E9C-101B-9397-08002B2CF9AE}" pid="44" name="NOSE25">
    <vt:lpwstr>ענישה</vt:lpwstr>
  </property>
  <property fmtid="{D5CDD505-2E9C-101B-9397-08002B2CF9AE}" pid="45" name="NOSE26">
    <vt:lpwstr>ערעור</vt:lpwstr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1651;1651;1615;1443;1446;504</vt:lpwstr>
  </property>
  <property fmtid="{D5CDD505-2E9C-101B-9397-08002B2CF9AE}" pid="50" name="NOSE31">
    <vt:lpwstr>לעדות קטין</vt:lpwstr>
  </property>
  <property fmtid="{D5CDD505-2E9C-101B-9397-08002B2CF9AE}" pid="51" name="NOSE310">
    <vt:lpwstr/>
  </property>
  <property fmtid="{D5CDD505-2E9C-101B-9397-08002B2CF9AE}" pid="52" name="NOSE32">
    <vt:lpwstr>לעדות מתלונן בעבירת מין</vt:lpwstr>
  </property>
  <property fmtid="{D5CDD505-2E9C-101B-9397-08002B2CF9AE}" pid="53" name="NOSE33">
    <vt:lpwstr>משקלה</vt:lpwstr>
  </property>
  <property fmtid="{D5CDD505-2E9C-101B-9397-08002B2CF9AE}" pid="54" name="NOSE34">
    <vt:lpwstr>מעשה מגונה בקטין שטרם מלאו לו 14</vt:lpwstr>
  </property>
  <property fmtid="{D5CDD505-2E9C-101B-9397-08002B2CF9AE}" pid="55" name="NOSE35">
    <vt:lpwstr>מדיניות ענישה: עבירות מין בקטינים</vt:lpwstr>
  </property>
  <property fmtid="{D5CDD505-2E9C-101B-9397-08002B2CF9AE}" pid="56" name="NOSE36">
    <vt:lpwstr>אי-התערבות בממצאים עובדתיים</vt:lpwstr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10353;10351;10031;15617;16970;3849</vt:lpwstr>
  </property>
  <property fmtid="{D5CDD505-2E9C-101B-9397-08002B2CF9AE}" pid="61" name="PADIDATE">
    <vt:lpwstr>20180325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</vt:lpwstr>
  </property>
  <property fmtid="{D5CDD505-2E9C-101B-9397-08002B2CF9AE}" pid="66" name="PROCNUM">
    <vt:lpwstr>3998</vt:lpwstr>
  </property>
  <property fmtid="{D5CDD505-2E9C-101B-9397-08002B2CF9AE}" pid="67" name="PROCYEAR">
    <vt:lpwstr>17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410120180322</vt:lpwstr>
  </property>
  <property fmtid="{D5CDD505-2E9C-101B-9397-08002B2CF9AE}" pid="71" name="TYPE_N_DATE">
    <vt:lpwstr>41020180322</vt:lpwstr>
  </property>
  <property fmtid="{D5CDD505-2E9C-101B-9397-08002B2CF9AE}" pid="72" name="VOLUME">
    <vt:lpwstr/>
  </property>
  <property fmtid="{D5CDD505-2E9C-101B-9397-08002B2CF9AE}" pid="73" name="WORDNUMPAGES">
    <vt:lpwstr>13</vt:lpwstr>
  </property>
</Properties>
</file>