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4018/20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לוגסי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נויטל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חיימוביץ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ביבי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11.5.2020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תפ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68360-03-18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3"/>
        <w:gridCol w:w="2360"/>
        <w:gridCol w:w="2710"/>
      </w:tblGrid>
      <w:tr>
        <w:trPr/>
        <w:tc>
          <w:tcPr>
            <w:tcW w:w="329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6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20.12.2021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78"/>
        <w:gridCol w:w="5085"/>
      </w:tblGrid>
      <w:tr>
        <w:trPr/>
        <w:tc>
          <w:tcPr>
            <w:tcW w:w="327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08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tl w:val="true"/>
              </w:rPr>
              <w:t>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2"/>
        <w:gridCol w:w="5101"/>
      </w:tblGrid>
      <w:tr>
        <w:trPr/>
        <w:tc>
          <w:tcPr>
            <w:tcW w:w="326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זלושינסקי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07"/>
        <w:gridCol w:w="5056"/>
      </w:tblGrid>
      <w:tr>
        <w:trPr/>
        <w:tc>
          <w:tcPr>
            <w:tcW w:w="330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05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192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4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347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368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402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5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יג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לא תעמוד על דם רעך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1998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נדחה ערעור על עונש בן </w:t>
      </w:r>
      <w:r>
        <w:rPr>
          <w:rFonts w:cs="Times New Roman" w:ascii="Times New Roman" w:hAnsi="Times New Roman"/>
          <w:spacing w:val="0"/>
          <w:szCs w:val="26"/>
        </w:rPr>
        <w:t>21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 אשר הושת על המערער בגין ביצוע עבירות של מעשה סדום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תקיפת קטין וגרימת חבלה של ממש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 כי על אף שעל המערער הושת עונש על הצד החמור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שנוכח מגמת ההחמרה הנדרשת בענישה בגין עבירות מין ובנסיבות הייחודיות של מקרה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מדובר בעונש המצדיק התערבות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בקטינים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אחדות הענישה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עורכי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דין – ייצוג – כשל בייצוג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הורשע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בעבירות של מעשה סדום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תקיפת קטין וגרימת חבלה של ממש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המערער הוטל עונש של </w:t>
      </w:r>
      <w:r>
        <w:rPr>
          <w:rFonts w:cs="Times New Roman" w:ascii="Times New Roman" w:hAnsi="Times New Roman"/>
          <w:spacing w:val="0"/>
          <w:szCs w:val="26"/>
        </w:rPr>
        <w:t>21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מאסר מותנה ופיצוי בסך של </w:t>
      </w:r>
      <w:r>
        <w:rPr>
          <w:rFonts w:cs="Times New Roman" w:ascii="Times New Roman" w:hAnsi="Times New Roman"/>
          <w:spacing w:val="0"/>
          <w:szCs w:val="26"/>
        </w:rPr>
        <w:t>100,000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Cs w:val="26"/>
          <w:rtl w:val="true"/>
        </w:rPr>
        <w:t>למתלונן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 המערער מתמקד בחומרת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מינץ ובהסכמת השופטים עמית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קרא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על אף שאין חולק כי העונש שהושת על המערער אינו מקל עמו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נוטה על הצד החמור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בהתחשב במכלול נסיבות העניין אין מדובר בעונש אשר מצדיק התערבות ערכאת הערעור 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המין הן מסוג העבירות הפוצעות את הקורבנות בגוף ובנפש בצורה קשה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ההולם עונש מאסר ממושך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לכן גם נקבעה מדיניות ענישה מחמירה ביותר לעבירות מסוג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שתהלום את סלידת החברה ממעשים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תשקף את הנזקים החמורים מהם סובלים נפגעי העבירות ותקדם את האינטרס הציבורי בהרתעת עברייני מין פוטנציאליים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זה המצב קשה עוד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לא בוצעו רק עבירות מין אלא גם עבירות אלימות ושוד וזאת למעלה משעתיים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השפלת המתלונן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הותיר את המתלונן נשדד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מוכה וחבול במעשה בריונות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כשכל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חטאו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של המתלונן הוא שצעד ברחוב בשעת לילה מאוחרת בגפו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טענה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כשל בייצוג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תתקבל רק במקרים חריגים ונדירים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בהם הוכח כי האופן בו נוהלה ההגנה הביא לעיוות דין של ממש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הטוען כי נגרם לו עיוות דין להוכיח כי אלמלא הייצוג הכושל אפשר שתוצאתו של ההליך הפלילי נגדו הייתה משתנה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קו ההגנה שנקט בא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כוח המערער מעורר קשיים ותמיהות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בכוחה של טענת כשל בייצוג כדי להצדיק התערבות של ערכאה זו בעונש שהושת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בענישה ברף חומרה גבוה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בשנים האחרונות ניכרת מגמה של החמרה משמעותית ביחס לעבירות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בשל חומרתן וכחלק מהניסיון למגרן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השוואה בין מקרים שונים לצורך האחדת הענישה אינה קלה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המאפיינים הייחודים של כל מקרה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זה הקושי מתעצם שבעתיים בשל צירוף העבירות השונות על נסיבותיהן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החריג 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מסכת קשה של אלימות ועבירות מין המסתיימת בשדידת הקרבן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איננה דבר מצוי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קביעת מתחמי ענישה נפרדים בגין העבירות השונות ולאחר מכן עמידה על מתחם עונש משוקלל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 בגדר פגם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מכלול השיקולים בעניינו מחייב ענישה שתשקף באופן נחרץ את חומרת מעשי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תרחיקו מהציבור לתקופה ממושכת ותרתיע אחרים מלפעול באופן דומה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במקרה חמור המחייב השתת ענישה חמורה ומרתיעה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אם מדובר במידה מסוימת בעונש החורג לחומרה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נראה כי מדובר בנסיבות מקרה המצדיקות ענישה בחומרה מקסימלית ולא נמצא כל טעם של ממש להקל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 כאמור יש גם לבכר שיקולי גמול והרתעה על פני התחשבות בנסיבות האישיות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spacing w:lineRule="auto" w:line="240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נויטל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חיימוביץ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ביבי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11.5.2020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68360-03-18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מתמקד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בהסתייגות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),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הורשע ביום </w:t>
      </w:r>
      <w:r>
        <w:rPr/>
        <w:t>12.9.2019</w:t>
      </w:r>
      <w:r>
        <w:rPr>
          <w:rtl w:val="true"/>
        </w:rPr>
        <w:t xml:space="preserve"> </w:t>
      </w:r>
      <w:r>
        <w:rPr>
          <w:rtl w:val="true"/>
        </w:rPr>
        <w:t xml:space="preserve">בעבירות של מעשה סדום 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6"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 xml:space="preserve">שוד לפי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תקיפת קטין וגרימת חבלה של ממש לפי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368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ואיומים לפי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כתב האישום מגולל מסכת אירועים אלימה וקשה שהתרחשה בלילה חשוך</w:t>
      </w:r>
      <w:r>
        <w:rPr>
          <w:rtl w:val="true"/>
        </w:rPr>
        <w:t xml:space="preserve">, </w:t>
      </w:r>
      <w:r>
        <w:rPr>
          <w:rtl w:val="true"/>
        </w:rPr>
        <w:t xml:space="preserve">בתאריך </w:t>
      </w:r>
      <w:r>
        <w:rPr/>
        <w:t>22.3.2018</w:t>
      </w:r>
      <w:r>
        <w:rPr>
          <w:rtl w:val="true"/>
        </w:rPr>
        <w:t xml:space="preserve">. </w:t>
      </w:r>
      <w:r>
        <w:rPr>
          <w:rtl w:val="true"/>
        </w:rPr>
        <w:t>על פי כתב האישום</w:t>
      </w:r>
      <w:r>
        <w:rPr>
          <w:rtl w:val="true"/>
        </w:rPr>
        <w:t xml:space="preserve">, </w:t>
      </w:r>
      <w:r>
        <w:rPr>
          <w:rtl w:val="true"/>
        </w:rPr>
        <w:t>המערער תקף את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קטין יליד שנת </w:t>
      </w:r>
      <w:r>
        <w:rPr/>
        <w:t>2000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tl w:val="true"/>
        </w:rPr>
        <w:t xml:space="preserve">), </w:t>
      </w:r>
      <w:r>
        <w:rPr>
          <w:rtl w:val="true"/>
        </w:rPr>
        <w:t>לאחר שחלף על פניו ברחוב</w:t>
      </w:r>
      <w:r>
        <w:rPr>
          <w:rtl w:val="true"/>
        </w:rPr>
        <w:t xml:space="preserve">, </w:t>
      </w:r>
      <w:r>
        <w:rPr>
          <w:rtl w:val="true"/>
        </w:rPr>
        <w:t>מבלי שהייתה לשניים היכרות מוקדמת כלשהי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כאשר היה נתון תחת השפעת אלכוהול</w:t>
      </w:r>
      <w:r>
        <w:rPr>
          <w:rtl w:val="true"/>
        </w:rPr>
        <w:t xml:space="preserve">, </w:t>
      </w:r>
      <w:r>
        <w:rPr>
          <w:rtl w:val="true"/>
        </w:rPr>
        <w:t>אחז במתלונן</w:t>
      </w:r>
      <w:r>
        <w:rPr>
          <w:rtl w:val="true"/>
        </w:rPr>
        <w:t xml:space="preserve">, </w:t>
      </w:r>
      <w:r>
        <w:rPr>
          <w:rtl w:val="true"/>
        </w:rPr>
        <w:t>גרר אותו</w:t>
      </w:r>
      <w:r>
        <w:rPr>
          <w:rtl w:val="true"/>
        </w:rPr>
        <w:t xml:space="preserve">, </w:t>
      </w:r>
      <w:r>
        <w:rPr>
          <w:rtl w:val="true"/>
        </w:rPr>
        <w:t>היכה אותו בפניו</w:t>
      </w:r>
      <w:r>
        <w:rPr>
          <w:rtl w:val="true"/>
        </w:rPr>
        <w:t xml:space="preserve">, </w:t>
      </w:r>
      <w:r>
        <w:rPr>
          <w:rtl w:val="true"/>
        </w:rPr>
        <w:t>בעט בצלעותיו</w:t>
      </w:r>
      <w:r>
        <w:rPr>
          <w:rtl w:val="true"/>
        </w:rPr>
        <w:t xml:space="preserve">, </w:t>
      </w:r>
      <w:r>
        <w:rPr>
          <w:rtl w:val="true"/>
        </w:rPr>
        <w:t>דרך עליו וגרם לו לחבלות בגופו</w:t>
      </w:r>
      <w:r>
        <w:rPr>
          <w:rtl w:val="true"/>
        </w:rPr>
        <w:t xml:space="preserve">, </w:t>
      </w:r>
      <w:r>
        <w:rPr>
          <w:rtl w:val="true"/>
        </w:rPr>
        <w:t>לשריטות ולדימום בפניו</w:t>
      </w:r>
      <w:r>
        <w:rPr>
          <w:rtl w:val="true"/>
        </w:rPr>
        <w:t xml:space="preserve">. </w:t>
      </w:r>
      <w:r>
        <w:rPr>
          <w:rtl w:val="true"/>
        </w:rPr>
        <w:t xml:space="preserve">בשלב מסוים עבר במקום עובר אורח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 </w:t>
      </w:r>
      <w:r>
        <w:rPr>
          <w:rtl w:val="true"/>
        </w:rPr>
        <w:t>אשר נקלע למקום כשהוא רכוב על אופנוע</w:t>
      </w:r>
      <w:r>
        <w:rPr>
          <w:rtl w:val="true"/>
        </w:rPr>
        <w:t xml:space="preserve">, </w:t>
      </w:r>
      <w:r>
        <w:rPr>
          <w:rtl w:val="true"/>
        </w:rPr>
        <w:t>והבחין במתלונן שרוע על הכביש</w:t>
      </w:r>
      <w:r>
        <w:rPr>
          <w:rtl w:val="true"/>
        </w:rPr>
        <w:t xml:space="preserve">. </w:t>
      </w:r>
      <w:r>
        <w:rPr>
          <w:rtl w:val="true"/>
        </w:rPr>
        <w:t>המתלונן הצביע לכיוון המערער</w:t>
      </w:r>
      <w:r>
        <w:rPr>
          <w:rtl w:val="true"/>
        </w:rPr>
        <w:t xml:space="preserve">, </w:t>
      </w:r>
      <w:r>
        <w:rPr>
          <w:rtl w:val="true"/>
        </w:rPr>
        <w:t>ואילו המערער בתגובה איים על ב</w:t>
      </w:r>
      <w:r>
        <w:rPr>
          <w:rtl w:val="true"/>
        </w:rPr>
        <w:t xml:space="preserve">', </w:t>
      </w:r>
      <w:r>
        <w:rPr>
          <w:rtl w:val="true"/>
        </w:rPr>
        <w:t>אשר עזב את המקום</w:t>
      </w:r>
      <w:r>
        <w:rPr>
          <w:rtl w:val="true"/>
        </w:rPr>
        <w:t xml:space="preserve">. </w:t>
      </w:r>
      <w:r>
        <w:rPr>
          <w:rtl w:val="true"/>
        </w:rPr>
        <w:t>לאחר מכן שב המערער והיכה את המתלונן בפניו</w:t>
      </w:r>
      <w:r>
        <w:rPr>
          <w:rtl w:val="true"/>
        </w:rPr>
        <w:t xml:space="preserve">, </w:t>
      </w:r>
      <w:r>
        <w:rPr>
          <w:rtl w:val="true"/>
        </w:rPr>
        <w:t>בחזהו ובשאר חלקי גופו באמצעות אגרופיו ורגליו ואף בעט בראשו</w:t>
      </w:r>
      <w:r>
        <w:rPr>
          <w:rtl w:val="true"/>
        </w:rPr>
        <w:t xml:space="preserve">. </w:t>
      </w:r>
      <w:r>
        <w:rPr>
          <w:rtl w:val="true"/>
        </w:rPr>
        <w:t>כל זאת כאשר המתלונן מתחנן לפניו כי יחדל ממעשיו</w:t>
      </w:r>
      <w:r>
        <w:rPr>
          <w:rtl w:val="true"/>
        </w:rPr>
        <w:t xml:space="preserve">. </w:t>
      </w:r>
      <w:r>
        <w:rPr>
          <w:rtl w:val="true"/>
        </w:rPr>
        <w:t xml:space="preserve">בשלב מסוים נקלע למקום קטין אחר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 </w:t>
      </w:r>
      <w:r>
        <w:rPr>
          <w:rtl w:val="true"/>
        </w:rPr>
        <w:t>אשר ניסה להפריד בין המערער למתלונן</w:t>
      </w:r>
      <w:r>
        <w:rPr>
          <w:rtl w:val="true"/>
        </w:rPr>
        <w:t xml:space="preserve">, </w:t>
      </w:r>
      <w:r>
        <w:rPr>
          <w:rtl w:val="true"/>
        </w:rPr>
        <w:t>אך ללא הועיל</w:t>
      </w:r>
      <w:r>
        <w:rPr>
          <w:rtl w:val="true"/>
        </w:rPr>
        <w:t xml:space="preserve">. </w:t>
      </w:r>
      <w:r>
        <w:rPr>
          <w:rtl w:val="true"/>
        </w:rPr>
        <w:t>המערער המשיך לתקוף את המתלונן ולהכותו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הוביל המערער את המתלונן אל מתחת לאחד הבניינים הסמוכים ברחוב שהיה חשוך וריק מאדם</w:t>
      </w:r>
      <w:r>
        <w:rPr>
          <w:rtl w:val="true"/>
        </w:rPr>
        <w:t xml:space="preserve">, </w:t>
      </w:r>
      <w:r>
        <w:rPr>
          <w:rtl w:val="true"/>
        </w:rPr>
        <w:t>וביצע בו מעשי סדום רבים וגרם לו לחבלות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המערער דחף את המתלונן על שולחן שהיה במקום</w:t>
      </w:r>
      <w:r>
        <w:rPr>
          <w:rtl w:val="true"/>
        </w:rPr>
        <w:t xml:space="preserve">, </w:t>
      </w:r>
      <w:r>
        <w:rPr>
          <w:rtl w:val="true"/>
        </w:rPr>
        <w:t>התיישב עליו</w:t>
      </w:r>
      <w:r>
        <w:rPr>
          <w:rtl w:val="true"/>
        </w:rPr>
        <w:t xml:space="preserve">, </w:t>
      </w:r>
      <w:r>
        <w:rPr>
          <w:rtl w:val="true"/>
        </w:rPr>
        <w:t>הורה לו להסיר את מכנסי המערער</w:t>
      </w:r>
      <w:r>
        <w:rPr>
          <w:rtl w:val="true"/>
        </w:rPr>
        <w:t xml:space="preserve">, </w:t>
      </w:r>
      <w:r>
        <w:rPr>
          <w:rtl w:val="true"/>
        </w:rPr>
        <w:t>החדיר את איבר מינו לפיו של המתלונן ולפי הטבעת שלו לסירוגין</w:t>
      </w:r>
      <w:r>
        <w:rPr>
          <w:rtl w:val="true"/>
        </w:rPr>
        <w:t xml:space="preserve">, </w:t>
      </w:r>
      <w:r>
        <w:rPr>
          <w:rtl w:val="true"/>
        </w:rPr>
        <w:t>זאת במשך פרק זמן של כשעה וחצי</w:t>
      </w:r>
      <w:r>
        <w:rPr>
          <w:rtl w:val="true"/>
        </w:rPr>
        <w:t xml:space="preserve">. </w:t>
      </w:r>
      <w:r>
        <w:rPr>
          <w:rtl w:val="true"/>
        </w:rPr>
        <w:t>במהלך ביצוע המעשים נשך המערער את המתלונן בגבו</w:t>
      </w:r>
      <w:r>
        <w:rPr>
          <w:rtl w:val="true"/>
        </w:rPr>
        <w:t xml:space="preserve">, </w:t>
      </w:r>
      <w:r>
        <w:rPr>
          <w:rtl w:val="true"/>
        </w:rPr>
        <w:t>בעורפו</w:t>
      </w:r>
      <w:r>
        <w:rPr>
          <w:rtl w:val="true"/>
        </w:rPr>
        <w:t xml:space="preserve">, </w:t>
      </w:r>
      <w:r>
        <w:rPr>
          <w:rtl w:val="true"/>
        </w:rPr>
        <w:t>באוזן שמאל ובלחי שמאל</w:t>
      </w:r>
      <w:r>
        <w:rPr>
          <w:rtl w:val="true"/>
        </w:rPr>
        <w:t xml:space="preserve">. </w:t>
      </w:r>
      <w:r>
        <w:rPr>
          <w:rtl w:val="true"/>
        </w:rPr>
        <w:t>בשלב מסוים נרדם המערער בעודו שרוע על גבו של המתלונן באופן שמנע מן המתלונן לזוז</w:t>
      </w:r>
      <w:r>
        <w:rPr>
          <w:rtl w:val="true"/>
        </w:rPr>
        <w:t xml:space="preserve">. </w:t>
      </w:r>
      <w:r>
        <w:rPr>
          <w:rtl w:val="true"/>
        </w:rPr>
        <w:t>כשהתעורר</w:t>
      </w:r>
      <w:r>
        <w:rPr>
          <w:rtl w:val="true"/>
        </w:rPr>
        <w:t xml:space="preserve">, </w:t>
      </w:r>
      <w:r>
        <w:rPr>
          <w:rtl w:val="true"/>
        </w:rPr>
        <w:t>שב וביצע במתלונן מעשה סדום ושב ונרדם עליו</w:t>
      </w:r>
      <w:r>
        <w:rPr>
          <w:rtl w:val="true"/>
        </w:rPr>
        <w:t xml:space="preserve">. </w:t>
      </w:r>
      <w:r>
        <w:rPr>
          <w:rtl w:val="true"/>
        </w:rPr>
        <w:t>במהלך שנתו</w:t>
      </w:r>
      <w:r>
        <w:rPr>
          <w:rtl w:val="true"/>
        </w:rPr>
        <w:t xml:space="preserve">, </w:t>
      </w:r>
      <w:r>
        <w:rPr>
          <w:rtl w:val="true"/>
        </w:rPr>
        <w:t>הטיל המערער את מימיו על גופו של המתלונן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ביצוע המעשים האמורים</w:t>
      </w:r>
      <w:r>
        <w:rPr>
          <w:rtl w:val="true"/>
        </w:rPr>
        <w:t xml:space="preserve">, </w:t>
      </w:r>
      <w:r>
        <w:rPr>
          <w:rtl w:val="true"/>
        </w:rPr>
        <w:t>ומשהתעורר המערער</w:t>
      </w:r>
      <w:r>
        <w:rPr>
          <w:rtl w:val="true"/>
        </w:rPr>
        <w:t xml:space="preserve">, </w:t>
      </w:r>
      <w:r>
        <w:rPr>
          <w:rtl w:val="true"/>
        </w:rPr>
        <w:t>הוא הורה למתלונן למסור לו את מכשיר הטלפון הנייד שלו ואת הסיסמה לפתיחתו</w:t>
      </w:r>
      <w:r>
        <w:rPr>
          <w:rtl w:val="true"/>
        </w:rPr>
        <w:t xml:space="preserve">, </w:t>
      </w:r>
      <w:r>
        <w:rPr>
          <w:rtl w:val="true"/>
        </w:rPr>
        <w:t>ואיים עליו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נטל המערער את כרטיס הבנק של המתלונן והורה לו להתלוות אליו לכספומט הסמוך ולמשוך את כל הכסף המצוי בחשבונו</w:t>
      </w:r>
      <w:r>
        <w:rPr>
          <w:rtl w:val="true"/>
        </w:rPr>
        <w:t xml:space="preserve">. </w:t>
      </w:r>
      <w:r>
        <w:rPr>
          <w:rtl w:val="true"/>
        </w:rPr>
        <w:t xml:space="preserve">לאחר שהצליח למשוך מחשבונו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בלבד</w:t>
      </w:r>
      <w:r>
        <w:rPr>
          <w:rtl w:val="true"/>
        </w:rPr>
        <w:t xml:space="preserve">, </w:t>
      </w:r>
      <w:r>
        <w:rPr>
          <w:rtl w:val="true"/>
        </w:rPr>
        <w:t>דרש המערער מהמתלונן לשוב לכספומט מדי יום על מנת למסור לו סכומי כסף נוספים</w:t>
      </w:r>
      <w:r>
        <w:rPr>
          <w:rtl w:val="true"/>
        </w:rPr>
        <w:t xml:space="preserve">. </w:t>
      </w:r>
      <w:r>
        <w:rPr>
          <w:rtl w:val="true"/>
        </w:rPr>
        <w:t>כאשר עזב המערער את המקום</w:t>
      </w:r>
      <w:r>
        <w:rPr>
          <w:rtl w:val="true"/>
        </w:rPr>
        <w:t xml:space="preserve">, </w:t>
      </w:r>
      <w:r>
        <w:rPr>
          <w:rtl w:val="true"/>
        </w:rPr>
        <w:t>השליך את החולצה והגופייה שלו</w:t>
      </w:r>
      <w:r>
        <w:rPr>
          <w:rtl w:val="true"/>
        </w:rPr>
        <w:t xml:space="preserve">, </w:t>
      </w:r>
      <w:r>
        <w:rPr>
          <w:rtl w:val="true"/>
        </w:rPr>
        <w:t>אשר היו מגואלות בדם המתלונן</w:t>
      </w:r>
      <w:r>
        <w:rPr>
          <w:rtl w:val="true"/>
        </w:rPr>
        <w:t xml:space="preserve">, </w:t>
      </w:r>
      <w:r>
        <w:rPr>
          <w:rtl w:val="true"/>
        </w:rPr>
        <w:t>לפח האשפה בקרבת ביתו ונכנס לביתו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הטבעת</w:t>
      </w:r>
      <w:r>
        <w:rPr>
          <w:rtl w:val="true"/>
        </w:rPr>
        <w:t xml:space="preserve">, </w:t>
      </w:r>
      <w:r>
        <w:rPr>
          <w:rtl w:val="true"/>
        </w:rPr>
        <w:t>פצעי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בעורפו</w:t>
      </w:r>
      <w:r>
        <w:rPr>
          <w:rtl w:val="true"/>
        </w:rPr>
        <w:t xml:space="preserve">, </w:t>
      </w:r>
      <w:r>
        <w:rPr>
          <w:rtl w:val="true"/>
        </w:rPr>
        <w:t>בלחיו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ובגבו</w:t>
      </w:r>
      <w:r>
        <w:rPr>
          <w:rtl w:val="true"/>
        </w:rPr>
        <w:t xml:space="preserve">, </w:t>
      </w:r>
      <w:r>
        <w:rPr>
          <w:rtl w:val="true"/>
        </w:rPr>
        <w:t>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באפו</w:t>
      </w:r>
      <w:r>
        <w:rPr>
          <w:rtl w:val="true"/>
        </w:rPr>
        <w:t xml:space="preserve">, </w:t>
      </w:r>
      <w:r>
        <w:rPr>
          <w:rtl w:val="true"/>
        </w:rPr>
        <w:t>ופצעים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בלשונו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ובשפתיו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תחילה יוצג המערער על ידי הסניגוריה הציבורית</w:t>
      </w:r>
      <w:r>
        <w:rPr>
          <w:rtl w:val="true"/>
        </w:rPr>
        <w:t xml:space="preserve">. </w:t>
      </w:r>
      <w:r>
        <w:rPr>
          <w:rtl w:val="true"/>
        </w:rPr>
        <w:t>בתשובה מפורטת לכתב האישום הודה המערער בעבירות התקיפה והשוד</w:t>
      </w:r>
      <w:r>
        <w:rPr>
          <w:rtl w:val="true"/>
        </w:rPr>
        <w:t xml:space="preserve">, </w:t>
      </w:r>
      <w:r>
        <w:rPr>
          <w:rtl w:val="true"/>
        </w:rPr>
        <w:t>אך כפר בעבירות המין</w:t>
      </w:r>
      <w:r>
        <w:rPr>
          <w:rtl w:val="true"/>
        </w:rPr>
        <w:t xml:space="preserve">. </w:t>
      </w:r>
      <w:r>
        <w:rPr>
          <w:rtl w:val="true"/>
        </w:rPr>
        <w:t>כמו כן כפר בכך שנשך את המתלונן</w:t>
      </w:r>
      <w:r>
        <w:rPr>
          <w:rtl w:val="true"/>
        </w:rPr>
        <w:t xml:space="preserve">. </w:t>
      </w:r>
      <w:r>
        <w:rPr>
          <w:rtl w:val="true"/>
        </w:rPr>
        <w:t>המערער אישר כי לא הייתה היכרות מוקדמת בינו לבין המתלונן</w:t>
      </w:r>
      <w:r>
        <w:rPr>
          <w:rtl w:val="true"/>
        </w:rPr>
        <w:t xml:space="preserve">; </w:t>
      </w:r>
      <w:r>
        <w:rPr>
          <w:rtl w:val="true"/>
        </w:rPr>
        <w:t>כי נכח בזמן ובמקום המתוארים בכתב האישום</w:t>
      </w:r>
      <w:r>
        <w:rPr>
          <w:rtl w:val="true"/>
        </w:rPr>
        <w:t xml:space="preserve">; </w:t>
      </w:r>
      <w:r>
        <w:rPr>
          <w:rtl w:val="true"/>
        </w:rPr>
        <w:t>כי היה נתון במצב של שכרות</w:t>
      </w:r>
      <w:r>
        <w:rPr>
          <w:rtl w:val="true"/>
        </w:rPr>
        <w:t xml:space="preserve">; </w:t>
      </w:r>
      <w:r>
        <w:rPr>
          <w:rtl w:val="true"/>
        </w:rPr>
        <w:t>וכי תקף את המתלונן באופן משולח רסן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26.7.2018</w:t>
      </w:r>
      <w:r>
        <w:rPr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שרמן</w:t>
      </w:r>
      <w:r>
        <w:rPr>
          <w:rtl w:val="true"/>
        </w:rPr>
        <w:t xml:space="preserve">, </w:t>
      </w:r>
      <w:r>
        <w:rPr>
          <w:rtl w:val="true"/>
        </w:rPr>
        <w:t>והודגש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המוכחשות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וחלק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רפואיות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הגנתו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השתלשלות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הראיה המרכזית להוכחת האישום הייתה עדות המתלונן</w:t>
      </w:r>
      <w:r>
        <w:rPr>
          <w:rtl w:val="true"/>
        </w:rPr>
        <w:t xml:space="preserve">, </w:t>
      </w:r>
      <w:r>
        <w:rPr>
          <w:rtl w:val="true"/>
        </w:rPr>
        <w:t>אשר העיד בפירוט ובהרחבה על אודות אירועי אותו לילה</w:t>
      </w:r>
      <w:r>
        <w:rPr>
          <w:rtl w:val="true"/>
        </w:rPr>
        <w:t xml:space="preserve">. </w:t>
      </w:r>
      <w:r>
        <w:rPr>
          <w:rtl w:val="true"/>
        </w:rPr>
        <w:t>בית המשפט מצא כי עדותו של המתלונן הייתה קוהרנטית</w:t>
      </w:r>
      <w:r>
        <w:rPr>
          <w:rtl w:val="true"/>
        </w:rPr>
        <w:t xml:space="preserve">, </w:t>
      </w:r>
      <w:r>
        <w:rPr>
          <w:rtl w:val="true"/>
        </w:rPr>
        <w:t>עקבית וסדורה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נקבע כי ככל שנפלו אי</w:t>
      </w:r>
      <w:r>
        <w:rPr>
          <w:rtl w:val="true"/>
        </w:rPr>
        <w:t>-</w:t>
      </w:r>
      <w:r>
        <w:rPr>
          <w:rtl w:val="true"/>
        </w:rPr>
        <w:t>דיוקים מסוימים בין גרסאותיו</w:t>
      </w:r>
      <w:r>
        <w:rPr>
          <w:rtl w:val="true"/>
        </w:rPr>
        <w:t xml:space="preserve">, </w:t>
      </w:r>
      <w:r>
        <w:rPr>
          <w:rtl w:val="true"/>
        </w:rPr>
        <w:t>מדובר בעניין זניח ושולי שאין בו כדי להשפיע על מהימנותו</w:t>
      </w:r>
      <w:r>
        <w:rPr>
          <w:rtl w:val="true"/>
        </w:rPr>
        <w:t xml:space="preserve">. </w:t>
      </w:r>
      <w:r>
        <w:rPr>
          <w:rtl w:val="true"/>
        </w:rPr>
        <w:t>הובהר כי אין לצפות מקורבן עבירות אלימות</w:t>
      </w:r>
      <w:r>
        <w:rPr>
          <w:rtl w:val="true"/>
        </w:rPr>
        <w:t xml:space="preserve">, </w:t>
      </w:r>
      <w:r>
        <w:rPr>
          <w:rtl w:val="true"/>
        </w:rPr>
        <w:t>לא כל שכן עבירות מין שבוצעו באלימות</w:t>
      </w:r>
      <w:r>
        <w:rPr>
          <w:rtl w:val="true"/>
        </w:rPr>
        <w:t xml:space="preserve">, </w:t>
      </w:r>
      <w:r>
        <w:rPr>
          <w:rtl w:val="true"/>
        </w:rPr>
        <w:t>כי יצליח לתאר את שאירע לו בדיוק מירבי</w:t>
      </w:r>
      <w:r>
        <w:rPr>
          <w:rtl w:val="true"/>
        </w:rPr>
        <w:t xml:space="preserve">. </w:t>
      </w:r>
      <w:r>
        <w:rPr>
          <w:rtl w:val="true"/>
        </w:rPr>
        <w:t>עוד הודגש כי כל היסודות העובדתיים המהותיים בעדותו של המתלונן הוזכרו כבר בעת מסירת הודעתו הראשונה בבית החולים</w:t>
      </w:r>
      <w:r>
        <w:rPr>
          <w:rtl w:val="true"/>
        </w:rPr>
        <w:t xml:space="preserve">, </w:t>
      </w:r>
      <w:r>
        <w:rPr>
          <w:rtl w:val="true"/>
        </w:rPr>
        <w:t>שעות ספורות לאחר האירועים האלימים</w:t>
      </w:r>
      <w:r>
        <w:rPr>
          <w:rtl w:val="true"/>
        </w:rPr>
        <w:t xml:space="preserve">. </w:t>
      </w:r>
      <w:r>
        <w:rPr>
          <w:rtl w:val="true"/>
        </w:rPr>
        <w:t>פרטים רבים בתיאורו של המתלונן אף אומתו בראיות חיצוניות</w:t>
      </w:r>
      <w:r>
        <w:rPr>
          <w:rtl w:val="true"/>
        </w:rPr>
        <w:t xml:space="preserve">. </w:t>
      </w:r>
      <w:r>
        <w:rPr>
          <w:rtl w:val="true"/>
        </w:rPr>
        <w:t>כך למשל בכתובת שציין המתלונן בו אירעו חלק מהמעשים נמצא שולחן הפוך כפי שתיאר המתלונן ועליו דמו</w:t>
      </w:r>
      <w:r>
        <w:rPr>
          <w:rtl w:val="true"/>
        </w:rPr>
        <w:t xml:space="preserve">, </w:t>
      </w:r>
      <w:r>
        <w:rPr>
          <w:rtl w:val="true"/>
        </w:rPr>
        <w:t>באופן המחזק את תיאור הדברים על פיו הוא הופל על הרצפה וראשו נחבט בשולחן</w:t>
      </w:r>
      <w:r>
        <w:rPr>
          <w:rtl w:val="true"/>
        </w:rPr>
        <w:t xml:space="preserve">. </w:t>
      </w:r>
      <w:r>
        <w:rPr>
          <w:rtl w:val="true"/>
        </w:rPr>
        <w:t>כך גם נמצא נוזל זרע על הקיר בדיוק במקום שבו תיאר המתלונן כי המערער הגיע לסיפוקו</w:t>
      </w:r>
      <w:r>
        <w:rPr>
          <w:rtl w:val="true"/>
        </w:rPr>
        <w:t xml:space="preserve">. </w:t>
      </w:r>
      <w:r>
        <w:rPr>
          <w:rtl w:val="true"/>
        </w:rPr>
        <w:t>גרסת המתלונן לפיה הוכנס לחצר אחד הבניינים גם קיבלה חיזוק בין היתר</w:t>
      </w:r>
      <w:r>
        <w:rPr>
          <w:rtl w:val="true"/>
        </w:rPr>
        <w:t xml:space="preserve">, </w:t>
      </w:r>
      <w:r>
        <w:rPr>
          <w:rtl w:val="true"/>
        </w:rPr>
        <w:t>מעדותו של ב</w:t>
      </w:r>
      <w:r>
        <w:rPr>
          <w:rtl w:val="true"/>
        </w:rPr>
        <w:t xml:space="preserve">'. </w:t>
      </w:r>
      <w:r>
        <w:rPr>
          <w:rtl w:val="true"/>
        </w:rPr>
        <w:t>גם עדויותיהם של הורי המתלונן נמצאו אמינות</w:t>
      </w:r>
      <w:r>
        <w:rPr>
          <w:rtl w:val="true"/>
        </w:rPr>
        <w:t xml:space="preserve">, </w:t>
      </w:r>
      <w:r>
        <w:rPr>
          <w:rtl w:val="true"/>
        </w:rPr>
        <w:t>לרבות בעניין המצוקה הקשה ממנה סבל המתלונן חודשים ארוכים לאחר האירועים באופן המחזק את האותנטיות של עדותו</w:t>
      </w:r>
      <w:r>
        <w:rPr>
          <w:rtl w:val="true"/>
        </w:rPr>
        <w:t xml:space="preserve">. </w:t>
      </w:r>
      <w:r>
        <w:rPr>
          <w:rtl w:val="true"/>
        </w:rPr>
        <w:t>להן הצטרפו עדויות נוספות של אנשי מקצוע בסמוך לאחר אירועי הלילה לפיהן היה המתלונן במצב נפשי וגופני קשה</w:t>
      </w:r>
      <w:r>
        <w:rPr>
          <w:rtl w:val="true"/>
        </w:rPr>
        <w:t xml:space="preserve">, </w:t>
      </w:r>
      <w:r>
        <w:rPr>
          <w:rtl w:val="true"/>
        </w:rPr>
        <w:t>באופן התואם הן את עבירות האלימות והן את עבירות המין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בית המשפט לא מצא לתת אמון בגרסת המערער</w:t>
      </w:r>
      <w:r>
        <w:rPr>
          <w:rtl w:val="true"/>
        </w:rPr>
        <w:t xml:space="preserve">, </w:t>
      </w:r>
      <w:r>
        <w:rPr>
          <w:rtl w:val="true"/>
        </w:rPr>
        <w:t>נוכח הסתירות הרבות שנגלו בה</w:t>
      </w:r>
      <w:r>
        <w:rPr>
          <w:rtl w:val="true"/>
        </w:rPr>
        <w:t xml:space="preserve">. </w:t>
      </w:r>
      <w:r>
        <w:rPr>
          <w:rtl w:val="true"/>
        </w:rPr>
        <w:t>המערער שיקר בחקירותיו במשטרה כי אינו זוכר דבר</w:t>
      </w:r>
      <w:r>
        <w:rPr>
          <w:rtl w:val="true"/>
        </w:rPr>
        <w:t xml:space="preserve">, </w:t>
      </w:r>
      <w:r>
        <w:rPr>
          <w:rtl w:val="true"/>
        </w:rPr>
        <w:t>כאשר מאוחר יותר הודה בעבירות האלימות</w:t>
      </w:r>
      <w:r>
        <w:rPr>
          <w:rtl w:val="true"/>
        </w:rPr>
        <w:t xml:space="preserve">. </w:t>
      </w:r>
      <w:r>
        <w:rPr>
          <w:rtl w:val="true"/>
        </w:rPr>
        <w:t>דרך</w:t>
      </w:r>
      <w:r>
        <w:rPr>
          <w:rtl w:val="true"/>
        </w:rPr>
        <w:t xml:space="preserve"> השקר בה בחר להתמודד עם החשדות</w:t>
      </w:r>
      <w:r>
        <w:rPr>
          <w:rtl w:val="true"/>
        </w:rPr>
        <w:t xml:space="preserve">, </w:t>
      </w:r>
      <w:r>
        <w:rPr>
          <w:rtl w:val="true"/>
        </w:rPr>
        <w:t>בה דבק גם במענה שמסר לכתב האישום וגם בעדותו בבית המשפט</w:t>
      </w:r>
      <w:r>
        <w:rPr>
          <w:rtl w:val="true"/>
        </w:rPr>
        <w:t xml:space="preserve">, </w:t>
      </w:r>
      <w:r>
        <w:rPr>
          <w:rtl w:val="true"/>
        </w:rPr>
        <w:t>אז ניסה להפחית מעוצמת האלימות שנקט כלפי המתלונן</w:t>
      </w:r>
      <w:r>
        <w:rPr>
          <w:rtl w:val="true"/>
        </w:rPr>
        <w:t xml:space="preserve">, </w:t>
      </w:r>
      <w:r>
        <w:rPr>
          <w:rtl w:val="true"/>
        </w:rPr>
        <w:t>מפחיתה מאמינותו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בנוסף התייחס בית המשפט בהרחבה לקו ההגנה בו דבק המערער</w:t>
      </w:r>
      <w:r>
        <w:rPr>
          <w:rtl w:val="true"/>
        </w:rPr>
        <w:t xml:space="preserve">, </w:t>
      </w:r>
      <w:r>
        <w:rPr>
          <w:rtl w:val="true"/>
        </w:rPr>
        <w:t>באמצעות 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רועי שרמן</w:t>
      </w:r>
      <w:r>
        <w:rPr>
          <w:rtl w:val="true"/>
        </w:rPr>
        <w:t xml:space="preserve">, </w:t>
      </w:r>
      <w:r>
        <w:rPr>
          <w:rtl w:val="true"/>
        </w:rPr>
        <w:t>אשר היה רווי שקרים בנוגע למתלונן</w:t>
      </w:r>
      <w:r>
        <w:rPr>
          <w:rtl w:val="true"/>
        </w:rPr>
        <w:t xml:space="preserve">. </w:t>
      </w:r>
      <w:r>
        <w:rPr>
          <w:rtl w:val="true"/>
        </w:rPr>
        <w:t>נטען כי המתלונן הוא עבריין מין הומוסקסואל</w:t>
      </w:r>
      <w:r>
        <w:rPr>
          <w:rtl w:val="true"/>
        </w:rPr>
        <w:t xml:space="preserve">, </w:t>
      </w:r>
      <w:r>
        <w:rPr>
          <w:rtl w:val="true"/>
        </w:rPr>
        <w:t>הנוהג לסחוט אחרים באיומים</w:t>
      </w:r>
      <w:r>
        <w:rPr>
          <w:rtl w:val="true"/>
        </w:rPr>
        <w:t xml:space="preserve">, </w:t>
      </w:r>
      <w:r>
        <w:rPr>
          <w:rtl w:val="true"/>
        </w:rPr>
        <w:t>וכי הוא קיים יחסי מין אנאליים עובר לאירועים מושא האישום באופן שמסביר את החבלות בפי הטבעת שלו</w:t>
      </w:r>
      <w:r>
        <w:rPr>
          <w:rtl w:val="true"/>
        </w:rPr>
        <w:t xml:space="preserve">. </w:t>
      </w:r>
      <w:r>
        <w:rPr>
          <w:rtl w:val="true"/>
        </w:rPr>
        <w:t>בית המשפט קבע כי קו הגנה זה התברר כשקרי לחלוטין כאשר לא הובאה ולוּ ראשית ראיה להוכחת הטענות הקשות שהוטחו במתלונן</w:t>
      </w:r>
      <w:r>
        <w:rPr>
          <w:rtl w:val="true"/>
        </w:rPr>
        <w:t xml:space="preserve">. </w:t>
      </w:r>
      <w:r>
        <w:rPr>
          <w:rtl w:val="true"/>
        </w:rPr>
        <w:t>עדויות מטעם ההגנה אשר נועדו לבסס את התזה בדבר אופיו והתנהלותו של המתלונן לא נמצאו תואמות את המציאות</w:t>
      </w:r>
      <w:r>
        <w:rPr>
          <w:rtl w:val="true"/>
        </w:rPr>
        <w:t xml:space="preserve">, </w:t>
      </w:r>
      <w:r>
        <w:rPr>
          <w:rtl w:val="true"/>
        </w:rPr>
        <w:t>בלשון המעטה</w:t>
      </w:r>
      <w:r>
        <w:rPr>
          <w:rtl w:val="true"/>
        </w:rPr>
        <w:t xml:space="preserve">, </w:t>
      </w:r>
      <w:r>
        <w:rPr>
          <w:rtl w:val="true"/>
        </w:rPr>
        <w:t xml:space="preserve">ובכל מקרה לא נמצא בהן דבר </w:t>
      </w:r>
      <w:r>
        <w:rPr>
          <w:rtl w:val="true"/>
        </w:rPr>
        <w:t xml:space="preserve">המוכיח </w:t>
      </w:r>
      <w:r>
        <w:rPr>
          <w:rtl w:val="true"/>
        </w:rPr>
        <w:t>את הטענות שהעלה בא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 xml:space="preserve">. </w:t>
      </w:r>
      <w:r>
        <w:rPr>
          <w:rtl w:val="true"/>
        </w:rPr>
        <w:t>גם הטענה כי נעשו ניסיונות להפחיד עדים נוספים לא הוכחה כלל וכלל</w:t>
      </w:r>
      <w:r>
        <w:rPr>
          <w:rtl w:val="true"/>
        </w:rPr>
        <w:t xml:space="preserve">, </w:t>
      </w:r>
      <w:r>
        <w:rPr>
          <w:rtl w:val="true"/>
        </w:rPr>
        <w:t>על אף שבא</w:t>
      </w:r>
      <w:r>
        <w:rPr>
          <w:rtl w:val="true"/>
        </w:rPr>
        <w:t>-</w:t>
      </w:r>
      <w:r>
        <w:rPr>
          <w:rtl w:val="true"/>
        </w:rPr>
        <w:t>כוחו של המערער חזר עליה שוב ושוב</w:t>
      </w:r>
      <w:r>
        <w:rPr>
          <w:rtl w:val="true"/>
        </w:rPr>
        <w:t xml:space="preserve">. </w:t>
      </w:r>
      <w:r>
        <w:rPr>
          <w:rtl w:val="true"/>
        </w:rPr>
        <w:t>עוד צוין כי שאלות בא</w:t>
      </w:r>
      <w:r>
        <w:rPr>
          <w:rtl w:val="true"/>
        </w:rPr>
        <w:t>-</w:t>
      </w:r>
      <w:r>
        <w:rPr>
          <w:rtl w:val="true"/>
        </w:rPr>
        <w:t>כוחו של המערער שהוצגו למתלונן</w:t>
      </w:r>
      <w:r>
        <w:rPr>
          <w:rtl w:val="true"/>
        </w:rPr>
        <w:t xml:space="preserve">, </w:t>
      </w:r>
      <w:r>
        <w:rPr>
          <w:rtl w:val="true"/>
        </w:rPr>
        <w:t>להוריו ואף ל</w:t>
      </w:r>
      <w:r>
        <w:rPr>
          <w:rtl w:val="true"/>
        </w:rPr>
        <w:t>-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שלומד בבית ספרו של המתלונן</w:t>
      </w:r>
      <w:r>
        <w:rPr>
          <w:rtl w:val="true"/>
        </w:rPr>
        <w:t xml:space="preserve">, </w:t>
      </w:r>
      <w:r>
        <w:rPr>
          <w:rtl w:val="true"/>
        </w:rPr>
        <w:t>בקשר להתנהגותו הנטענת של המתלונן</w:t>
      </w:r>
      <w:r>
        <w:rPr>
          <w:rtl w:val="true"/>
        </w:rPr>
        <w:t xml:space="preserve">, </w:t>
      </w:r>
      <w:r>
        <w:rPr>
          <w:rtl w:val="true"/>
        </w:rPr>
        <w:t>היו בוטות וקשות והיה בהן כדי לגרום למבוכה רבה למתלונן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והשוד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ההכרעה</w:t>
      </w:r>
      <w:r>
        <w:rPr>
          <w:rtl w:val="true"/>
        </w:rPr>
        <w:t xml:space="preserve">, </w:t>
      </w:r>
      <w:r>
        <w:rPr>
          <w:rtl w:val="true"/>
        </w:rPr>
        <w:t>הוגש תסקיר שירות המבחן בעניינו של המערער</w:t>
      </w:r>
      <w:r>
        <w:rPr>
          <w:rtl w:val="true"/>
        </w:rPr>
        <w:t xml:space="preserve">, </w:t>
      </w:r>
      <w:r>
        <w:rPr>
          <w:rtl w:val="true"/>
        </w:rPr>
        <w:t>בו צוין כי המערער מגלה קושי משמעותי לקבל גבולות חיצוניים</w:t>
      </w:r>
      <w:r>
        <w:rPr>
          <w:rtl w:val="true"/>
        </w:rPr>
        <w:t xml:space="preserve">, </w:t>
      </w:r>
      <w:r>
        <w:rPr>
          <w:rtl w:val="true"/>
        </w:rPr>
        <w:t>נעדר גבולות פנימיים והוא מרוכז בצרכיו ובמצבו כאשר הוא רואה בזולת אובייקט שנועד לשרת את צרכיו</w:t>
      </w:r>
      <w:r>
        <w:rPr>
          <w:rtl w:val="true"/>
        </w:rPr>
        <w:t xml:space="preserve">. </w:t>
      </w:r>
      <w:r>
        <w:rPr>
          <w:rtl w:val="true"/>
        </w:rPr>
        <w:t>הובהר כי המערער טרם השתלב במסגרת טיפולית למרות שהדבר הוצע לו</w:t>
      </w:r>
      <w:r>
        <w:rPr>
          <w:rtl w:val="true"/>
        </w:rPr>
        <w:t xml:space="preserve">. </w:t>
      </w:r>
      <w:r>
        <w:rPr>
          <w:rtl w:val="true"/>
        </w:rPr>
        <w:t>גורמי הטיפול בבית המעצר בו נמצא המערער דיווחו על שינוי ראשוני חיובי בהתנהלותו הנוכחית ובהתייחסותו לעבירות</w:t>
      </w:r>
      <w:r>
        <w:rPr>
          <w:rtl w:val="true"/>
        </w:rPr>
        <w:t xml:space="preserve">, </w:t>
      </w:r>
      <w:r>
        <w:rPr>
          <w:rtl w:val="true"/>
        </w:rPr>
        <w:t>כאשר הובהר כי אם יחול שינוי ביכולתו לקבל על עצמו אחריות למעשיו החמורים ולעומק בעייתיות מצבו</w:t>
      </w:r>
      <w:r>
        <w:rPr>
          <w:rtl w:val="true"/>
        </w:rPr>
        <w:t xml:space="preserve">, </w:t>
      </w:r>
      <w:r>
        <w:rPr>
          <w:rtl w:val="true"/>
        </w:rPr>
        <w:t xml:space="preserve">הוא ישולב </w:t>
      </w:r>
      <w:r>
        <w:rPr>
          <w:rtl w:val="true"/>
        </w:rPr>
        <w:t>בהליך שיקום</w:t>
      </w:r>
      <w:r>
        <w:rPr>
          <w:rtl w:val="true"/>
        </w:rPr>
        <w:t xml:space="preserve"> ממושך ואינטנסיבי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להתרשמות שירות המבחן קיים סיכון משמעותי להישנות מעורבותו בפלילים בכלל ובתחום עבריינות המין בפרט</w:t>
      </w:r>
      <w:r>
        <w:rPr>
          <w:rtl w:val="true"/>
        </w:rPr>
        <w:t xml:space="preserve">, </w:t>
      </w:r>
      <w:r>
        <w:rPr>
          <w:rtl w:val="true"/>
        </w:rPr>
        <w:t>והומלץ על ענישה מציבת גבולות ברורים בדמות מאסר מאחורי סורג ובריח לתקופה ממושכת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11.5.2020</w:t>
      </w:r>
      <w:r>
        <w:rPr>
          <w:rtl w:val="true"/>
        </w:rPr>
        <w:t xml:space="preserve"> </w:t>
      </w:r>
      <w:r>
        <w:rPr>
          <w:rtl w:val="true"/>
        </w:rPr>
        <w:t>ניתן גזר הדין</w:t>
      </w:r>
      <w:r>
        <w:rPr>
          <w:rtl w:val="true"/>
        </w:rPr>
        <w:t xml:space="preserve">. </w:t>
      </w:r>
      <w:r>
        <w:rPr>
          <w:rtl w:val="true"/>
        </w:rPr>
        <w:t>נקבע כי מדובר במסכת אירועים מתמשכת המהווה תכנית עבריינית אחת</w:t>
      </w:r>
      <w:r>
        <w:rPr>
          <w:rtl w:val="true"/>
        </w:rPr>
        <w:t xml:space="preserve">, </w:t>
      </w:r>
      <w:r>
        <w:rPr>
          <w:rtl w:val="true"/>
        </w:rPr>
        <w:t>שתחילתה בתקיפת המתלונן באלימות תוך השמעת איומים כלפי עובר אורח</w:t>
      </w:r>
      <w:r>
        <w:rPr>
          <w:rtl w:val="true"/>
        </w:rPr>
        <w:t xml:space="preserve">, </w:t>
      </w:r>
      <w:r>
        <w:rPr>
          <w:rtl w:val="true"/>
        </w:rPr>
        <w:t>המשכה בביצוע שרשרת עבירות מין וסופה בשוד המתלונן</w:t>
      </w:r>
      <w:r>
        <w:rPr>
          <w:rtl w:val="true"/>
        </w:rPr>
        <w:t xml:space="preserve">. </w:t>
      </w:r>
      <w:r>
        <w:rPr>
          <w:rtl w:val="true"/>
        </w:rPr>
        <w:t>לפיכך מצא בית המשפט לנכון לקבוע מתחם עונש אחד לאירוע כולו</w:t>
      </w:r>
      <w:r>
        <w:rPr>
          <w:rtl w:val="true"/>
        </w:rPr>
        <w:t xml:space="preserve">. </w:t>
      </w:r>
      <w:r>
        <w:rPr>
          <w:rtl w:val="true"/>
        </w:rPr>
        <w:t>בהתחשב בחומרת העבירות</w:t>
      </w:r>
      <w:r>
        <w:rPr>
          <w:rtl w:val="true"/>
        </w:rPr>
        <w:t xml:space="preserve">, </w:t>
      </w:r>
      <w:r>
        <w:rPr>
          <w:rtl w:val="true"/>
        </w:rPr>
        <w:t>אשר נקבע כי הן מזעזעות ברשעותן ואכזריותן</w:t>
      </w:r>
      <w:r>
        <w:rPr>
          <w:rtl w:val="true"/>
        </w:rPr>
        <w:t xml:space="preserve">, </w:t>
      </w:r>
      <w:r>
        <w:rPr>
          <w:rtl w:val="true"/>
        </w:rPr>
        <w:t>במידת אשמו של המערער ובנסיבות הקשורות בביצוע העבירות</w:t>
      </w:r>
      <w:r>
        <w:rPr>
          <w:rtl w:val="true"/>
        </w:rPr>
        <w:t xml:space="preserve">, </w:t>
      </w:r>
      <w:r>
        <w:rPr>
          <w:rtl w:val="true"/>
        </w:rPr>
        <w:t>ובכלל זה בכך שמדובר באירוע אשר נראה כי תוכנן תוך כדי מעשה</w:t>
      </w:r>
      <w:r>
        <w:rPr>
          <w:rtl w:val="true"/>
        </w:rPr>
        <w:t xml:space="preserve">, </w:t>
      </w:r>
      <w:r>
        <w:rPr>
          <w:rtl w:val="true"/>
        </w:rPr>
        <w:t>כאשר כל פרק הוביל לפרק מזעזע נוסף</w:t>
      </w:r>
      <w:r>
        <w:rPr>
          <w:rtl w:val="true"/>
        </w:rPr>
        <w:t xml:space="preserve">; </w:t>
      </w:r>
      <w:r>
        <w:rPr>
          <w:rtl w:val="true"/>
        </w:rPr>
        <w:t>בנזק שנגרם למתלונן על פי תסקיר נפגע העבירה בהינתן שמדובר בבחור צעיר שעמד לפני גיוס 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אשר מסלול חייו השתנה ללא הכר</w:t>
      </w:r>
      <w:r>
        <w:rPr>
          <w:rtl w:val="true"/>
        </w:rPr>
        <w:t xml:space="preserve">, </w:t>
      </w:r>
      <w:r>
        <w:rPr>
          <w:rtl w:val="true"/>
        </w:rPr>
        <w:t>בנזקים הפיזיים והנפשיים המפליגים שנגרמו לו</w:t>
      </w:r>
      <w:r>
        <w:rPr>
          <w:rtl w:val="true"/>
        </w:rPr>
        <w:t xml:space="preserve">; </w:t>
      </w:r>
      <w:r>
        <w:rPr>
          <w:rtl w:val="true"/>
        </w:rPr>
        <w:t>בכך שהמערער תקף את המתלונן ללא סיבה למעט סיפוק צרכיו האפלים והסדיסטיים</w:t>
      </w:r>
      <w:r>
        <w:rPr>
          <w:rtl w:val="true"/>
        </w:rPr>
        <w:t xml:space="preserve">; </w:t>
      </w:r>
      <w:r>
        <w:rPr>
          <w:rtl w:val="true"/>
        </w:rPr>
        <w:t>באכזריות הרבה של המעשים</w:t>
      </w:r>
      <w:r>
        <w:rPr>
          <w:rtl w:val="true"/>
        </w:rPr>
        <w:t xml:space="preserve">, </w:t>
      </w:r>
      <w:r>
        <w:rPr>
          <w:rtl w:val="true"/>
        </w:rPr>
        <w:t>ובהינתן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 xml:space="preserve">העמיד בית המשפט את מתחם העונש ההולם על </w:t>
      </w:r>
      <w:r>
        <w:rPr/>
        <w:t>23-18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לצורך קביעת העונש בתוך המתחם נלקח בחשבון עברו הפלילי בעבירות אלימות</w:t>
      </w:r>
      <w:r>
        <w:rPr>
          <w:rtl w:val="true"/>
        </w:rPr>
        <w:t xml:space="preserve">; </w:t>
      </w:r>
      <w:r>
        <w:rPr>
          <w:rtl w:val="true"/>
        </w:rPr>
        <w:t>העובדה שהמערער ניהל הליך הוכחות עד תום משכפר בעבירות המין שיוחסו לו</w:t>
      </w:r>
      <w:r>
        <w:rPr>
          <w:rtl w:val="true"/>
        </w:rPr>
        <w:t xml:space="preserve">, </w:t>
      </w:r>
      <w:r>
        <w:rPr>
          <w:rtl w:val="true"/>
        </w:rPr>
        <w:t>ולא נעשה כל מאמץ מצדו לתיקון תוצאות מעשיו</w:t>
      </w:r>
      <w:r>
        <w:rPr>
          <w:rtl w:val="true"/>
        </w:rPr>
        <w:t xml:space="preserve">; </w:t>
      </w:r>
      <w:r>
        <w:rPr>
          <w:rtl w:val="true"/>
        </w:rPr>
        <w:t>האופן שבו נוהלה הגנתו ובכלל זה קו ההגנה הבוטה שגרם לעוגמת נפש רבה למתלונן ולהוריו</w:t>
      </w:r>
      <w:r>
        <w:rPr>
          <w:rtl w:val="true"/>
        </w:rPr>
        <w:t xml:space="preserve">. </w:t>
      </w:r>
      <w:r>
        <w:rPr>
          <w:rtl w:val="true"/>
        </w:rPr>
        <w:t>בתוך כך ניתן משקל לעמדת שירות המבחן על פיה קיים סיכון משמעותי להישנות מעורבותו של המערער בפלילים</w:t>
      </w:r>
      <w:r>
        <w:rPr>
          <w:rtl w:val="true"/>
        </w:rPr>
        <w:t xml:space="preserve">. </w:t>
      </w:r>
      <w:r>
        <w:rPr>
          <w:rtl w:val="true"/>
        </w:rPr>
        <w:t>צוין כי על פי תסקיר שירות המבחן ילדותו של המערער לא הייתה קלה</w:t>
      </w:r>
      <w:r>
        <w:rPr>
          <w:rtl w:val="true"/>
        </w:rPr>
        <w:t xml:space="preserve">, </w:t>
      </w:r>
      <w:r>
        <w:rPr>
          <w:rtl w:val="true"/>
        </w:rPr>
        <w:t>אולם הובהר כי נעשו מספר ניסיונות לשקם אותו אשר עלו בתוהו נוכח חוסר שיתוף פעולה מצדו</w:t>
      </w:r>
      <w:r>
        <w:rPr>
          <w:rtl w:val="true"/>
        </w:rPr>
        <w:t xml:space="preserve">. </w:t>
      </w:r>
      <w:r>
        <w:rPr>
          <w:rtl w:val="true"/>
        </w:rPr>
        <w:t>עוד צוין כי לצד נסיבות אלה יש להעניק משקל בכורה לחומרת המעשים ולשיקולים של הרתעה</w:t>
      </w:r>
      <w:r>
        <w:rPr>
          <w:rtl w:val="true"/>
        </w:rPr>
        <w:t xml:space="preserve">. </w:t>
      </w:r>
      <w:r>
        <w:rPr>
          <w:rtl w:val="true"/>
        </w:rPr>
        <w:t>בהינתן כל אלה הגיע בית המשפט למסקנה כי ענישת המערער צריכה לעמוד ברף הגבוה של המתחם</w:t>
      </w:r>
      <w:r>
        <w:rPr>
          <w:rtl w:val="true"/>
        </w:rPr>
        <w:t xml:space="preserve">, </w:t>
      </w:r>
      <w:r>
        <w:rPr>
          <w:rtl w:val="true"/>
        </w:rPr>
        <w:t>אם כי לא ברף הגבוה ביותר</w:t>
      </w:r>
      <w:r>
        <w:rPr>
          <w:rtl w:val="true"/>
        </w:rPr>
        <w:t xml:space="preserve">, </w:t>
      </w:r>
      <w:r>
        <w:rPr>
          <w:rtl w:val="true"/>
        </w:rPr>
        <w:t>נוכח גילו הצעיר יחסית ושאר נסיבות לקולא</w:t>
      </w:r>
      <w:r>
        <w:rPr>
          <w:rtl w:val="true"/>
        </w:rPr>
        <w:t xml:space="preserve">. </w:t>
      </w:r>
      <w:r>
        <w:rPr>
          <w:rtl w:val="true"/>
        </w:rPr>
        <w:t>לפיכך הוטלו עליו העונשים שפורטו לעיל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תחילה הגיש המערער ערעור הן על הכרעת הדין והן על גזר הדין</w:t>
      </w:r>
      <w:r>
        <w:rPr>
          <w:rtl w:val="true"/>
        </w:rPr>
        <w:t xml:space="preserve">. </w:t>
      </w:r>
      <w:r>
        <w:rPr>
          <w:rtl w:val="true"/>
        </w:rPr>
        <w:t>בבסיס ערעורו על הכרעת הדין עמדה טענת המערער</w:t>
      </w:r>
      <w:r>
        <w:rPr>
          <w:rtl w:val="true"/>
        </w:rPr>
        <w:t xml:space="preserve">, </w:t>
      </w:r>
      <w:r>
        <w:rPr>
          <w:rtl w:val="true"/>
        </w:rPr>
        <w:t>אשר שוב החליף את 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כשל בייצוג</w:t>
      </w:r>
      <w:r>
        <w:rPr>
          <w:rtl w:val="true"/>
        </w:rPr>
        <w:t xml:space="preserve">". </w:t>
      </w:r>
      <w:r>
        <w:rPr>
          <w:rtl w:val="true"/>
        </w:rPr>
        <w:t>נטען בעיקר</w:t>
      </w:r>
      <w:r>
        <w:rPr>
          <w:rtl w:val="true"/>
        </w:rPr>
        <w:t xml:space="preserve">, </w:t>
      </w:r>
      <w:r>
        <w:rPr>
          <w:rtl w:val="true"/>
        </w:rPr>
        <w:t>כי עו</w:t>
      </w:r>
      <w:r>
        <w:rPr>
          <w:rtl w:val="true"/>
        </w:rPr>
        <w:t>"</w:t>
      </w:r>
      <w:r>
        <w:rPr>
          <w:rtl w:val="true"/>
        </w:rPr>
        <w:t>ד שרמן הוא זה אשר בדה את הגרסה ה</w:t>
      </w:r>
      <w:r>
        <w:rPr>
          <w:rtl w:val="true"/>
        </w:rPr>
        <w:t>"</w:t>
      </w:r>
      <w:r>
        <w:rPr>
          <w:rtl w:val="true"/>
        </w:rPr>
        <w:t>משחירה</w:t>
      </w:r>
      <w:r>
        <w:rPr>
          <w:rtl w:val="true"/>
        </w:rPr>
        <w:t xml:space="preserve">" </w:t>
      </w:r>
      <w:r>
        <w:rPr>
          <w:rtl w:val="true"/>
        </w:rPr>
        <w:t>את המתלונן</w:t>
      </w:r>
      <w:r>
        <w:rPr>
          <w:rtl w:val="true"/>
        </w:rPr>
        <w:t xml:space="preserve">, </w:t>
      </w:r>
      <w:r>
        <w:rPr>
          <w:rtl w:val="true"/>
        </w:rPr>
        <w:t>ויצר קו הגנה המנותק מחומר הראיות ושאינו מבוסס על גרסת המערער</w:t>
      </w:r>
      <w:r>
        <w:rPr>
          <w:rtl w:val="true"/>
        </w:rPr>
        <w:t xml:space="preserve">, </w:t>
      </w:r>
      <w:r>
        <w:rPr>
          <w:rtl w:val="true"/>
        </w:rPr>
        <w:t>תוך הולכת המערער ומשפחתו בכחש</w:t>
      </w:r>
      <w:r>
        <w:rPr>
          <w:rtl w:val="true"/>
        </w:rPr>
        <w:t xml:space="preserve">. </w:t>
      </w:r>
      <w:r>
        <w:rPr>
          <w:rtl w:val="true"/>
        </w:rPr>
        <w:t>דבר זה גם הביא את בית המשפט המחוזי שלא לדון בחולשות הראייתיות שבתיק</w:t>
      </w:r>
      <w:r>
        <w:rPr>
          <w:rtl w:val="true"/>
        </w:rPr>
        <w:t xml:space="preserve">, </w:t>
      </w:r>
      <w:r>
        <w:rPr>
          <w:rtl w:val="true"/>
        </w:rPr>
        <w:t>כאשר המערער הצטייר לפני בית המשפט כאדם שאינו אמין ומניפולטיבי</w:t>
      </w:r>
      <w:r>
        <w:rPr>
          <w:rtl w:val="true"/>
        </w:rPr>
        <w:t xml:space="preserve">. </w:t>
      </w:r>
      <w:r>
        <w:rPr>
          <w:rtl w:val="true"/>
        </w:rPr>
        <w:t xml:space="preserve">צוין כי לגרסתו של המערער </w:t>
      </w:r>
      <w:r>
        <w:rPr>
          <w:rtl w:val="true"/>
        </w:rPr>
        <w:t>–</w:t>
      </w:r>
      <w:r>
        <w:rPr>
          <w:rtl w:val="true"/>
        </w:rPr>
        <w:t xml:space="preserve"> כאשר לטענת בא</w:t>
      </w:r>
      <w:r>
        <w:rPr>
          <w:rtl w:val="true"/>
        </w:rPr>
        <w:t>-</w:t>
      </w:r>
      <w:r>
        <w:rPr>
          <w:rtl w:val="true"/>
        </w:rPr>
        <w:t xml:space="preserve">כוחו דהיום מדובר בגרסה העקבית עליה עמד בשינויים קלים לכל אורך הדרך </w:t>
      </w:r>
      <w:r>
        <w:rPr>
          <w:rtl w:val="true"/>
        </w:rPr>
        <w:t>–</w:t>
      </w:r>
      <w:r>
        <w:rPr>
          <w:rtl w:val="true"/>
        </w:rPr>
        <w:t xml:space="preserve"> המערער היה מצוי במצב של שכרות קיצונית עד שלא זכר דבר שאירע באותו הלילה</w:t>
      </w:r>
      <w:r>
        <w:rPr>
          <w:rtl w:val="true"/>
        </w:rPr>
        <w:t xml:space="preserve">. </w:t>
      </w:r>
      <w:r>
        <w:rPr>
          <w:rtl w:val="true"/>
        </w:rPr>
        <w:t>הגם כי נוכח מכלול הראיות ונטייתו לאלימות סביר שאכן התרחשו אירועי האלימות</w:t>
      </w:r>
      <w:r>
        <w:rPr>
          <w:rtl w:val="true"/>
        </w:rPr>
        <w:t xml:space="preserve">, </w:t>
      </w:r>
      <w:r>
        <w:rPr>
          <w:rtl w:val="true"/>
        </w:rPr>
        <w:t>לא ניתן לומר שהוכח מעבר לספק סביר ביצוען של עבירות המין</w:t>
      </w:r>
      <w:r>
        <w:rPr>
          <w:rtl w:val="true"/>
        </w:rPr>
        <w:t xml:space="preserve">, </w:t>
      </w:r>
      <w:r>
        <w:rPr>
          <w:rtl w:val="true"/>
        </w:rPr>
        <w:t>אשר גם אינן עולות בקנה אחד עם נטייתו המינית של המערער</w:t>
      </w:r>
      <w:r>
        <w:rPr>
          <w:rtl w:val="true"/>
        </w:rPr>
        <w:t xml:space="preserve">. </w:t>
      </w:r>
      <w:r>
        <w:rPr>
          <w:rtl w:val="true"/>
        </w:rPr>
        <w:t>עוד נטען כי במסגרת ההליך בבית המשפט המחוזי הוגש חומר ראיות רב בהסכמה מבלי שהוצגו הקשיים שבו</w:t>
      </w:r>
      <w:r>
        <w:rPr>
          <w:rtl w:val="true"/>
        </w:rPr>
        <w:t xml:space="preserve">, </w:t>
      </w:r>
      <w:r>
        <w:rPr>
          <w:rtl w:val="true"/>
        </w:rPr>
        <w:t>אשר יש בהם כדי לעורר ספק בדבר ביצוען של עבירות המין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העלה המערער טענות נגד גזר הדין שהושת עליו</w:t>
      </w:r>
      <w:r>
        <w:rPr>
          <w:rtl w:val="true"/>
        </w:rPr>
        <w:t xml:space="preserve">. </w:t>
      </w:r>
      <w:r>
        <w:rPr>
          <w:rtl w:val="true"/>
        </w:rPr>
        <w:t>באשר לאופן שבו נקבע מתחם הענישה בעניינו</w:t>
      </w:r>
      <w:r>
        <w:rPr>
          <w:rtl w:val="true"/>
        </w:rPr>
        <w:t xml:space="preserve">, </w:t>
      </w:r>
      <w:r>
        <w:rPr>
          <w:rtl w:val="true"/>
        </w:rPr>
        <w:t>לדבריו בית המשפט בחן את מתחם העונש ההולם לגבי אירוע האלימות בנפרד ולגבי אירוע השוד בנפרד</w:t>
      </w:r>
      <w:r>
        <w:rPr>
          <w:rtl w:val="true"/>
        </w:rPr>
        <w:t xml:space="preserve">, </w:t>
      </w:r>
      <w:r>
        <w:rPr>
          <w:rtl w:val="true"/>
        </w:rPr>
        <w:t>תוך קביעת מתחם המשקלל את שני המתחמים השונים</w:t>
      </w:r>
      <w:r>
        <w:rPr>
          <w:rtl w:val="true"/>
        </w:rPr>
        <w:t xml:space="preserve">, </w:t>
      </w:r>
      <w:r>
        <w:rPr>
          <w:rtl w:val="true"/>
        </w:rPr>
        <w:t>וזאת למרות שקבע שמדובר באירוע אחד</w:t>
      </w:r>
      <w:r>
        <w:rPr>
          <w:rtl w:val="true"/>
        </w:rPr>
        <w:t xml:space="preserve">. </w:t>
      </w:r>
      <w:r>
        <w:rPr>
          <w:rtl w:val="true"/>
        </w:rPr>
        <w:t>לעניין מיקומו של העונש בתוך המתחם</w:t>
      </w:r>
      <w:r>
        <w:rPr>
          <w:rtl w:val="true"/>
        </w:rPr>
        <w:t xml:space="preserve">, </w:t>
      </w:r>
      <w:r>
        <w:rPr>
          <w:rtl w:val="true"/>
        </w:rPr>
        <w:t>נטען כי בית המשפט בחן את המערער ונסיבותיו בהתייחס לאופן ניהול ההליך</w:t>
      </w:r>
      <w:r>
        <w:rPr>
          <w:rtl w:val="true"/>
        </w:rPr>
        <w:t xml:space="preserve">, </w:t>
      </w:r>
      <w:r>
        <w:rPr>
          <w:rtl w:val="true"/>
        </w:rPr>
        <w:t>על אף שכאמור קו ההגנה בו נקט בא</w:t>
      </w:r>
      <w:r>
        <w:rPr>
          <w:rtl w:val="true"/>
        </w:rPr>
        <w:t>-</w:t>
      </w:r>
      <w:r>
        <w:rPr>
          <w:rtl w:val="true"/>
        </w:rPr>
        <w:t>כוחו דאז לא נעשה ביוזמתו או לבקשתו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ניתן משקל לעובדה שלמערער עבר פלילי מבלי שניתנה הדעת לכך שמדובר בהרשעה אחת שביצע בהיותו קטין</w:t>
      </w:r>
      <w:r>
        <w:rPr>
          <w:rtl w:val="true"/>
        </w:rPr>
        <w:t xml:space="preserve">, </w:t>
      </w:r>
      <w:r>
        <w:rPr>
          <w:rtl w:val="true"/>
        </w:rPr>
        <w:t>ולא ניתן די משקל לגילו</w:t>
      </w:r>
      <w:r>
        <w:rPr>
          <w:rtl w:val="true"/>
        </w:rPr>
        <w:t xml:space="preserve">, </w:t>
      </w:r>
      <w:r>
        <w:rPr>
          <w:rtl w:val="true"/>
        </w:rPr>
        <w:t>הצעיר מ</w:t>
      </w:r>
      <w:r>
        <w:rPr>
          <w:rtl w:val="true"/>
        </w:rPr>
        <w:t>-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בית המשפט שגה בקבעו שתסקיר שירות המבחן מצביע על היעדר סיכוי לשיקום המערער</w:t>
      </w:r>
      <w:r>
        <w:rPr>
          <w:rtl w:val="true"/>
        </w:rPr>
        <w:t xml:space="preserve">, </w:t>
      </w:r>
      <w:r>
        <w:rPr>
          <w:rtl w:val="true"/>
        </w:rPr>
        <w:t>בעוד שבתסקיר צוין על שינוי ראשוני חיובי בהתנהלותו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 המשיבה עמדה על כך שאין כל עילה להתערבות בהכרעת דינו של המערער כמו גם בגזר הדין שניתן</w:t>
      </w:r>
      <w:r>
        <w:rPr>
          <w:rtl w:val="true"/>
        </w:rPr>
        <w:t xml:space="preserve">. </w:t>
      </w:r>
      <w:r>
        <w:rPr>
          <w:rtl w:val="true"/>
        </w:rPr>
        <w:t>המשיבה הדגישה כי מדובר במקרה חריג בכל קנה מידה</w:t>
      </w:r>
      <w:r>
        <w:rPr>
          <w:rtl w:val="true"/>
        </w:rPr>
        <w:t xml:space="preserve">, </w:t>
      </w:r>
      <w:r>
        <w:rPr>
          <w:rtl w:val="true"/>
        </w:rPr>
        <w:t>הן מבחינת חומרת המעשים שביצע המערער והן מבחינת העלילה המחפירה</w:t>
      </w:r>
      <w:r>
        <w:rPr>
          <w:rtl w:val="true"/>
        </w:rPr>
        <w:t xml:space="preserve">, </w:t>
      </w:r>
      <w:r>
        <w:rPr>
          <w:rtl w:val="true"/>
        </w:rPr>
        <w:t>אותה המערער ובא</w:t>
      </w:r>
      <w:r>
        <w:rPr>
          <w:rtl w:val="true"/>
        </w:rPr>
        <w:t>-</w:t>
      </w:r>
      <w:r>
        <w:rPr>
          <w:rtl w:val="true"/>
        </w:rPr>
        <w:t xml:space="preserve">כוחו הקודם טפלו על המתלונן </w:t>
      </w:r>
      <w:r>
        <w:rPr>
          <w:rtl w:val="true"/>
        </w:rPr>
        <w:t>במסגרת</w:t>
      </w:r>
      <w:r>
        <w:rPr>
          <w:rtl w:val="true"/>
        </w:rPr>
        <w:t xml:space="preserve"> קו ההגנה שננקט בהליך</w:t>
      </w:r>
      <w:r>
        <w:rPr>
          <w:rtl w:val="true"/>
        </w:rPr>
        <w:t xml:space="preserve">. </w:t>
      </w:r>
      <w:r>
        <w:rPr>
          <w:rtl w:val="true"/>
        </w:rPr>
        <w:t>זאת כאשר אותו קו הגנה שננקט נועד אך ורק על מנת להסיט את תשומת הלב מזוועת מעשיו של המערער</w:t>
      </w:r>
      <w:r>
        <w:rPr>
          <w:rtl w:val="true"/>
        </w:rPr>
        <w:t xml:space="preserve">. </w:t>
      </w:r>
      <w:r>
        <w:rPr>
          <w:rtl w:val="true"/>
        </w:rPr>
        <w:t>באשר לעונש שנגזר על המערער</w:t>
      </w:r>
      <w:r>
        <w:rPr>
          <w:rtl w:val="true"/>
        </w:rPr>
        <w:t xml:space="preserve">, </w:t>
      </w:r>
      <w:r>
        <w:rPr>
          <w:rtl w:val="true"/>
        </w:rPr>
        <w:t>צוין כי אכן הושתה עליו תקופת מאסר ארוכה אך מדובר בתקופה ההולמת את מעשיו המזעזעים של המערער</w:t>
      </w:r>
      <w:r>
        <w:rPr>
          <w:rtl w:val="true"/>
        </w:rPr>
        <w:t xml:space="preserve">, </w:t>
      </w:r>
      <w:r>
        <w:rPr>
          <w:rtl w:val="true"/>
        </w:rPr>
        <w:t>אשר בחר שלא לקבל אחריות על מעשיו</w:t>
      </w:r>
      <w:r>
        <w:rPr>
          <w:rtl w:val="true"/>
        </w:rPr>
        <w:t xml:space="preserve">, </w:t>
      </w:r>
      <w:r>
        <w:rPr>
          <w:rtl w:val="true"/>
        </w:rPr>
        <w:t>ניהל את משפטו עד תום וגם במהלך הערעור עדיין מתכחש למעשיו</w:t>
      </w:r>
      <w:r>
        <w:rPr>
          <w:rtl w:val="true"/>
        </w:rPr>
        <w:t xml:space="preserve">. </w:t>
      </w:r>
      <w:r>
        <w:rPr>
          <w:rtl w:val="true"/>
        </w:rPr>
        <w:t>בחינת גזרי הדין שניתנו בנסיבות דומות מגלה כי עונשו הולם את המעשים ואף לא נגזר על הצד המחמיר ביותר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במענה לטענת הכשל בייצוג הוגשה תגובת עו</w:t>
      </w:r>
      <w:r>
        <w:rPr>
          <w:rtl w:val="true"/>
        </w:rPr>
        <w:t>"</w:t>
      </w:r>
      <w:r>
        <w:rPr>
          <w:rtl w:val="true"/>
        </w:rPr>
        <w:t>ד שרמן אשר ציין כי המערער היה נחוש לנהל הליך הוכחות ולהוכיח את חפותו בקשר לעבירות המין בהן הוא הואשם</w:t>
      </w:r>
      <w:r>
        <w:rPr>
          <w:rtl w:val="true"/>
        </w:rPr>
        <w:t xml:space="preserve">. </w:t>
      </w:r>
      <w:r>
        <w:rPr>
          <w:rtl w:val="true"/>
        </w:rPr>
        <w:t>עוד הודגש כי מי שהעלה את הטענות נגד המתלונן היו המערער ובני משפחתו</w:t>
      </w:r>
      <w:r>
        <w:rPr>
          <w:rtl w:val="true"/>
        </w:rPr>
        <w:t xml:space="preserve">, </w:t>
      </w:r>
      <w:r>
        <w:rPr>
          <w:rtl w:val="true"/>
        </w:rPr>
        <w:t>אשר טענו כי הצליחו לאתר עדים שיכולים להוכיח קו הגנה זה</w:t>
      </w:r>
      <w:r>
        <w:rPr>
          <w:rtl w:val="true"/>
        </w:rPr>
        <w:t xml:space="preserve">. </w:t>
      </w:r>
      <w:r>
        <w:rPr>
          <w:rtl w:val="true"/>
        </w:rPr>
        <w:t>הטענה שהוא זה אשר יזם את קו ההגנה האמור ולא המערער</w:t>
      </w:r>
      <w:r>
        <w:rPr>
          <w:rtl w:val="true"/>
        </w:rPr>
        <w:t xml:space="preserve">, </w:t>
      </w:r>
      <w:r>
        <w:rPr>
          <w:rtl w:val="true"/>
        </w:rPr>
        <w:t>הינה אבסורדית ומופרכת</w:t>
      </w:r>
      <w:r>
        <w:rPr>
          <w:rtl w:val="true"/>
        </w:rPr>
        <w:t xml:space="preserve">. </w:t>
      </w:r>
      <w:r>
        <w:rPr>
          <w:rtl w:val="true"/>
        </w:rPr>
        <w:t>עוד טען עו</w:t>
      </w:r>
      <w:r>
        <w:rPr>
          <w:rtl w:val="true"/>
        </w:rPr>
        <w:t>"</w:t>
      </w:r>
      <w:r>
        <w:rPr>
          <w:rtl w:val="true"/>
        </w:rPr>
        <w:t>ד שרמן כי הוא התרשם מאמינות העדים שהובאו לפגישה עמו על ידי אביו ואחותו של המערער</w:t>
      </w:r>
      <w:r>
        <w:rPr>
          <w:rtl w:val="true"/>
        </w:rPr>
        <w:t xml:space="preserve">, </w:t>
      </w:r>
      <w:r>
        <w:rPr>
          <w:rtl w:val="true"/>
        </w:rPr>
        <w:t>ואין לו שליטה על כך שבית המשפט מצא לנכון שלא לתת בהם אמון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במסגרת הערעור הוגש תסקיר שירות המבחן מעודכן מיום </w:t>
      </w:r>
      <w:r>
        <w:rPr/>
        <w:t>14.12.2021</w:t>
      </w:r>
      <w:r>
        <w:rPr>
          <w:rtl w:val="true"/>
        </w:rPr>
        <w:t xml:space="preserve"> </w:t>
      </w:r>
      <w:r>
        <w:rPr>
          <w:rtl w:val="true"/>
        </w:rPr>
        <w:t>בו דווח כי המערער משתלב בתכניות טיפוליות שונות</w:t>
      </w:r>
      <w:r>
        <w:rPr>
          <w:rtl w:val="true"/>
        </w:rPr>
        <w:t xml:space="preserve">, </w:t>
      </w:r>
      <w:r>
        <w:rPr>
          <w:rtl w:val="true"/>
        </w:rPr>
        <w:t>בעיקר בתחום ההתמכרויות</w:t>
      </w:r>
      <w:r>
        <w:rPr>
          <w:rtl w:val="true"/>
        </w:rPr>
        <w:t xml:space="preserve">. </w:t>
      </w:r>
      <w:r>
        <w:rPr>
          <w:rtl w:val="true"/>
        </w:rPr>
        <w:t>צוין באשר לסוגיית נטילת האחריות כי המערער מודה באופן חלקי בלבד בביצוע המעשים</w:t>
      </w:r>
      <w:r>
        <w:rPr>
          <w:rtl w:val="true"/>
        </w:rPr>
        <w:t xml:space="preserve">, </w:t>
      </w:r>
      <w:r>
        <w:rPr>
          <w:rtl w:val="true"/>
        </w:rPr>
        <w:t>מתרץ כי היה נתון תחת השפעת סמים ועל כן אינו זוכר חלק מהאירועים</w:t>
      </w:r>
      <w:r>
        <w:rPr>
          <w:rtl w:val="true"/>
        </w:rPr>
        <w:t xml:space="preserve">. </w:t>
      </w:r>
      <w:r>
        <w:rPr>
          <w:rtl w:val="true"/>
        </w:rPr>
        <w:t xml:space="preserve">עוד הובהר כי אין בעת הזו התייחסות מעמיקה לעבירות המין במסגרת הטיפול </w:t>
      </w:r>
      <w:r>
        <w:rPr>
          <w:rtl w:val="true"/>
        </w:rPr>
        <w:t>הנוכחי</w:t>
      </w:r>
      <w:r>
        <w:rPr>
          <w:rtl w:val="true"/>
        </w:rPr>
        <w:t xml:space="preserve"> בו הוא משתלב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במסגרת הדיון שהתקיים לפנינו ביום </w:t>
      </w:r>
      <w:r>
        <w:rPr/>
        <w:t>20.12.2021</w:t>
      </w:r>
      <w:r>
        <w:rPr>
          <w:rtl w:val="true"/>
        </w:rPr>
        <w:t xml:space="preserve">, </w:t>
      </w:r>
      <w:r>
        <w:rPr>
          <w:rtl w:val="true"/>
        </w:rPr>
        <w:t>חזר והדגיש בא</w:t>
      </w:r>
      <w:r>
        <w:rPr>
          <w:rtl w:val="true"/>
        </w:rPr>
        <w:t>-</w:t>
      </w:r>
      <w:r>
        <w:rPr>
          <w:rtl w:val="true"/>
        </w:rPr>
        <w:t>כוחו של המערער כי המערער אינו עומד עוד מאחורי קו ההגנה הבעייתי שנקט עו</w:t>
      </w:r>
      <w:r>
        <w:rPr>
          <w:rtl w:val="true"/>
        </w:rPr>
        <w:t>"</w:t>
      </w:r>
      <w:r>
        <w:rPr>
          <w:rtl w:val="true"/>
        </w:rPr>
        <w:t>ד שרמן</w:t>
      </w:r>
      <w:r>
        <w:rPr>
          <w:rtl w:val="true"/>
        </w:rPr>
        <w:t xml:space="preserve">, </w:t>
      </w:r>
      <w:r>
        <w:rPr>
          <w:rtl w:val="true"/>
        </w:rPr>
        <w:t>וכי הוא אינו זוכר דבר מאירועי אותו לילה</w:t>
      </w:r>
      <w:r>
        <w:rPr>
          <w:rtl w:val="true"/>
        </w:rPr>
        <w:t xml:space="preserve">. </w:t>
      </w:r>
      <w:r>
        <w:rPr>
          <w:rtl w:val="true"/>
        </w:rPr>
        <w:t>לאור המלצותינו חזר בו המערער מהערעור על הכרעת דין בהסתייגות מסוימת</w:t>
      </w:r>
      <w:r>
        <w:rPr>
          <w:rtl w:val="true"/>
        </w:rPr>
        <w:t xml:space="preserve">.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 הבהיר כי המערער מקבל על עצמו את הכרעת הדין</w:t>
      </w:r>
      <w:r>
        <w:rPr>
          <w:rtl w:val="true"/>
        </w:rPr>
        <w:t xml:space="preserve">, </w:t>
      </w:r>
      <w:r>
        <w:rPr>
          <w:rtl w:val="true"/>
        </w:rPr>
        <w:t>אך כי הוא עדיין עומד על טענתו כי אינו זוכר את אשר אירע</w:t>
      </w:r>
      <w:r>
        <w:rPr>
          <w:rtl w:val="true"/>
        </w:rPr>
        <w:t xml:space="preserve">. </w:t>
      </w:r>
      <w:r>
        <w:rPr>
          <w:rtl w:val="true"/>
        </w:rPr>
        <w:t>באשר לגזר הדין ציין בא</w:t>
      </w:r>
      <w:r>
        <w:rPr>
          <w:rtl w:val="true"/>
        </w:rPr>
        <w:t>-</w:t>
      </w:r>
      <w:r>
        <w:rPr>
          <w:rtl w:val="true"/>
        </w:rPr>
        <w:t xml:space="preserve">כוח המערער כי מתחמי העונש המקובלים לעבירות דומות נעים סביב </w:t>
      </w:r>
      <w:r>
        <w:rPr/>
        <w:t>15-10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כאשר ניכר כי בקבעו עונש מאסר מחמיר נלקח בחשבון אופן ניהול ההליך</w:t>
      </w:r>
      <w:r>
        <w:rPr>
          <w:rtl w:val="true"/>
        </w:rPr>
        <w:t xml:space="preserve">, </w:t>
      </w:r>
      <w:r>
        <w:rPr>
          <w:rtl w:val="true"/>
        </w:rPr>
        <w:t xml:space="preserve">שלא היה טמון </w:t>
      </w:r>
      <w:r>
        <w:rPr>
          <w:rtl w:val="true"/>
        </w:rPr>
        <w:t>כאמור</w:t>
      </w:r>
      <w:r>
        <w:rPr>
          <w:rtl w:val="true"/>
        </w:rPr>
        <w:t xml:space="preserve"> באשמת המערער</w:t>
      </w:r>
      <w:r>
        <w:rPr>
          <w:rtl w:val="true"/>
        </w:rPr>
        <w:t xml:space="preserve">. </w:t>
      </w:r>
      <w:r>
        <w:rPr>
          <w:rtl w:val="true"/>
        </w:rPr>
        <w:t xml:space="preserve">גם המערער נשא דברים לפנינו וציין כי קשה לו שמתייחסים אליו כאל </w:t>
      </w:r>
      <w:r>
        <w:rPr>
          <w:rtl w:val="true"/>
        </w:rPr>
        <w:t>"</w:t>
      </w:r>
      <w:r>
        <w:rPr>
          <w:rtl w:val="true"/>
        </w:rPr>
        <w:t>מפלצת</w:t>
      </w:r>
      <w:r>
        <w:rPr>
          <w:rtl w:val="true"/>
        </w:rPr>
        <w:t xml:space="preserve">" </w:t>
      </w:r>
      <w:r>
        <w:rPr>
          <w:rtl w:val="true"/>
        </w:rPr>
        <w:t xml:space="preserve">בעוד שמדובר באובדן שליטה של כמה רגעים של </w:t>
      </w:r>
      <w:r>
        <w:rPr>
          <w:rtl w:val="true"/>
        </w:rPr>
        <w:t>"</w:t>
      </w:r>
      <w:r>
        <w:rPr>
          <w:rtl w:val="true"/>
        </w:rPr>
        <w:t>אי שפיות</w:t>
      </w:r>
      <w:r>
        <w:rPr>
          <w:rtl w:val="true"/>
        </w:rPr>
        <w:t xml:space="preserve">". </w:t>
      </w:r>
      <w:r>
        <w:rPr>
          <w:rtl w:val="true"/>
        </w:rPr>
        <w:t>המערער טען כי הוא מטפל בעצמו ובבעיותיו וכי העונש שהוטל עליו אינו פרופורציונאלי למעשים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הלכה היא כי ערכאת הערעור אינה נוטה להתערב בעונש שגזרה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וכי התערבות כאמור תתבצע רק במקרים חריגים שבהם גזר הדין מגלה סטייה קיצונית ממדיניות הענישה המקובלת במקרים דומים או במקרים שבהם דבק פגם מהותי בגזר הדין </w:t>
      </w:r>
      <w:r>
        <w:rPr>
          <w:rtl w:val="true"/>
        </w:rPr>
        <w:t>(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268/20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22.3.2021</w:t>
      </w:r>
      <w:r>
        <w:rPr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3159/17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21.3.2018</w:t>
      </w:r>
      <w:r>
        <w:rPr>
          <w:rtl w:val="true"/>
        </w:rPr>
        <w:t xml:space="preserve">)). </w:t>
      </w:r>
      <w:r>
        <w:rPr>
          <w:rtl w:val="true"/>
        </w:rPr>
        <w:t>על אף שאין חולק כי העונש שהושת על המערער אינו מקל עמו</w:t>
      </w:r>
      <w:r>
        <w:rPr>
          <w:rtl w:val="true"/>
        </w:rPr>
        <w:t xml:space="preserve">, </w:t>
      </w:r>
      <w:r>
        <w:rPr>
          <w:rtl w:val="true"/>
        </w:rPr>
        <w:t xml:space="preserve">ואף נוטה על הצד </w:t>
      </w:r>
      <w:r>
        <w:rPr>
          <w:rtl w:val="true"/>
        </w:rPr>
        <w:t>ה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בהתחשב במכלול נסיבות העניין אינני סבור כי מדובר בעונש אשר מצדיק התערבות ערכאת הערעור בו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עבירות המין ובראשן החמורות שבהן</w:t>
      </w:r>
      <w:r>
        <w:rPr>
          <w:rtl w:val="true"/>
        </w:rPr>
        <w:t xml:space="preserve">, </w:t>
      </w:r>
      <w:r>
        <w:rPr>
          <w:rtl w:val="true"/>
        </w:rPr>
        <w:t>כגון עבירה של מעשה סדום</w:t>
      </w:r>
      <w:r>
        <w:rPr>
          <w:rtl w:val="true"/>
        </w:rPr>
        <w:t xml:space="preserve">, </w:t>
      </w:r>
      <w:r>
        <w:rPr>
          <w:rtl w:val="true"/>
        </w:rPr>
        <w:t>הן מסוג העבירות הפוצעות את הקורבנות בגוף ובנפש בצורה קשה ביותר</w:t>
      </w:r>
      <w:r>
        <w:rPr>
          <w:rtl w:val="true"/>
        </w:rPr>
        <w:t xml:space="preserve">, </w:t>
      </w:r>
      <w:r>
        <w:rPr>
          <w:rtl w:val="true"/>
        </w:rPr>
        <w:t>באופן ההולם עונש מאסר ממושך</w:t>
      </w:r>
      <w:r>
        <w:rPr>
          <w:rtl w:val="true"/>
        </w:rPr>
        <w:t xml:space="preserve">. </w:t>
      </w:r>
      <w:r>
        <w:rPr>
          <w:rtl w:val="true"/>
        </w:rPr>
        <w:t>לכן גם נקבעה במשך השנים מדיניות ענישה מחמירה ביותר לעבירות מסוג זה</w:t>
      </w:r>
      <w:r>
        <w:rPr>
          <w:rtl w:val="true"/>
        </w:rPr>
        <w:t xml:space="preserve">, </w:t>
      </w:r>
      <w:r>
        <w:rPr>
          <w:rtl w:val="true"/>
        </w:rPr>
        <w:t>אשר תהלום את סלידתה של החברה ממעשים אלו</w:t>
      </w:r>
      <w:r>
        <w:rPr>
          <w:rtl w:val="true"/>
        </w:rPr>
        <w:t xml:space="preserve">, </w:t>
      </w:r>
      <w:r>
        <w:rPr>
          <w:rtl w:val="true"/>
        </w:rPr>
        <w:t xml:space="preserve">תשקף את הנזקים החמורים מהם סובלים נפגעי העבירות ותקדם את האינטרס הציבורי בהרתעת עברייני מין פוטנציאליים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2963/13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10.2.2014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2538/19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13.11.2019</w:t>
      </w:r>
      <w:r>
        <w:rPr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1778/20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13.6.2021</w:t>
      </w:r>
      <w:r>
        <w:rPr>
          <w:rtl w:val="true"/>
        </w:rPr>
        <w:t xml:space="preserve">)). </w:t>
      </w:r>
      <w:r>
        <w:rPr>
          <w:rtl w:val="true"/>
        </w:rPr>
        <w:t>בית משפט זה עמד לא פעם על חומרתן של עבירות מסוג זה כמו גם על הסלידה שהן מעוררות</w:t>
      </w:r>
      <w:r>
        <w:rPr>
          <w:rtl w:val="true"/>
        </w:rPr>
        <w:t xml:space="preserve">. </w:t>
      </w:r>
      <w:r>
        <w:rPr>
          <w:rtl w:val="true"/>
        </w:rPr>
        <w:t xml:space="preserve">יפים לענייננו דבריה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ארבל</w:t>
      </w:r>
      <w:r>
        <w:rPr>
          <w:rtl w:val="true"/>
        </w:rPr>
        <w:t xml:space="preserve"> 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6690/07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10.3.2008</w:t>
      </w:r>
      <w:r>
        <w:rPr>
          <w:rtl w:val="true"/>
        </w:rPr>
        <w:t xml:space="preserve">), </w:t>
      </w:r>
      <w:r>
        <w:rPr>
          <w:rtl w:val="true"/>
        </w:rPr>
        <w:t>אשר לא נס ליחם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קטינה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מילים</w:t>
      </w:r>
      <w:r>
        <w:rPr>
          <w:rtl w:val="true"/>
        </w:rPr>
        <w:t xml:space="preserve">. </w:t>
      </w:r>
      <w:r>
        <w:rPr>
          <w:rtl w:val="true"/>
        </w:rPr>
        <w:t>חילול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 xml:space="preserve">,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התמימות</w:t>
      </w:r>
      <w:r>
        <w:rPr>
          <w:rtl w:val="true"/>
        </w:rPr>
        <w:t xml:space="preserve">, </w:t>
      </w:r>
      <w:r>
        <w:rPr>
          <w:rtl w:val="true"/>
        </w:rPr>
        <w:t>האמון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הצלקות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העמוקות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הנחרתות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בנפשם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הזוגיות</w:t>
      </w:r>
      <w:r>
        <w:rPr>
          <w:rtl w:val="true"/>
        </w:rPr>
        <w:t xml:space="preserve">, </w:t>
      </w:r>
      <w:r>
        <w:rPr>
          <w:rtl w:val="true"/>
        </w:rPr>
        <w:t>החברתיות</w:t>
      </w:r>
      <w:r>
        <w:rPr>
          <w:rtl w:val="true"/>
        </w:rPr>
        <w:t xml:space="preserve">,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בקטינים</w:t>
      </w:r>
      <w:r>
        <w:rPr>
          <w:rtl w:val="true"/>
        </w:rPr>
        <w:t xml:space="preserve">.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כבודם</w:t>
      </w:r>
      <w:r>
        <w:rPr>
          <w:rtl w:val="true"/>
        </w:rPr>
        <w:t xml:space="preserve">, </w:t>
      </w:r>
      <w:r>
        <w:rPr>
          <w:rtl w:val="true"/>
        </w:rPr>
        <w:t>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הוקעתם</w:t>
      </w:r>
      <w:r>
        <w:rPr>
          <w:rtl w:val="true"/>
        </w:rPr>
        <w:t xml:space="preserve">, </w:t>
      </w:r>
      <w:r>
        <w:rPr>
          <w:rtl w:val="true"/>
        </w:rPr>
        <w:t>ולשלוח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>".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במקרה זה המצב קשה עוד יותר</w:t>
      </w:r>
      <w:r>
        <w:rPr>
          <w:rtl w:val="true"/>
        </w:rPr>
        <w:t xml:space="preserve">, </w:t>
      </w:r>
      <w:r>
        <w:rPr>
          <w:rtl w:val="true"/>
        </w:rPr>
        <w:t>שכן לא בוצעו עבירות המין לבדן</w:t>
      </w:r>
      <w:r>
        <w:rPr>
          <w:rtl w:val="true"/>
        </w:rPr>
        <w:t xml:space="preserve">. </w:t>
      </w:r>
      <w:r>
        <w:rPr>
          <w:rtl w:val="true"/>
        </w:rPr>
        <w:t>מדובר במקרה חריג וקשה</w:t>
      </w:r>
      <w:r>
        <w:rPr>
          <w:rtl w:val="true"/>
        </w:rPr>
        <w:t xml:space="preserve">. </w:t>
      </w:r>
      <w:r>
        <w:rPr>
          <w:rtl w:val="true"/>
        </w:rPr>
        <w:t>המערער התנפל באכזריות על קטין שצעד לתומו ברחוב</w:t>
      </w:r>
      <w:r>
        <w:rPr>
          <w:rtl w:val="true"/>
        </w:rPr>
        <w:t xml:space="preserve">, </w:t>
      </w:r>
      <w:r>
        <w:rPr>
          <w:rtl w:val="true"/>
        </w:rPr>
        <w:t>כשהוא מבצע בו עבירות אלימות ומין קשות ביותר</w:t>
      </w:r>
      <w:r>
        <w:rPr>
          <w:rtl w:val="true"/>
        </w:rPr>
        <w:t xml:space="preserve">, </w:t>
      </w:r>
      <w:r>
        <w:rPr>
          <w:rtl w:val="true"/>
        </w:rPr>
        <w:t>ולאחריהן שדד אותו ללא רחמים</w:t>
      </w:r>
      <w:r>
        <w:rPr>
          <w:rtl w:val="true"/>
        </w:rPr>
        <w:t xml:space="preserve">. </w:t>
      </w:r>
      <w:r>
        <w:rPr>
          <w:rtl w:val="true"/>
        </w:rPr>
        <w:t>מסכת האירועים האכזרית ארכה למעלה משעתיים</w:t>
      </w:r>
      <w:r>
        <w:rPr>
          <w:rtl w:val="true"/>
        </w:rPr>
        <w:t xml:space="preserve">, </w:t>
      </w:r>
      <w:r>
        <w:rPr>
          <w:rtl w:val="true"/>
        </w:rPr>
        <w:t>חרף בקשות ותחינות המתלונן</w:t>
      </w:r>
      <w:r>
        <w:rPr>
          <w:rtl w:val="true"/>
        </w:rPr>
        <w:t xml:space="preserve">. </w:t>
      </w:r>
      <w:r>
        <w:rPr>
          <w:rtl w:val="true"/>
        </w:rPr>
        <w:t>האירוע כולו היה כרוך בהשפלה בלתי נסבלת כלפי המתלונן</w:t>
      </w:r>
      <w:r>
        <w:rPr>
          <w:rtl w:val="true"/>
        </w:rPr>
        <w:t xml:space="preserve">. </w:t>
      </w:r>
      <w:r>
        <w:rPr>
          <w:rtl w:val="true"/>
        </w:rPr>
        <w:t>המערער הותיר את המתלונן נשדד</w:t>
      </w:r>
      <w:r>
        <w:rPr>
          <w:rtl w:val="true"/>
        </w:rPr>
        <w:t xml:space="preserve">, </w:t>
      </w:r>
      <w:r>
        <w:rPr>
          <w:rtl w:val="true"/>
        </w:rPr>
        <w:t>מוכה וחבול במעשה בריונות</w:t>
      </w:r>
      <w:r>
        <w:rPr>
          <w:rtl w:val="true"/>
        </w:rPr>
        <w:t xml:space="preserve">, </w:t>
      </w:r>
      <w:r>
        <w:rPr>
          <w:rtl w:val="true"/>
        </w:rPr>
        <w:t xml:space="preserve">כשכל </w:t>
      </w:r>
      <w:r>
        <w:rPr>
          <w:rtl w:val="true"/>
        </w:rPr>
        <w:t>"</w:t>
      </w:r>
      <w:r>
        <w:rPr>
          <w:rtl w:val="true"/>
        </w:rPr>
        <w:t>חטאו</w:t>
      </w:r>
      <w:r>
        <w:rPr>
          <w:rtl w:val="true"/>
        </w:rPr>
        <w:t xml:space="preserve">" </w:t>
      </w:r>
      <w:r>
        <w:rPr>
          <w:rtl w:val="true"/>
        </w:rPr>
        <w:t>של המתלונן הוא שצעד ברחוב בשעת לילה מאוחרת בגפו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>בעיקר טען המערער כי בית המשפט חרג ממדיניות הענישה המקובלת</w:t>
      </w:r>
      <w:r>
        <w:rPr>
          <w:rtl w:val="true"/>
        </w:rPr>
        <w:t xml:space="preserve">, </w:t>
      </w:r>
      <w:r>
        <w:rPr>
          <w:rtl w:val="true"/>
        </w:rPr>
        <w:t>והוא בא עם המערער חשבון בשל קו ההגנה שנקט 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. </w:t>
      </w:r>
      <w:r>
        <w:rPr>
          <w:rtl w:val="true"/>
        </w:rPr>
        <w:t xml:space="preserve">אלא שטענה זו של </w:t>
      </w:r>
      <w:r>
        <w:rPr>
          <w:rtl w:val="true"/>
        </w:rPr>
        <w:t>"</w:t>
      </w:r>
      <w:r>
        <w:rPr>
          <w:rtl w:val="true"/>
        </w:rPr>
        <w:t>כשל בייצוג</w:t>
      </w:r>
      <w:r>
        <w:rPr>
          <w:rtl w:val="true"/>
        </w:rPr>
        <w:t xml:space="preserve">" </w:t>
      </w:r>
      <w:r>
        <w:rPr>
          <w:rtl w:val="true"/>
        </w:rPr>
        <w:t>יש לבחון בזהירות רבה והיא תתקבל רק במקרים חריגים ונדירים ביותר</w:t>
      </w:r>
      <w:r>
        <w:rPr>
          <w:rtl w:val="true"/>
        </w:rPr>
        <w:t xml:space="preserve">, </w:t>
      </w:r>
      <w:r>
        <w:rPr>
          <w:rtl w:val="true"/>
        </w:rPr>
        <w:t>בהם הוכח כי האופן בו נוהלה ההגנה הביא לעיוות דין של ממש</w:t>
      </w:r>
      <w:r>
        <w:rPr>
          <w:rtl w:val="true"/>
        </w:rPr>
        <w:t xml:space="preserve">. </w:t>
      </w:r>
      <w:r>
        <w:rPr>
          <w:rtl w:val="true"/>
        </w:rPr>
        <w:t xml:space="preserve">על הטוען כי נגרם לו עיוות דין להוכיח כי אלמלא הייצוג הכושל אפשר שתוצאתו של ההליך הפלילי נגדו הייתה משתנה </w:t>
      </w:r>
      <w:r>
        <w:rPr>
          <w:rtl w:val="true"/>
        </w:rPr>
        <w:t>((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8868/11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בגימוב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23.8.2012</w:t>
      </w:r>
      <w:r>
        <w:rPr>
          <w:rtl w:val="true"/>
        </w:rPr>
        <w:t xml:space="preserve">);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3371/17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30.7.2018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2950/11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8.5.2014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קו ההגנה שנקט בא</w:t>
      </w:r>
      <w:r>
        <w:rPr>
          <w:rtl w:val="true"/>
        </w:rPr>
        <w:t>-</w:t>
      </w:r>
      <w:r>
        <w:rPr>
          <w:rtl w:val="true"/>
        </w:rPr>
        <w:t>כוחו של המערער מעורר קשיים ותמיהות</w:t>
      </w:r>
      <w:r>
        <w:rPr>
          <w:rtl w:val="true"/>
        </w:rPr>
        <w:t xml:space="preserve">, </w:t>
      </w:r>
      <w:r>
        <w:rPr>
          <w:rtl w:val="true"/>
        </w:rPr>
        <w:t>וזאת בלשון המעטה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אינני סבור כי יש בכוחה של טענת כשל בייצוג כדי להצדיק התערבותה של ערכאה זו בעונש שהושת על המערער</w:t>
      </w:r>
      <w:r>
        <w:rPr>
          <w:rtl w:val="true"/>
        </w:rPr>
        <w:t xml:space="preserve">, </w:t>
      </w:r>
      <w:r>
        <w:rPr>
          <w:rtl w:val="true"/>
        </w:rPr>
        <w:t>זאת מבלי להידרש לטענות עו</w:t>
      </w:r>
      <w:r>
        <w:rPr>
          <w:rtl w:val="true"/>
        </w:rPr>
        <w:t>"</w:t>
      </w:r>
      <w:r>
        <w:rPr>
          <w:rtl w:val="true"/>
        </w:rPr>
        <w:t>ד שרמן כי קו ההגנה תואם עם המערער וכי אין לשעות לטענה שמדובר בקו הגנה שהועלה מיוזמתו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המערער חזר בו מערעורו על הכרעת דין</w:t>
      </w:r>
      <w:r>
        <w:rPr>
          <w:rtl w:val="true"/>
        </w:rPr>
        <w:t xml:space="preserve">, </w:t>
      </w:r>
      <w:r>
        <w:rPr>
          <w:rtl w:val="true"/>
        </w:rPr>
        <w:t>ומשכך ספק בעיניי אם נותר מקום לדון בטענת ה</w:t>
      </w:r>
      <w:r>
        <w:rPr>
          <w:rtl w:val="true"/>
        </w:rPr>
        <w:t>"</w:t>
      </w:r>
      <w:r>
        <w:rPr>
          <w:rtl w:val="true"/>
        </w:rPr>
        <w:t>כשל ביצוג</w:t>
      </w:r>
      <w:r>
        <w:rPr>
          <w:rtl w:val="true"/>
        </w:rPr>
        <w:t xml:space="preserve">" </w:t>
      </w:r>
      <w:r>
        <w:rPr>
          <w:rtl w:val="true"/>
        </w:rPr>
        <w:t>הנטועה עמוק בסוגיית הרשעתו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אין מקום לבניית היפותזה לגבי העונש שהיה מקבל המערער לוּ הגנתו הייתה שונה</w:t>
      </w:r>
      <w:r>
        <w:rPr>
          <w:rtl w:val="true"/>
        </w:rPr>
        <w:t xml:space="preserve">. </w:t>
      </w:r>
      <w:r>
        <w:rPr>
          <w:rtl w:val="true"/>
        </w:rPr>
        <w:t>זאת בהתחשב בנסיבותיו החמורות והקיצוניות של מקרה זה</w:t>
      </w:r>
      <w:r>
        <w:rPr>
          <w:rtl w:val="true"/>
        </w:rPr>
        <w:t xml:space="preserve">, </w:t>
      </w:r>
      <w:r>
        <w:rPr>
          <w:rtl w:val="true"/>
        </w:rPr>
        <w:t xml:space="preserve">אף </w:t>
      </w:r>
      <w:r>
        <w:rPr>
          <w:rtl w:val="true"/>
        </w:rPr>
        <w:t>"</w:t>
      </w:r>
      <w:r>
        <w:rPr>
          <w:rtl w:val="true"/>
        </w:rPr>
        <w:t>בניכוי</w:t>
      </w:r>
      <w:r>
        <w:rPr>
          <w:rtl w:val="true"/>
        </w:rPr>
        <w:t xml:space="preserve">" </w:t>
      </w:r>
      <w:r>
        <w:rPr>
          <w:rtl w:val="true"/>
        </w:rPr>
        <w:t>קו ההגנה הבעייתי ומעורר הסלידה שננקט על ידי המערער ו</w:t>
      </w:r>
      <w:r>
        <w:rPr>
          <w:rtl w:val="true"/>
        </w:rPr>
        <w:t>/</w:t>
      </w:r>
      <w:r>
        <w:rPr>
          <w:rtl w:val="true"/>
        </w:rPr>
        <w:t>או 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מדובר בענישה ברף חומרה גבוה</w:t>
      </w:r>
      <w:r>
        <w:rPr>
          <w:rtl w:val="true"/>
        </w:rPr>
        <w:t xml:space="preserve">. </w:t>
      </w:r>
      <w:r>
        <w:rPr>
          <w:rtl w:val="true"/>
        </w:rPr>
        <w:t>אולם בשנים האחרונות ניכרת כאמור מגמה של החמרה משמעותית ביחס לעבירות מין</w:t>
      </w:r>
      <w:r>
        <w:rPr>
          <w:rtl w:val="true"/>
        </w:rPr>
        <w:t xml:space="preserve">, </w:t>
      </w:r>
      <w:r>
        <w:rPr>
          <w:rtl w:val="true"/>
        </w:rPr>
        <w:t xml:space="preserve">בשל חומרתן וכחלק מהניסיון למגרן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שיינברג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6.12.2018</w:t>
      </w:r>
      <w:r>
        <w:rPr>
          <w:rtl w:val="true"/>
        </w:rPr>
        <w:t xml:space="preserve">)). </w:t>
      </w:r>
      <w:r>
        <w:rPr>
          <w:rtl w:val="true"/>
        </w:rPr>
        <w:t>בין מטרותיה של מגמה זו עומד הצורך החברתי בשיגור מסר הרתעתי וחד משמעי בדבר סלידת החברה ממעשים כאלו</w:t>
      </w:r>
      <w:r>
        <w:rPr>
          <w:rtl w:val="true"/>
        </w:rPr>
        <w:t xml:space="preserve">, </w:t>
      </w:r>
      <w:r>
        <w:rPr>
          <w:rtl w:val="true"/>
        </w:rPr>
        <w:t xml:space="preserve">הן כלפי העבריין והן כלפי עבריינים פוטנציאליים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4731/19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3.10.2019</w:t>
      </w:r>
      <w:r>
        <w:rPr>
          <w:rtl w:val="true"/>
        </w:rPr>
        <w:t xml:space="preserve">);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8153/19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20.10.2020</w:t>
      </w:r>
      <w:r>
        <w:rPr>
          <w:rtl w:val="true"/>
        </w:rPr>
        <w:t xml:space="preserve">)). </w:t>
      </w:r>
      <w:r>
        <w:rPr>
          <w:rtl w:val="true"/>
        </w:rPr>
        <w:t>כפי שנאמר זה מכבר בעבר</w:t>
      </w:r>
      <w:r>
        <w:rPr>
          <w:rtl w:val="true"/>
        </w:rPr>
        <w:t>: "</w:t>
      </w:r>
      <w:r>
        <w:rPr>
          <w:rtl w:val="true"/>
        </w:rPr>
        <w:t>המסר המתבקש מהחמרה זו הוא כי החברה לא תסכין עם פגיעה חמורה בגופן ובנפשן של קרבנות עבירות מין ואלימות ותוקיע מעשים אלה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באמצעות עונשים חמורים אשר יבודדו את עבריין המין לתקופה ארוכה מחיים בחברה כאדם חופשי</w:t>
      </w:r>
      <w:r>
        <w:rPr>
          <w:rtl w:val="true"/>
        </w:rPr>
        <w:t>" 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4813/17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6.6.2018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השוואה בין מקרים שונים לצורך האחדת הענישה אינה קלה</w:t>
      </w:r>
      <w:r>
        <w:rPr>
          <w:rtl w:val="true"/>
        </w:rPr>
        <w:t xml:space="preserve">, </w:t>
      </w:r>
      <w:r>
        <w:rPr>
          <w:rtl w:val="true"/>
        </w:rPr>
        <w:t>נוכח המאפיינים הייחודים של כל מקרה ומקרה</w:t>
      </w:r>
      <w:r>
        <w:rPr>
          <w:rtl w:val="true"/>
        </w:rPr>
        <w:t xml:space="preserve">. </w:t>
      </w:r>
      <w:r>
        <w:rPr>
          <w:rtl w:val="true"/>
        </w:rPr>
        <w:t>במקרה זה הקושי מתעצם שבעתיים בשל צירוף העבירות השונות על נסיבותיהן</w:t>
      </w:r>
      <w:r>
        <w:rPr>
          <w:rtl w:val="true"/>
        </w:rPr>
        <w:t xml:space="preserve">, </w:t>
      </w:r>
      <w:r>
        <w:rPr>
          <w:rtl w:val="true"/>
        </w:rPr>
        <w:t>החריג בנסיבות העניין</w:t>
      </w:r>
      <w:r>
        <w:rPr>
          <w:rtl w:val="true"/>
        </w:rPr>
        <w:t xml:space="preserve">. </w:t>
      </w:r>
      <w:r>
        <w:rPr>
          <w:rtl w:val="true"/>
        </w:rPr>
        <w:t>מסכת קשה של אלימות ועבירות מין המסתיימת בשדידת הקרבן</w:t>
      </w:r>
      <w:r>
        <w:rPr>
          <w:rtl w:val="true"/>
        </w:rPr>
        <w:t xml:space="preserve">, </w:t>
      </w:r>
      <w:r>
        <w:rPr>
          <w:rtl w:val="true"/>
        </w:rPr>
        <w:t>איננה דבר מצוי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FrankRuehl" w:hAnsi="FrankRuehl" w:cs="FrankRuehl"/>
          <w:color w:val="000000"/>
          <w:sz w:val="28"/>
          <w:sz w:val="28"/>
          <w:rtl w:val="true"/>
        </w:rPr>
        <w:t>ממילא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נוכח צירוף העבירות השונות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ובניגוד לטענת המערער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גם לא נפל פגם בכך שבית המשפט מצא לקבוע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מתחמי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ענישה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נפרדים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בחלוקה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לקטגוריות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השונות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העבירות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טרם קביעת מתחם עונש כולל לאירוע כולו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בהינתן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מסכת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אירועים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מתמשכת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כפי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שעמד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עליה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בית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המשפט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המחוזי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קביעת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מתחמי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ענישה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נפרדים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בגין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העבירות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השונות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ולאחר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מכן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עמידה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מתחם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עונש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משוקלל</w:t>
      </w:r>
      <w:r>
        <w:rPr>
          <w:rFonts w:cs="FrankRuehl" w:ascii="FrankRuehl" w:hAnsi="FrankRuehl"/>
          <w:color w:val="000000"/>
          <w:sz w:val="28"/>
          <w:rtl w:val="true"/>
        </w:rPr>
        <w:t>,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אינה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בגדר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פגם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הדבר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נתון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בגדרי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שיקול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דעתה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הערכאה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הדיונית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הנתון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לה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לפי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הוראת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hyperlink r:id="rId34"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יג</w:t>
        </w:r>
      </w:hyperlink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לחוק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המאפשרת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שרטוט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מתחמי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ענישה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נפרדים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טרם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קביעת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מתחם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עונש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הולם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כולל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וראו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למשל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hyperlink r:id="rId35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4629/19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פסקה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</w:rPr>
        <w:t>12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19.11.2020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להלן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hyperlink r:id="rId3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4629/19</w:t>
        </w:r>
      </w:hyperlink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hyperlink r:id="rId37"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ע</w:t>
        </w:r>
        <w:r>
          <w:rPr>
            <w:rStyle w:val="Hyperlink"/>
            <w:rFonts w:cs="FrankRuehl" w:ascii="FrankRuehl" w:hAnsi="FrankRuehl"/>
            <w:sz w:val="28"/>
            <w:rtl w:val="true"/>
          </w:rPr>
          <w:t>"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sz w:val="28"/>
          </w:rPr>
          <w:t>319/17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פסקה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</w:rPr>
        <w:t>8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19.7.2018</w:t>
      </w:r>
      <w:r>
        <w:rPr>
          <w:rFonts w:cs="FrankRuehl" w:ascii="FrankRuehl" w:hAnsi="FrankRuehl"/>
          <w:color w:val="000000"/>
          <w:sz w:val="28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מכלול השיקולים בעניינו אכן מחייב ענישה אשר תשקף באופן נחרץ את חומרת מעשי המערער</w:t>
      </w:r>
      <w:r>
        <w:rPr>
          <w:rtl w:val="true"/>
        </w:rPr>
        <w:t xml:space="preserve">, </w:t>
      </w:r>
      <w:r>
        <w:rPr>
          <w:rtl w:val="true"/>
        </w:rPr>
        <w:t>תרחיקו מהציבור לתקופה ממושכת ותרתיע אחרים מלפעול באופן דומה</w:t>
      </w:r>
      <w:r>
        <w:rPr>
          <w:rtl w:val="true"/>
        </w:rPr>
        <w:t xml:space="preserve">. </w:t>
      </w:r>
      <w:r>
        <w:rPr>
          <w:rtl w:val="true"/>
        </w:rPr>
        <w:t>מדובר במקרה חמור המחייב השתת ענישה חמורה ומרתיעה</w:t>
      </w:r>
      <w:r>
        <w:rPr>
          <w:rtl w:val="true"/>
        </w:rPr>
        <w:t xml:space="preserve">, </w:t>
      </w:r>
      <w:r>
        <w:rPr>
          <w:rtl w:val="true"/>
        </w:rPr>
        <w:t>שכן לא ניתן להשלים עם הפיכת חייהם של עוברי אורח ברחוב</w:t>
      </w:r>
      <w:r>
        <w:rPr>
          <w:rtl w:val="true"/>
        </w:rPr>
        <w:t xml:space="preserve">, </w:t>
      </w:r>
      <w:r>
        <w:rPr>
          <w:rtl w:val="true"/>
        </w:rPr>
        <w:t>להפקר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אף אם מדובר במידה מסוימת בעונש החורג לחומרה</w:t>
      </w:r>
      <w:r>
        <w:rPr>
          <w:rtl w:val="true"/>
        </w:rPr>
        <w:t xml:space="preserve">, </w:t>
      </w:r>
      <w:r>
        <w:rPr>
          <w:rtl w:val="true"/>
        </w:rPr>
        <w:t>נראה כי מדובר בנסיבות מקרה המצדיקות ענישה בחומרה מקסימלית</w:t>
      </w:r>
      <w:r>
        <w:rPr>
          <w:rtl w:val="true"/>
        </w:rPr>
        <w:t xml:space="preserve">. </w:t>
      </w:r>
      <w:r>
        <w:rPr>
          <w:rtl w:val="true"/>
        </w:rPr>
        <w:t>לכך מצטרפת העובדה שאף אם היינו מנסים ללכת קמעא לקראת המערער</w:t>
      </w:r>
      <w:r>
        <w:rPr>
          <w:rtl w:val="true"/>
        </w:rPr>
        <w:t xml:space="preserve">, </w:t>
      </w:r>
      <w:r>
        <w:rPr>
          <w:rtl w:val="true"/>
        </w:rPr>
        <w:t>לא נמצא כל טעם של ממש להקל בעונשו</w:t>
      </w:r>
      <w:r>
        <w:rPr>
          <w:rtl w:val="true"/>
        </w:rPr>
        <w:t xml:space="preserve">. </w:t>
      </w:r>
      <w:r>
        <w:rPr>
          <w:rtl w:val="true"/>
        </w:rPr>
        <w:t>המערער לא הודה במיוחס לו וניהל הליך הוכחות מלא</w:t>
      </w:r>
      <w:r>
        <w:rPr>
          <w:rtl w:val="true"/>
        </w:rPr>
        <w:t xml:space="preserve">. </w:t>
      </w:r>
      <w:r>
        <w:rPr>
          <w:rtl w:val="true"/>
        </w:rPr>
        <w:t>אף לאחר שהוא התנער מקו ההגנה שננקט בבית המשפט המחוזי</w:t>
      </w:r>
      <w:r>
        <w:rPr>
          <w:rtl w:val="true"/>
        </w:rPr>
        <w:t xml:space="preserve">, </w:t>
      </w:r>
      <w:r>
        <w:rPr>
          <w:rtl w:val="true"/>
        </w:rPr>
        <w:t>הוא עודנו עומד במריו וטוען שאינו זוכר חלק ניכר מהאירועים</w:t>
      </w:r>
      <w:r>
        <w:rPr>
          <w:rtl w:val="true"/>
        </w:rPr>
        <w:t xml:space="preserve">. </w:t>
      </w:r>
      <w:r>
        <w:rPr>
          <w:rtl w:val="true"/>
        </w:rPr>
        <w:t>אף בדיון לפנינו בחר בעיקר להביע מחאה על כך שהוא מוצג כ</w:t>
      </w:r>
      <w:r>
        <w:rPr>
          <w:rtl w:val="true"/>
        </w:rPr>
        <w:t>"</w:t>
      </w:r>
      <w:r>
        <w:rPr>
          <w:rtl w:val="true"/>
        </w:rPr>
        <w:t>מפלצת</w:t>
      </w:r>
      <w:r>
        <w:rPr>
          <w:rtl w:val="true"/>
        </w:rPr>
        <w:t xml:space="preserve">" </w:t>
      </w:r>
      <w:r>
        <w:rPr>
          <w:rtl w:val="true"/>
        </w:rPr>
        <w:t>בעוד ש</w:t>
      </w:r>
      <w:r>
        <w:rPr>
          <w:rtl w:val="true"/>
        </w:rPr>
        <w:t>"</w:t>
      </w:r>
      <w:r>
        <w:rPr>
          <w:rtl w:val="true"/>
        </w:rPr>
        <w:t>בסך הכל</w:t>
      </w:r>
      <w:r>
        <w:rPr>
          <w:rtl w:val="true"/>
        </w:rPr>
        <w:t xml:space="preserve">" </w:t>
      </w:r>
      <w:r>
        <w:rPr>
          <w:rtl w:val="true"/>
        </w:rPr>
        <w:t xml:space="preserve">מדובר היה ברגעים של </w:t>
      </w:r>
      <w:r>
        <w:rPr>
          <w:rtl w:val="true"/>
        </w:rPr>
        <w:t>"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שפיות</w:t>
      </w:r>
      <w:r>
        <w:rPr>
          <w:rtl w:val="true"/>
        </w:rPr>
        <w:t xml:space="preserve">". </w:t>
      </w:r>
      <w:r>
        <w:rPr>
          <w:rtl w:val="true"/>
        </w:rPr>
        <w:t>המערער אינו לוקח אחריות או חרטה על מעשיו</w:t>
      </w:r>
      <w:r>
        <w:rPr>
          <w:rtl w:val="true"/>
        </w:rPr>
        <w:t xml:space="preserve">, </w:t>
      </w:r>
      <w:r>
        <w:rPr>
          <w:rtl w:val="true"/>
        </w:rPr>
        <w:t>אף לא באופן פורמלי ואף לא באופן עקיף</w:t>
      </w:r>
      <w:r>
        <w:rPr>
          <w:rtl w:val="true"/>
        </w:rPr>
        <w:t xml:space="preserve">. </w:t>
      </w:r>
      <w:r>
        <w:rPr>
          <w:rtl w:val="true"/>
        </w:rPr>
        <w:t>ההתפתחויות שעליהן מבקש להתבסס בא</w:t>
      </w:r>
      <w:r>
        <w:rPr>
          <w:rtl w:val="true"/>
        </w:rPr>
        <w:t>-</w:t>
      </w:r>
      <w:r>
        <w:rPr>
          <w:rtl w:val="true"/>
        </w:rPr>
        <w:t>כוחו דהיום</w:t>
      </w:r>
      <w:r>
        <w:rPr>
          <w:rtl w:val="true"/>
        </w:rPr>
        <w:t xml:space="preserve">, </w:t>
      </w:r>
      <w:r>
        <w:rPr>
          <w:rtl w:val="true"/>
        </w:rPr>
        <w:t>ובכלל זה תסקיר שירות המבחן המעודכן על פיו המערער החל להשתלב בתכנית טיפולית</w:t>
      </w:r>
      <w:r>
        <w:rPr>
          <w:rtl w:val="true"/>
        </w:rPr>
        <w:t xml:space="preserve">, </w:t>
      </w:r>
      <w:r>
        <w:rPr>
          <w:rtl w:val="true"/>
        </w:rPr>
        <w:t>אין בהן כדי לשנות ממסקנה זו</w:t>
      </w:r>
      <w:r>
        <w:rPr>
          <w:rtl w:val="true"/>
        </w:rPr>
        <w:t xml:space="preserve">.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גם במסגרת התסקיר האחרון צוין כי לגרסת המערער הוא אינו זוכר חלק מהאירועים וכי מכל מקום אין בשלב זה התייחסות מעמיקה לעבירות המין במסגרת הטיפול הנוכחי בו הוא משתלב</w:t>
      </w:r>
      <w:r>
        <w:rPr>
          <w:rtl w:val="true"/>
        </w:rPr>
        <w:t xml:space="preserve">, </w:t>
      </w:r>
      <w:r>
        <w:rPr>
          <w:rtl w:val="true"/>
        </w:rPr>
        <w:t>שהוא בעיקר בתחום ההתמכרויות</w:t>
      </w:r>
      <w:r>
        <w:rPr>
          <w:rtl w:val="true"/>
        </w:rPr>
        <w:t xml:space="preserve">. </w:t>
      </w:r>
      <w:r>
        <w:rPr>
          <w:rtl w:val="true"/>
        </w:rPr>
        <w:t>לא למותר לציין כי המערער גם לא שילם את הפיצוי הכספי שחויב בו</w:t>
      </w:r>
      <w:r>
        <w:rPr>
          <w:rtl w:val="true"/>
        </w:rPr>
        <w:t xml:space="preserve">, </w:t>
      </w:r>
      <w:r>
        <w:rPr>
          <w:rtl w:val="true"/>
        </w:rPr>
        <w:t xml:space="preserve">דבר אשר גם כן מהווה שיקול לחובתו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1965/14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17.8.2016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בעבירות כגון דא</w:t>
      </w:r>
      <w:r>
        <w:rPr>
          <w:rtl w:val="true"/>
        </w:rPr>
        <w:t xml:space="preserve">, </w:t>
      </w:r>
      <w:r>
        <w:rPr>
          <w:rtl w:val="true"/>
        </w:rPr>
        <w:t xml:space="preserve">יש גם לבכר שיקולי גמול והרתעה על פני התחשבות בנסיבותיו האישיות של הנאשם </w:t>
      </w:r>
      <w:r>
        <w:rPr>
          <w:rtl w:val="true"/>
        </w:rPr>
        <w:t>(</w:t>
      </w:r>
      <w:hyperlink r:id="rId4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4629/19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4731/19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3.10.2019</w:t>
      </w:r>
      <w:r>
        <w:rPr>
          <w:rtl w:val="true"/>
        </w:rPr>
        <w:t xml:space="preserve">)). </w:t>
      </w:r>
      <w:r>
        <w:rPr>
          <w:rtl w:val="true"/>
        </w:rPr>
        <w:t>לעתים נדמה כי בית המשפט הדן בפלילים ראה את כל סטיות ההתנהגות שניתן להעלותן על הדעת</w:t>
      </w:r>
      <w:r>
        <w:rPr>
          <w:rtl w:val="true"/>
        </w:rPr>
        <w:t xml:space="preserve">. </w:t>
      </w:r>
      <w:r>
        <w:rPr>
          <w:rtl w:val="true"/>
        </w:rPr>
        <w:t>אך למרבה הצער אנו פוגשים לא פעם במעשים רעים ואכזריים שלא שערום אבותינו</w:t>
      </w:r>
      <w:r>
        <w:rPr>
          <w:rtl w:val="true"/>
        </w:rPr>
        <w:t xml:space="preserve">. </w:t>
      </w:r>
      <w:r>
        <w:rPr>
          <w:rtl w:val="true"/>
        </w:rPr>
        <w:t>מקרה זה הוא ביטוי לאותם מעשים רעים</w:t>
      </w:r>
      <w:r>
        <w:rPr>
          <w:rtl w:val="true"/>
        </w:rPr>
        <w:t xml:space="preserve">, </w:t>
      </w:r>
      <w:r>
        <w:rPr>
          <w:rtl w:val="true"/>
        </w:rPr>
        <w:t>אכזריים ומפלצתיים המהווים התגשמות חלום בלהות בלתי נתפש</w:t>
      </w:r>
      <w:r>
        <w:rPr>
          <w:rtl w:val="true"/>
        </w:rPr>
        <w:t xml:space="preserve">. </w:t>
      </w:r>
      <w:r>
        <w:rPr>
          <w:rtl w:val="true"/>
        </w:rPr>
        <w:t>מכאן אפוא</w:t>
      </w:r>
      <w:r>
        <w:rPr>
          <w:rtl w:val="true"/>
        </w:rPr>
        <w:t xml:space="preserve">, </w:t>
      </w:r>
      <w:r>
        <w:rPr>
          <w:rtl w:val="true"/>
        </w:rPr>
        <w:t>על אף שאין חולק כי על המערער הושת עונש על הצד החמור</w:t>
      </w:r>
      <w:r>
        <w:rPr>
          <w:rtl w:val="true"/>
        </w:rPr>
        <w:t xml:space="preserve">, </w:t>
      </w:r>
      <w:r>
        <w:rPr>
          <w:rtl w:val="true"/>
        </w:rPr>
        <w:t xml:space="preserve">בשים לב לאמור וכן למגמת ההחמרה הנדרשת בענישה בגין עבירות מין ובנסיבותיו הייחודיות של מקרה זה </w:t>
      </w:r>
      <w:r>
        <w:rPr>
          <w:rtl w:val="true"/>
        </w:rPr>
        <w:t>(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29.10.2014</w:t>
      </w:r>
      <w:r>
        <w:rPr>
          <w:rtl w:val="true"/>
        </w:rPr>
        <w:t xml:space="preserve">)), </w:t>
      </w:r>
      <w:r>
        <w:rPr>
          <w:rtl w:val="true"/>
        </w:rPr>
        <w:t>אין מדובר בעונש המצדיק התערבות ערכאת הערעור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פתח של תקווה ניתן אולי למצוא בעובדה שהמערער מצא לנכון כאמור לחזור בו מהערעור על 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אף כי </w:t>
      </w:r>
      <w:r>
        <w:rPr>
          <w:rtl w:val="true"/>
        </w:rPr>
        <w:t>גם</w:t>
      </w:r>
      <w:r>
        <w:rPr>
          <w:rtl w:val="true"/>
        </w:rPr>
        <w:t xml:space="preserve"> בעיתוי זה באופן מסויג</w:t>
      </w:r>
      <w:r>
        <w:rPr>
          <w:rtl w:val="true"/>
        </w:rPr>
        <w:t xml:space="preserve">. </w:t>
      </w:r>
      <w:r>
        <w:rPr>
          <w:rtl w:val="true"/>
        </w:rPr>
        <w:t>יש רק לקוות כי המערער יטיב לנצל את ההזדמנויות הטיפוליות בין כתלי הכלא ויגייס את מלוא כוחותיו לטובת שיקום עתידו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"/>
        <w:ind w:end="0"/>
        <w:jc w:val="end"/>
        <w:rPr>
          <w:rFonts w:ascii="FrankRuehl" w:hAnsi="FrankRuehl" w:cs="FrankRuehl"/>
          <w:color w:val="000000"/>
          <w:sz w:val="28"/>
        </w:rPr>
      </w:pPr>
      <w:r>
        <w:rPr>
          <w:rFonts w:ascii="FrankRuehl" w:hAnsi="FrankRuehl"/>
          <w:color w:val="000000"/>
          <w:sz w:val="28"/>
          <w:sz w:val="28"/>
          <w:rtl w:val="true"/>
        </w:rPr>
        <w:t>ש ו פ ט</w:t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קרא</w:t>
      </w:r>
      <w:r>
        <w:rPr>
          <w:rFonts w:cs="FrankRuehl" w:ascii="FrankRuehl" w:hAnsi="FrankRuehl"/>
          <w:color w:val="000000"/>
          <w:sz w:val="28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  <w:u w:val="single"/>
        </w:rPr>
      </w:pPr>
      <w:r>
        <w:rPr>
          <w:rFonts w:cs="FrankRuehl" w:ascii="FrankRuehl" w:hAnsi="FrankRuehl"/>
          <w:color w:val="000000"/>
          <w:sz w:val="28"/>
          <w:u w:val="single"/>
          <w:rtl w:val="true"/>
        </w:rPr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"/>
        <w:ind w:firstLine="720"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ascii="FrankRuehl" w:hAnsi="FrankRuehl"/>
          <w:color w:val="000000"/>
          <w:sz w:val="28"/>
          <w:sz w:val="28"/>
          <w:rtl w:val="true"/>
        </w:rPr>
        <w:t>אני מסכים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"/>
        <w:ind w:end="0"/>
        <w:jc w:val="end"/>
        <w:rPr>
          <w:rFonts w:ascii="FrankRuehl" w:hAnsi="FrankRuehl" w:cs="FrankRuehl"/>
          <w:color w:val="000000"/>
          <w:sz w:val="28"/>
        </w:rPr>
      </w:pPr>
      <w:r>
        <w:rPr>
          <w:rFonts w:ascii="FrankRuehl" w:hAnsi="FrankRuehl"/>
          <w:color w:val="000000"/>
          <w:sz w:val="28"/>
          <w:sz w:val="28"/>
          <w:rtl w:val="true"/>
        </w:rPr>
        <w:t>ש ו פ ט</w:t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>
          <w:rFonts w:ascii="Arial" w:hAnsi="Arial" w:cs="David"/>
          <w:spacing w:val="0"/>
          <w:sz w:val="24"/>
          <w:szCs w:val="24"/>
        </w:rPr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ביוזמתו</w:t>
      </w:r>
      <w:r>
        <w:rPr>
          <w:rtl w:val="true"/>
        </w:rPr>
        <w:t xml:space="preserve">, </w:t>
      </w:r>
      <w:r>
        <w:rPr>
          <w:rtl w:val="true"/>
        </w:rPr>
        <w:t>למחרת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:</w:t>
      </w:r>
      <w:r>
        <w:rPr>
          <w:rFonts w:cs="David" w:ascii="Arial" w:hAnsi="Arial"/>
          <w:spacing w:val="0"/>
          <w:sz w:val="24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יש לי משהו לספר לכם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עשיתי משהו אתמול בלילה ב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שם הרחוב – 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אני לא זוכר מה היה שם אני באמת היה מכות משהו כזה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>
          <w:rFonts w:ascii="Arial" w:hAnsi="Arial" w:cs="David"/>
          <w:spacing w:val="0"/>
          <w:sz w:val="24"/>
          <w:szCs w:val="24"/>
        </w:rPr>
      </w:pPr>
      <w:r>
        <w:rPr>
          <w:rFonts w:cs="David" w:ascii="Arial" w:hAnsi="Arial"/>
          <w:spacing w:val="0"/>
          <w:sz w:val="24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מתעמעמת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אנס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המדרגות</w:t>
      </w:r>
      <w:r>
        <w:rPr>
          <w:rtl w:val="true"/>
        </w:rPr>
        <w:t xml:space="preserve">", </w:t>
      </w:r>
      <w:r>
        <w:rPr>
          <w:rtl w:val="true"/>
        </w:rPr>
        <w:t>שהתנפל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;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, </w:t>
      </w:r>
      <w:r>
        <w:rPr>
          <w:rtl w:val="true"/>
        </w:rPr>
        <w:t>זרע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בבוקר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בשתן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האונס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Fonts w:ascii="Century" w:hAnsi="Century" w:cs="Century"/>
          <w:rtl w:val="true"/>
        </w:rPr>
        <w:t>קשה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לנשום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מהבוקסים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והכאפות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ונראה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מזועזע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בשוק</w:t>
      </w:r>
      <w:r>
        <w:rPr>
          <w:rFonts w:cs="Century" w:ascii="Century" w:hAnsi="Century"/>
          <w:rtl w:val="true"/>
        </w:rPr>
        <w:t>".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שרמן</w:t>
      </w:r>
      <w:r>
        <w:rPr>
          <w:rtl w:val="true"/>
        </w:rPr>
        <w:t xml:space="preserve">, </w:t>
      </w:r>
      <w:r>
        <w:rPr>
          <w:rtl w:val="true"/>
        </w:rPr>
        <w:t>ובחר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סרק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ונבזית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אביא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מהצהרות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שצוטטו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David" w:hAnsi="David" w:cs="David"/>
        </w:rPr>
      </w:pPr>
      <w:r>
        <w:rPr>
          <w:rtl w:val="true"/>
        </w:rPr>
        <w:t>"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מיהו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המיניות</w:t>
      </w:r>
      <w:r>
        <w:rPr>
          <w:rtl w:val="true"/>
        </w:rPr>
        <w:t xml:space="preserve">, </w:t>
      </w:r>
      <w:r>
        <w:rPr>
          <w:rtl w:val="true"/>
        </w:rPr>
        <w:t>ואיך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ממה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שגיליתי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לשוטט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לגייז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באותם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שמכירים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לבנים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שטוענים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[...]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בשכונה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מצלמות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סטרייטים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שיגמרו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שיחדרו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/>
        <w:t>300-400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אוהב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סטרייטים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[...]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סרטונים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שבסרטונים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..."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קו ההגנה היה אפוא כי </w:t>
      </w:r>
      <w:r>
        <w:rPr>
          <w:rFonts w:ascii="Century" w:hAnsi="Century" w:cs="Century"/>
          <w:rtl w:val="true"/>
        </w:rPr>
        <w:t>המתלונן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הומוסקסואל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ascii="Century" w:hAnsi="Century" w:cs="Century"/>
          <w:rtl w:val="true"/>
        </w:rPr>
        <w:t>קיים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יחסי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אנאליים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לפני ה</w:t>
      </w:r>
      <w:r>
        <w:rPr>
          <w:rFonts w:ascii="Century" w:hAnsi="Century" w:cs="Century"/>
          <w:rtl w:val="true"/>
        </w:rPr>
        <w:t>אירועים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נשוא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ומכאן הקרעים ו</w:t>
      </w:r>
      <w:r>
        <w:rPr>
          <w:rFonts w:ascii="Century" w:hAnsi="Century" w:cs="Century"/>
          <w:rtl w:val="true"/>
        </w:rPr>
        <w:t>החבלות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הטבעת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לפנינו שיטה שבה נוקט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הנוהג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לסחוט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קורבנותיו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הצהרות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הסניגור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שברשותו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נאלץ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לסניגור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וחבריו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הכוללות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לנטייתו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ודרישותיו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מנערים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ורמיזות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לנחלת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כדוגמה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בוטה</w:t>
      </w:r>
      <w:r>
        <w:rPr>
          <w:rtl w:val="true"/>
        </w:rPr>
        <w:t xml:space="preserve">, </w:t>
      </w:r>
      <w:r>
        <w:rPr>
          <w:rtl w:val="true"/>
        </w:rPr>
        <w:t>ולטעמי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אכזרית</w:t>
      </w:r>
      <w:r>
        <w:rPr>
          <w:rtl w:val="true"/>
        </w:rPr>
        <w:t>-</w:t>
      </w:r>
      <w:r>
        <w:rPr>
          <w:rtl w:val="true"/>
        </w:rPr>
        <w:t>מבזה</w:t>
      </w:r>
      <w:r>
        <w:rPr>
          <w:rtl w:val="true"/>
        </w:rPr>
        <w:t>-</w:t>
      </w:r>
      <w:r>
        <w:rPr>
          <w:rtl w:val="true"/>
        </w:rPr>
        <w:t>ומיותרת</w:t>
      </w:r>
      <w:r>
        <w:rPr>
          <w:rtl w:val="true"/>
        </w:rPr>
        <w:t xml:space="preserve">, </w:t>
      </w:r>
      <w:r>
        <w:rPr>
          <w:rtl w:val="true"/>
        </w:rPr>
        <w:t>אצטט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הרופאה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ברפואה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tl w:val="true"/>
        </w:rPr>
        <w:t>: "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אינטימיות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המוצנעים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פורמן</w:t>
      </w:r>
      <w:r>
        <w:rPr>
          <w:rtl w:val="true"/>
        </w:rPr>
        <w:t xml:space="preserve">,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הנבדק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יער</w:t>
      </w:r>
      <w:r>
        <w:rPr>
          <w:rtl w:val="true"/>
        </w:rPr>
        <w:t>. "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" </w:t>
      </w:r>
      <w:r>
        <w:rPr>
          <w:rtl w:val="true"/>
        </w:rPr>
        <w:t>התברר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כעורבא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פוזיטיבית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ההיפך</w:t>
      </w:r>
      <w:r>
        <w:rPr>
          <w:rtl w:val="true"/>
        </w:rPr>
        <w:t xml:space="preserve">;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סרטו</w:t>
      </w:r>
      <w:r>
        <w:rPr>
          <w:rtl w:val="true"/>
        </w:rPr>
        <w:t>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tl w:val="true"/>
        </w:rPr>
        <w:t xml:space="preserve">"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תנהלותו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הזדמנות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מכתבו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בייצוג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שערכו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אסתפק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בהפניה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להצטרף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סניגור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בנאמנות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גוברות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לנהוג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ולהימנע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מלהצהיר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הצהרות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אובייקטיבי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תימוכין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נימוסיו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ובכובד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מהשאלות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המתריסות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שהטיח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הסניגור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תעצומות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ולקוות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העוצמות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מהרגע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וסיפר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ילוו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דרכו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בהיבט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נקלעו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אופנוע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הבחין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זרוק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הכביש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וכשניגש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האופנוען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מכניס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האופנוען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עזב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ניידת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ולדאבון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הסתלקה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נקלע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וכדבריו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תעזור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...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מתגלגלים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סולידריות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שאזרח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המוסרי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4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לא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תעמוד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על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רעך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Fonts w:cs="FrankRuehl" w:ascii="Century" w:hAnsi="Century"/>
          <w:spacing w:val="10"/>
          <w:sz w:val="22"/>
          <w:szCs w:val="28"/>
        </w:rPr>
        <w:t>98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ששורשיו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מעוגנים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ובמורשת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 w:before="0" w:after="160"/>
        <w:ind w:end="0"/>
        <w:contextualSpacing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1997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השפעת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אלכוהול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באומרו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מפלצת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בעיניי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פלצות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מפלצת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מפלצת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האסורים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גמול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ינצל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למירוק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חטאיו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ולבנייה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ויתמקד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שבבוא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"/>
        <w:ind w:end="0"/>
        <w:jc w:val="end"/>
        <w:rPr>
          <w:rFonts w:ascii="FrankRuehl" w:hAnsi="FrankRuehl" w:cs="FrankRuehl"/>
          <w:color w:val="000000"/>
          <w:sz w:val="28"/>
        </w:rPr>
      </w:pPr>
      <w:r>
        <w:rPr>
          <w:rFonts w:ascii="FrankRuehl" w:hAnsi="FrankRuehl"/>
          <w:color w:val="000000"/>
          <w:sz w:val="28"/>
          <w:sz w:val="28"/>
          <w:rtl w:val="true"/>
        </w:rPr>
        <w:t>ש ו פ ט</w:t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  <w:tab/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FrankRuehl"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ניתן היום</w:t>
      </w:r>
      <w:r>
        <w:rPr>
          <w:rFonts w:cs="FrankRuehl" w:ascii="FrankRuehl" w:hAnsi="FrankRuehl"/>
          <w:color w:val="000000"/>
          <w:sz w:val="28"/>
          <w:rtl w:val="true"/>
        </w:rPr>
        <w:t>, ‏</w:t>
      </w:r>
      <w:r>
        <w:rPr>
          <w:rFonts w:ascii="FrankRuehl" w:hAnsi="FrankRuehl"/>
          <w:color w:val="000000"/>
          <w:sz w:val="28"/>
          <w:sz w:val="28"/>
          <w:rtl w:val="true"/>
        </w:rPr>
        <w:t>כ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ו בטבת התשפ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ב </w:t>
      </w:r>
      <w:r>
        <w:rPr>
          <w:rFonts w:cs="FrankRuehl" w:ascii="FrankRuehl" w:hAnsi="FrankRuehl"/>
          <w:color w:val="000000"/>
          <w:sz w:val="28"/>
          <w:rtl w:val="true"/>
        </w:rPr>
        <w:t>(‏</w:t>
      </w:r>
      <w:r>
        <w:rPr>
          <w:rFonts w:cs="FrankRuehl" w:ascii="FrankRuehl" w:hAnsi="FrankRuehl"/>
          <w:color w:val="000000"/>
          <w:sz w:val="28"/>
        </w:rPr>
        <w:t>30.12.2021</w:t>
      </w:r>
      <w:r>
        <w:rPr>
          <w:rFonts w:cs="FrankRuehl" w:ascii="FrankRuehl" w:hAnsi="FrankRuehl"/>
          <w:color w:val="000000"/>
          <w:sz w:val="28"/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20040180</w:t>
      </w:r>
      <w:r>
        <w:rPr>
          <w:sz w:val="16"/>
          <w:rtl w:val="true"/>
        </w:rPr>
        <w:t>_</w:t>
      </w:r>
      <w:r>
        <w:rPr>
          <w:sz w:val="16"/>
        </w:rPr>
        <w:t>N12.docx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לש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4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54678313-4018/20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6"/>
      <w:footerReference w:type="default" r:id="rId4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4018/20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מתן לוגסי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 w:bidi="he-I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83370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45.b.3" TargetMode="External"/><Relationship Id="rId6" Type="http://schemas.openxmlformats.org/officeDocument/2006/relationships/hyperlink" Target="http://www.nevo.co.il/law/70301/345.b.4" TargetMode="External"/><Relationship Id="rId7" Type="http://schemas.openxmlformats.org/officeDocument/2006/relationships/hyperlink" Target="http://www.nevo.co.il/law/70301/347.b" TargetMode="External"/><Relationship Id="rId8" Type="http://schemas.openxmlformats.org/officeDocument/2006/relationships/hyperlink" Target="http://www.nevo.co.il/law/70301/368b.a" TargetMode="External"/><Relationship Id="rId9" Type="http://schemas.openxmlformats.org/officeDocument/2006/relationships/hyperlink" Target="http://www.nevo.co.il/law/70301/402.b" TargetMode="External"/><Relationship Id="rId10" Type="http://schemas.openxmlformats.org/officeDocument/2006/relationships/hyperlink" Target="http://www.nevo.co.il/law/70301/40ja.5" TargetMode="External"/><Relationship Id="rId11" Type="http://schemas.openxmlformats.org/officeDocument/2006/relationships/hyperlink" Target="http://www.nevo.co.il/law/70301/40jc" TargetMode="External"/><Relationship Id="rId12" Type="http://schemas.openxmlformats.org/officeDocument/2006/relationships/hyperlink" Target="http://www.nevo.co.il/law/72270" TargetMode="External"/><Relationship Id="rId13" Type="http://schemas.openxmlformats.org/officeDocument/2006/relationships/hyperlink" Target="http://www.nevo.co.il/case/23833703" TargetMode="External"/><Relationship Id="rId14" Type="http://schemas.openxmlformats.org/officeDocument/2006/relationships/hyperlink" Target="http://www.nevo.co.il/law/70301/347.b" TargetMode="External"/><Relationship Id="rId15" Type="http://schemas.openxmlformats.org/officeDocument/2006/relationships/hyperlink" Target="http://www.nevo.co.il/law/70301/345.b.3" TargetMode="External"/><Relationship Id="rId16" Type="http://schemas.openxmlformats.org/officeDocument/2006/relationships/hyperlink" Target="http://www.nevo.co.il/law/70301/345.b.4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02.b" TargetMode="External"/><Relationship Id="rId19" Type="http://schemas.openxmlformats.org/officeDocument/2006/relationships/hyperlink" Target="http://www.nevo.co.il/law/70301/368b.a" TargetMode="External"/><Relationship Id="rId20" Type="http://schemas.openxmlformats.org/officeDocument/2006/relationships/hyperlink" Target="http://www.nevo.co.il/law/70301/192" TargetMode="External"/><Relationship Id="rId21" Type="http://schemas.openxmlformats.org/officeDocument/2006/relationships/hyperlink" Target="http://www.nevo.co.il/case/26430898" TargetMode="External"/><Relationship Id="rId22" Type="http://schemas.openxmlformats.org/officeDocument/2006/relationships/hyperlink" Target="http://www.nevo.co.il/case/23824879" TargetMode="External"/><Relationship Id="rId23" Type="http://schemas.openxmlformats.org/officeDocument/2006/relationships/hyperlink" Target="http://www.nevo.co.il/case/11312605" TargetMode="External"/><Relationship Id="rId24" Type="http://schemas.openxmlformats.org/officeDocument/2006/relationships/hyperlink" Target="http://www.nevo.co.il/case/25608114" TargetMode="External"/><Relationship Id="rId25" Type="http://schemas.openxmlformats.org/officeDocument/2006/relationships/hyperlink" Target="http://www.nevo.co.il/case/26521986" TargetMode="External"/><Relationship Id="rId26" Type="http://schemas.openxmlformats.org/officeDocument/2006/relationships/hyperlink" Target="http://www.nevo.co.il/case/6234386" TargetMode="External"/><Relationship Id="rId27" Type="http://schemas.openxmlformats.org/officeDocument/2006/relationships/hyperlink" Target="http://www.nevo.co.il/case/5596268" TargetMode="External"/><Relationship Id="rId28" Type="http://schemas.openxmlformats.org/officeDocument/2006/relationships/hyperlink" Target="http://www.nevo.co.il/case/22546596" TargetMode="External"/><Relationship Id="rId29" Type="http://schemas.openxmlformats.org/officeDocument/2006/relationships/hyperlink" Target="http://www.nevo.co.il/case/5684170" TargetMode="External"/><Relationship Id="rId30" Type="http://schemas.openxmlformats.org/officeDocument/2006/relationships/hyperlink" Target="http://www.nevo.co.il/case/23825973" TargetMode="External"/><Relationship Id="rId31" Type="http://schemas.openxmlformats.org/officeDocument/2006/relationships/hyperlink" Target="http://www.nevo.co.il/case/25860716" TargetMode="External"/><Relationship Id="rId32" Type="http://schemas.openxmlformats.org/officeDocument/2006/relationships/hyperlink" Target="http://www.nevo.co.il/case/26256014" TargetMode="External"/><Relationship Id="rId33" Type="http://schemas.openxmlformats.org/officeDocument/2006/relationships/hyperlink" Target="http://www.nevo.co.il/case/22791287" TargetMode="External"/><Relationship Id="rId34" Type="http://schemas.openxmlformats.org/officeDocument/2006/relationships/hyperlink" Target="http://www.nevo.co.il/law/70301/40jc" TargetMode="External"/><Relationship Id="rId35" Type="http://schemas.openxmlformats.org/officeDocument/2006/relationships/hyperlink" Target="http://www.nevo.co.il/case/25848776" TargetMode="External"/><Relationship Id="rId36" Type="http://schemas.openxmlformats.org/officeDocument/2006/relationships/hyperlink" Target="http://www.nevo.co.il/case/25848776" TargetMode="External"/><Relationship Id="rId37" Type="http://schemas.openxmlformats.org/officeDocument/2006/relationships/hyperlink" Target="http://www.nevo.co.il/case/22303378" TargetMode="External"/><Relationship Id="rId38" Type="http://schemas.openxmlformats.org/officeDocument/2006/relationships/hyperlink" Target="http://www.nevo.co.il/law/70301/40ja.5" TargetMode="External"/><Relationship Id="rId39" Type="http://schemas.openxmlformats.org/officeDocument/2006/relationships/hyperlink" Target="http://www.nevo.co.il/case/13055235" TargetMode="External"/><Relationship Id="rId40" Type="http://schemas.openxmlformats.org/officeDocument/2006/relationships/hyperlink" Target="http://www.nevo.co.il/case/25848776" TargetMode="External"/><Relationship Id="rId41" Type="http://schemas.openxmlformats.org/officeDocument/2006/relationships/hyperlink" Target="http://www.nevo.co.il/case/25860716" TargetMode="External"/><Relationship Id="rId42" Type="http://schemas.openxmlformats.org/officeDocument/2006/relationships/hyperlink" Target="http://www.nevo.co.il/case/13093721" TargetMode="External"/><Relationship Id="rId43" Type="http://schemas.openxmlformats.org/officeDocument/2006/relationships/hyperlink" Target="http://www.nevo.co.il/law/72270" TargetMode="External"/><Relationship Id="rId44" Type="http://schemas.openxmlformats.org/officeDocument/2006/relationships/hyperlink" Target="https://supreme.court.gov.il/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2021-12-30T15:05:00Z</dcterms:created>
  <dc:creator>h4</dc:creator>
  <dc:description/>
  <cp:keywords/>
  <dc:language>en-IL</dc:language>
  <cp:lastModifiedBy>orly</cp:lastModifiedBy>
  <cp:lastPrinted>2021-12-30T09:03:00Z</cp:lastPrinted>
  <dcterms:modified xsi:type="dcterms:W3CDTF">2021-12-30T15:05:00Z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מתן לוגסי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23833703:2;26430898;23824879;11312605;25608114;26521986;6234386;5596268;22546596;5684170;23825973;25860716:2;26256014;22791287;25848776:3;22303378;13055235;13093721</vt:lpwstr>
  </property>
  <property fmtid="{D5CDD505-2E9C-101B-9397-08002B2CF9AE}" pid="9" name="CITY">
    <vt:lpwstr/>
  </property>
  <property fmtid="{D5CDD505-2E9C-101B-9397-08002B2CF9AE}" pid="10" name="DATE">
    <vt:lpwstr>20211230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עמית;ג' קרא;ד' מינץ</vt:lpwstr>
  </property>
  <property fmtid="{D5CDD505-2E9C-101B-9397-08002B2CF9AE}" pid="14" name="LAWLISTTMP1">
    <vt:lpwstr>70301/347.b;345.b.3;345.b.4;402.b;368b.a;192;40jc;40ja.5</vt:lpwstr>
  </property>
  <property fmtid="{D5CDD505-2E9C-101B-9397-08002B2CF9AE}" pid="15" name="LAWLISTTMP2">
    <vt:lpwstr>72270</vt:lpwstr>
  </property>
  <property fmtid="{D5CDD505-2E9C-101B-9397-08002B2CF9AE}" pid="16" name="LAWYER">
    <vt:lpwstr>רוני זלושינסקי;שי ברק;ברכה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עורכי-דין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77;77;77;77;78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ייצוג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1446;1446;1446;1446;1468</vt:lpwstr>
  </property>
  <property fmtid="{D5CDD505-2E9C-101B-9397-08002B2CF9AE}" pid="49" name="NOSE31">
    <vt:lpwstr>מדיניות ענישה: עבירות מין בקטינים</vt:lpwstr>
  </property>
  <property fmtid="{D5CDD505-2E9C-101B-9397-08002B2CF9AE}" pid="50" name="NOSE310">
    <vt:lpwstr/>
  </property>
  <property fmtid="{D5CDD505-2E9C-101B-9397-08002B2CF9AE}" pid="51" name="NOSE32">
    <vt:lpwstr>מדיניות ענישה: שיקולים לחומרה</vt:lpwstr>
  </property>
  <property fmtid="{D5CDD505-2E9C-101B-9397-08002B2CF9AE}" pid="52" name="NOSE33">
    <vt:lpwstr>מדיניות ענישה: התערבות ערכאת ערעור</vt:lpwstr>
  </property>
  <property fmtid="{D5CDD505-2E9C-101B-9397-08002B2CF9AE}" pid="53" name="NOSE34">
    <vt:lpwstr>אחדות הענישה</vt:lpwstr>
  </property>
  <property fmtid="{D5CDD505-2E9C-101B-9397-08002B2CF9AE}" pid="54" name="NOSE35">
    <vt:lpwstr>כשל בייצוג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16970;8995;8982;12547;14470</vt:lpwstr>
  </property>
  <property fmtid="{D5CDD505-2E9C-101B-9397-08002B2CF9AE}" pid="60" name="PADIDATE">
    <vt:lpwstr>20220102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4018</vt:lpwstr>
  </property>
  <property fmtid="{D5CDD505-2E9C-101B-9397-08002B2CF9AE}" pid="66" name="PROCYEAR">
    <vt:lpwstr>20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410120211230</vt:lpwstr>
  </property>
  <property fmtid="{D5CDD505-2E9C-101B-9397-08002B2CF9AE}" pid="70" name="TYPE_N_DATE">
    <vt:lpwstr>41020211230</vt:lpwstr>
  </property>
  <property fmtid="{D5CDD505-2E9C-101B-9397-08002B2CF9AE}" pid="71" name="VOLUME">
    <vt:lpwstr/>
  </property>
  <property fmtid="{D5CDD505-2E9C-101B-9397-08002B2CF9AE}" pid="72" name="WORDNUMPAGES">
    <vt:lpwstr>17</vt:lpwstr>
  </property>
</Properties>
</file>