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4021/19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ב</w:t>
            </w:r>
            <w:r>
              <w:rPr>
                <w:sz w:val="24"/>
                <w:sz w:val="24"/>
                <w:szCs w:val="24"/>
                <w:rtl w:val="true"/>
              </w:rPr>
              <w:t>ת</w:t>
            </w:r>
            <w:r>
              <w:rPr>
                <w:sz w:val="24"/>
                <w:szCs w:val="24"/>
                <w:rtl w:val="true"/>
              </w:rPr>
              <w:t>"</w:t>
            </w:r>
            <w:r>
              <w:rPr>
                <w:sz w:val="24"/>
                <w:sz w:val="24"/>
                <w:szCs w:val="24"/>
                <w:rtl w:val="true"/>
              </w:rPr>
              <w:t>פ</w:t>
            </w:r>
            <w:r>
              <w:rPr>
                <w:rFonts w:cs="Times New Roman"/>
                <w:sz w:val="24"/>
                <w:sz w:val="24"/>
                <w:szCs w:val="24"/>
                <w:rtl w:val="true"/>
              </w:rPr>
              <w:t xml:space="preserve"> </w:t>
            </w:r>
            <w:r>
              <w:rPr>
                <w:sz w:val="24"/>
                <w:szCs w:val="24"/>
              </w:rPr>
              <w:t>19549-12-18</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7</w:t>
            </w:r>
            <w:r>
              <w:rPr>
                <w:sz w:val="24"/>
                <w:szCs w:val="24"/>
              </w:rPr>
              <w:t>.</w:t>
            </w:r>
            <w:r>
              <w:rPr>
                <w:sz w:val="24"/>
                <w:szCs w:val="24"/>
              </w:rPr>
              <w:t>5</w:t>
            </w:r>
            <w:r>
              <w:rPr>
                <w:sz w:val="24"/>
                <w:szCs w:val="24"/>
              </w:rPr>
              <w:t>.2019</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אבי</w:t>
            </w:r>
            <w:r>
              <w:rPr>
                <w:rFonts w:cs="Times New Roman"/>
                <w:sz w:val="24"/>
                <w:sz w:val="24"/>
                <w:szCs w:val="24"/>
                <w:rtl w:val="true"/>
              </w:rPr>
              <w:t xml:space="preserve"> </w:t>
            </w:r>
            <w:r>
              <w:rPr>
                <w:sz w:val="24"/>
                <w:sz w:val="24"/>
                <w:szCs w:val="24"/>
                <w:rtl w:val="true"/>
              </w:rPr>
              <w:t>לוי</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4425"/>
        <w:gridCol w:w="708"/>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425" w:type="dxa"/>
            <w:tcBorders/>
          </w:tcPr>
          <w:p>
            <w:pPr>
              <w:pStyle w:val="BodyRuller1"/>
              <w:ind w:end="0"/>
              <w:jc w:val="start"/>
              <w:rPr/>
            </w:pPr>
            <w:r>
              <w:rPr>
                <w:sz w:val="24"/>
                <w:sz w:val="24"/>
                <w:szCs w:val="24"/>
                <w:rtl w:val="true"/>
              </w:rPr>
              <w:t>ב</w:t>
            </w:r>
            <w:r>
              <w:rPr>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פ</w:t>
            </w:r>
            <w:r>
              <w:rPr>
                <w:rFonts w:cs="Times New Roman"/>
                <w:sz w:val="24"/>
                <w:sz w:val="24"/>
                <w:szCs w:val="24"/>
                <w:rtl w:val="true"/>
              </w:rPr>
              <w:t xml:space="preserve"> </w:t>
            </w:r>
            <w:r>
              <w:rPr>
                <w:sz w:val="24"/>
                <w:szCs w:val="24"/>
                <w:rtl w:val="true"/>
              </w:rPr>
              <w:t>(</w:t>
            </w:r>
            <w:r>
              <w:rPr>
                <w:sz w:val="24"/>
                <w:szCs w:val="24"/>
              </w:rPr>
              <w:t>30.12.</w:t>
            </w:r>
            <w:r>
              <w:rPr>
                <w:sz w:val="24"/>
                <w:szCs w:val="24"/>
              </w:rPr>
              <w:t>2019</w:t>
            </w:r>
            <w:r>
              <w:rPr>
                <w:sz w:val="24"/>
                <w:szCs w:val="24"/>
                <w:rtl w:val="true"/>
              </w:rPr>
              <w:t>)</w:t>
            </w:r>
          </w:p>
        </w:tc>
        <w:tc>
          <w:tcPr>
            <w:tcW w:w="708" w:type="dxa"/>
            <w:tcBorders/>
          </w:tcPr>
          <w:p>
            <w:pPr>
              <w:pStyle w:val="BodyRuller1"/>
              <w:snapToGrid w:val="false"/>
              <w:ind w:end="0"/>
              <w:jc w:val="start"/>
              <w:rPr>
                <w:sz w:val="24"/>
                <w:szCs w:val="24"/>
              </w:rPr>
            </w:pPr>
            <w:r>
              <w:rPr>
                <w:sz w:val="24"/>
                <w:szCs w:val="24"/>
                <w:rtl w:val="true"/>
              </w:rPr>
            </w:r>
          </w:p>
        </w:tc>
      </w:tr>
    </w:tbl>
    <w:p>
      <w:pPr>
        <w:pStyle w:val="Ruller31"/>
        <w:spacing w:lineRule="auto" w:line="240"/>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0"/>
        <w:gridCol w:w="4"/>
        <w:gridCol w:w="5149"/>
      </w:tblGrid>
      <w:tr>
        <w:trPr/>
        <w:tc>
          <w:tcPr>
            <w:tcW w:w="27" w:type="dxa"/>
            <w:tcBorders/>
          </w:tcPr>
          <w:p>
            <w:pPr>
              <w:pStyle w:val="TableHeading"/>
              <w:rPr/>
            </w:pPr>
            <w:r>
              <w:rPr>
                <w:rtl w:val="true"/>
              </w:rPr>
            </w:r>
          </w:p>
        </w:tc>
        <w:tc>
          <w:tcPr>
            <w:tcW w:w="3214" w:type="dxa"/>
            <w:gridSpan w:val="2"/>
            <w:tcBorders/>
            <w:tcMar>
              <w:start w:w="108" w:type="dxa"/>
              <w:end w:w="108" w:type="dxa"/>
            </w:tcMar>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9"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רוני</w:t>
            </w:r>
            <w:r>
              <w:rPr>
                <w:rFonts w:cs="Times New Roman"/>
                <w:rtl w:val="true"/>
              </w:rPr>
              <w:t xml:space="preserve"> </w:t>
            </w:r>
            <w:r>
              <w:rPr>
                <w:rtl w:val="true"/>
              </w:rPr>
              <w:t>זלושינסקי</w:t>
            </w:r>
            <w:r>
              <w:rPr>
                <w:rtl w:val="true"/>
              </w:rPr>
              <w:tab/>
            </w:r>
          </w:p>
        </w:tc>
      </w:tr>
      <w:tr>
        <w:trPr/>
        <w:tc>
          <w:tcPr>
            <w:tcW w:w="27" w:type="dxa"/>
            <w:tcBorders/>
          </w:tcPr>
          <w:p>
            <w:pPr>
              <w:pStyle w:val="Normal"/>
              <w:rPr/>
            </w:pPr>
            <w:r>
              <w:rPr>
                <w:rtl w:val="true"/>
              </w:rPr>
            </w:r>
          </w:p>
        </w:tc>
        <w:tc>
          <w:tcPr>
            <w:tcW w:w="3210" w:type="dxa"/>
            <w:tcBorders/>
            <w:tcMar>
              <w:start w:w="108" w:type="dxa"/>
              <w:end w:w="108" w:type="dxa"/>
            </w:tcMar>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53" w:type="dxa"/>
            <w:gridSpan w:val="2"/>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מוחמד</w:t>
            </w:r>
            <w:r>
              <w:rPr>
                <w:rFonts w:cs="Times New Roman"/>
                <w:rtl w:val="true"/>
              </w:rPr>
              <w:t xml:space="preserve"> </w:t>
            </w:r>
            <w:r>
              <w:rPr>
                <w:rtl w:val="true"/>
              </w:rPr>
              <w:t>מסארווה</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329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6" w:name="LawTable_End"/>
      <w:bookmarkStart w:id="7" w:name="LawTable_End"/>
      <w:bookmarkEnd w:id="7"/>
    </w:p>
    <w:p>
      <w:pPr>
        <w:pStyle w:val="BODYVERDICT"/>
        <w:pBdr>
          <w:top w:val="single" w:sz="4" w:space="1" w:color="000000"/>
          <w:bottom w:val="single" w:sz="4" w:space="1" w:color="000000"/>
        </w:pBdr>
        <w:spacing w:lineRule="exact" w:line="320" w:before="0" w:after="120"/>
        <w:ind w:end="0"/>
        <w:jc w:val="both"/>
        <w:rPr>
          <w:spacing w:val="0"/>
          <w:sz w:val="24"/>
          <w:szCs w:val="26"/>
        </w:rPr>
      </w:pPr>
      <w:bookmarkStart w:id="8" w:name="ABSTRACT_START"/>
      <w:bookmarkEnd w:id="8"/>
      <w:r>
        <w:rPr>
          <w:spacing w:val="0"/>
          <w:sz w:val="24"/>
          <w:sz w:val="24"/>
          <w:szCs w:val="26"/>
          <w:rtl w:val="true"/>
        </w:rPr>
        <w:t>מיני</w:t>
      </w:r>
      <w:r>
        <w:rPr>
          <w:spacing w:val="0"/>
          <w:sz w:val="24"/>
          <w:szCs w:val="26"/>
          <w:rtl w:val="true"/>
        </w:rPr>
        <w:t>-</w:t>
      </w:r>
      <w:r>
        <w:rPr>
          <w:spacing w:val="0"/>
          <w:sz w:val="24"/>
          <w:sz w:val="24"/>
          <w:szCs w:val="26"/>
          <w:rtl w:val="true"/>
        </w:rPr>
        <w:t>רציו</w:t>
      </w:r>
      <w:r>
        <w:rPr>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pPr>
      <w:r>
        <w:rPr>
          <w:spacing w:val="0"/>
          <w:sz w:val="24"/>
          <w:szCs w:val="26"/>
          <w:rtl w:val="true"/>
        </w:rPr>
        <w:t xml:space="preserve">* </w:t>
      </w:r>
      <w:r>
        <w:rPr>
          <w:spacing w:val="0"/>
          <w:sz w:val="24"/>
          <w:sz w:val="24"/>
          <w:szCs w:val="26"/>
          <w:rtl w:val="true"/>
        </w:rPr>
        <w:t>ביהמ</w:t>
      </w:r>
      <w:r>
        <w:rPr>
          <w:spacing w:val="0"/>
          <w:sz w:val="24"/>
          <w:szCs w:val="26"/>
          <w:rtl w:val="true"/>
        </w:rPr>
        <w:t>"</w:t>
      </w:r>
      <w:r>
        <w:rPr>
          <w:spacing w:val="0"/>
          <w:sz w:val="24"/>
          <w:sz w:val="24"/>
          <w:szCs w:val="26"/>
          <w:rtl w:val="true"/>
        </w:rPr>
        <w:t>ש</w:t>
      </w:r>
      <w:r>
        <w:rPr>
          <w:rFonts w:cs="Times New Roman"/>
          <w:spacing w:val="0"/>
          <w:sz w:val="24"/>
          <w:sz w:val="24"/>
          <w:szCs w:val="26"/>
          <w:rtl w:val="true"/>
        </w:rPr>
        <w:t xml:space="preserve"> </w:t>
      </w:r>
      <w:r>
        <w:rPr>
          <w:spacing w:val="0"/>
          <w:sz w:val="24"/>
          <w:sz w:val="24"/>
          <w:szCs w:val="26"/>
          <w:rtl w:val="true"/>
        </w:rPr>
        <w:t>העליון</w:t>
      </w:r>
      <w:r>
        <w:rPr>
          <w:rFonts w:cs="Times New Roman"/>
          <w:spacing w:val="0"/>
          <w:sz w:val="24"/>
          <w:sz w:val="24"/>
          <w:szCs w:val="26"/>
          <w:rtl w:val="true"/>
        </w:rPr>
        <w:t xml:space="preserve"> </w:t>
      </w:r>
      <w:r>
        <w:rPr>
          <w:spacing w:val="0"/>
          <w:sz w:val="24"/>
          <w:sz w:val="24"/>
          <w:szCs w:val="26"/>
          <w:rtl w:val="true"/>
        </w:rPr>
        <w:t>החמיר</w:t>
      </w:r>
      <w:r>
        <w:rPr>
          <w:rFonts w:cs="Times New Roman"/>
          <w:spacing w:val="0"/>
          <w:sz w:val="24"/>
          <w:sz w:val="24"/>
          <w:szCs w:val="26"/>
          <w:rtl w:val="true"/>
        </w:rPr>
        <w:t xml:space="preserve"> </w:t>
      </w:r>
      <w:r>
        <w:rPr>
          <w:spacing w:val="0"/>
          <w:sz w:val="24"/>
          <w:sz w:val="24"/>
          <w:szCs w:val="26"/>
          <w:rtl w:val="true"/>
        </w:rPr>
        <w:t>בעונש</w:t>
      </w:r>
      <w:r>
        <w:rPr>
          <w:rFonts w:cs="Times New Roman"/>
          <w:spacing w:val="0"/>
          <w:sz w:val="24"/>
          <w:sz w:val="24"/>
          <w:szCs w:val="26"/>
          <w:rtl w:val="true"/>
        </w:rPr>
        <w:t xml:space="preserve"> </w:t>
      </w:r>
      <w:r>
        <w:rPr>
          <w:spacing w:val="0"/>
          <w:sz w:val="24"/>
          <w:sz w:val="24"/>
          <w:szCs w:val="26"/>
          <w:rtl w:val="true"/>
        </w:rPr>
        <w:t>המאסר</w:t>
      </w:r>
      <w:r>
        <w:rPr>
          <w:rFonts w:cs="Times New Roman"/>
          <w:spacing w:val="0"/>
          <w:sz w:val="24"/>
          <w:sz w:val="24"/>
          <w:szCs w:val="26"/>
          <w:rtl w:val="true"/>
        </w:rPr>
        <w:t xml:space="preserve"> </w:t>
      </w:r>
      <w:r>
        <w:rPr>
          <w:spacing w:val="0"/>
          <w:sz w:val="24"/>
          <w:sz w:val="24"/>
          <w:szCs w:val="26"/>
          <w:rtl w:val="true"/>
        </w:rPr>
        <w:t>בפועל</w:t>
      </w:r>
      <w:r>
        <w:rPr>
          <w:rFonts w:cs="Times New Roman"/>
          <w:spacing w:val="0"/>
          <w:sz w:val="24"/>
          <w:sz w:val="24"/>
          <w:szCs w:val="26"/>
          <w:rtl w:val="true"/>
        </w:rPr>
        <w:t xml:space="preserve"> </w:t>
      </w:r>
      <w:r>
        <w:rPr>
          <w:spacing w:val="0"/>
          <w:sz w:val="24"/>
          <w:sz w:val="24"/>
          <w:szCs w:val="26"/>
          <w:rtl w:val="true"/>
        </w:rPr>
        <w:t>שהוטל</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נאשם</w:t>
      </w:r>
      <w:r>
        <w:rPr>
          <w:rFonts w:cs="Times New Roman"/>
          <w:spacing w:val="0"/>
          <w:sz w:val="24"/>
          <w:sz w:val="24"/>
          <w:szCs w:val="26"/>
          <w:rtl w:val="true"/>
        </w:rPr>
        <w:t xml:space="preserve"> </w:t>
      </w:r>
      <w:r>
        <w:rPr>
          <w:spacing w:val="0"/>
          <w:sz w:val="24"/>
          <w:sz w:val="24"/>
          <w:szCs w:val="26"/>
          <w:rtl w:val="true"/>
        </w:rPr>
        <w:t>שדקר</w:t>
      </w:r>
      <w:r>
        <w:rPr>
          <w:rFonts w:cs="Times New Roman"/>
          <w:spacing w:val="0"/>
          <w:sz w:val="24"/>
          <w:sz w:val="24"/>
          <w:szCs w:val="26"/>
          <w:rtl w:val="true"/>
        </w:rPr>
        <w:t xml:space="preserve"> </w:t>
      </w:r>
      <w:r>
        <w:rPr>
          <w:spacing w:val="0"/>
          <w:sz w:val="24"/>
          <w:sz w:val="24"/>
          <w:szCs w:val="26"/>
          <w:rtl w:val="true"/>
        </w:rPr>
        <w:t>את</w:t>
      </w:r>
      <w:r>
        <w:rPr>
          <w:rFonts w:cs="Times New Roman"/>
          <w:spacing w:val="0"/>
          <w:sz w:val="24"/>
          <w:sz w:val="24"/>
          <w:szCs w:val="26"/>
          <w:rtl w:val="true"/>
        </w:rPr>
        <w:t xml:space="preserve"> </w:t>
      </w:r>
      <w:r>
        <w:rPr>
          <w:spacing w:val="0"/>
          <w:sz w:val="24"/>
          <w:sz w:val="24"/>
          <w:szCs w:val="26"/>
          <w:rtl w:val="true"/>
        </w:rPr>
        <w:t>אחותו</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רקע</w:t>
      </w:r>
      <w:r>
        <w:rPr>
          <w:rFonts w:cs="Times New Roman"/>
          <w:spacing w:val="0"/>
          <w:sz w:val="24"/>
          <w:sz w:val="24"/>
          <w:szCs w:val="26"/>
          <w:rtl w:val="true"/>
        </w:rPr>
        <w:t xml:space="preserve"> </w:t>
      </w:r>
      <w:r>
        <w:rPr>
          <w:spacing w:val="0"/>
          <w:sz w:val="24"/>
          <w:sz w:val="24"/>
          <w:szCs w:val="26"/>
          <w:rtl w:val="true"/>
        </w:rPr>
        <w:t>אי</w:t>
      </w:r>
      <w:r>
        <w:rPr>
          <w:rFonts w:cs="Times New Roman"/>
          <w:spacing w:val="0"/>
          <w:sz w:val="24"/>
          <w:sz w:val="24"/>
          <w:szCs w:val="26"/>
          <w:rtl w:val="true"/>
        </w:rPr>
        <w:t xml:space="preserve"> </w:t>
      </w:r>
      <w:r>
        <w:rPr>
          <w:spacing w:val="0"/>
          <w:sz w:val="24"/>
          <w:sz w:val="24"/>
          <w:szCs w:val="26"/>
          <w:rtl w:val="true"/>
        </w:rPr>
        <w:t>שביעות</w:t>
      </w:r>
      <w:r>
        <w:rPr>
          <w:rFonts w:cs="Times New Roman"/>
          <w:spacing w:val="0"/>
          <w:sz w:val="24"/>
          <w:sz w:val="24"/>
          <w:szCs w:val="26"/>
          <w:rtl w:val="true"/>
        </w:rPr>
        <w:t xml:space="preserve"> </w:t>
      </w:r>
      <w:r>
        <w:rPr>
          <w:spacing w:val="0"/>
          <w:sz w:val="24"/>
          <w:sz w:val="24"/>
          <w:szCs w:val="26"/>
          <w:rtl w:val="true"/>
        </w:rPr>
        <w:t>רצונו</w:t>
      </w:r>
      <w:r>
        <w:rPr>
          <w:rFonts w:cs="Times New Roman"/>
          <w:spacing w:val="0"/>
          <w:sz w:val="24"/>
          <w:sz w:val="24"/>
          <w:szCs w:val="26"/>
          <w:rtl w:val="true"/>
        </w:rPr>
        <w:t xml:space="preserve"> </w:t>
      </w:r>
      <w:r>
        <w:rPr>
          <w:spacing w:val="0"/>
          <w:sz w:val="24"/>
          <w:sz w:val="24"/>
          <w:szCs w:val="26"/>
          <w:rtl w:val="true"/>
        </w:rPr>
        <w:t>מאירוסיה</w:t>
      </w:r>
      <w:r>
        <w:rPr>
          <w:rFonts w:cs="Times New Roman"/>
          <w:spacing w:val="0"/>
          <w:sz w:val="24"/>
          <w:sz w:val="24"/>
          <w:szCs w:val="26"/>
          <w:rtl w:val="true"/>
        </w:rPr>
        <w:t xml:space="preserve"> </w:t>
      </w:r>
      <w:r>
        <w:rPr>
          <w:spacing w:val="0"/>
          <w:sz w:val="24"/>
          <w:sz w:val="24"/>
          <w:szCs w:val="26"/>
          <w:rtl w:val="true"/>
        </w:rPr>
        <w:t>והעמידו</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שמונה</w:t>
      </w:r>
      <w:r>
        <w:rPr>
          <w:rFonts w:cs="Times New Roman"/>
          <w:spacing w:val="0"/>
          <w:sz w:val="24"/>
          <w:sz w:val="24"/>
          <w:szCs w:val="26"/>
          <w:rtl w:val="true"/>
        </w:rPr>
        <w:t xml:space="preserve"> </w:t>
      </w:r>
      <w:r>
        <w:rPr>
          <w:spacing w:val="0"/>
          <w:sz w:val="24"/>
          <w:sz w:val="24"/>
          <w:szCs w:val="26"/>
          <w:rtl w:val="true"/>
        </w:rPr>
        <w:t>שנות</w:t>
      </w:r>
      <w:r>
        <w:rPr>
          <w:rFonts w:cs="Times New Roman"/>
          <w:spacing w:val="0"/>
          <w:sz w:val="24"/>
          <w:sz w:val="24"/>
          <w:szCs w:val="26"/>
          <w:rtl w:val="true"/>
        </w:rPr>
        <w:t xml:space="preserve"> </w:t>
      </w:r>
      <w:r>
        <w:rPr>
          <w:spacing w:val="0"/>
          <w:sz w:val="24"/>
          <w:sz w:val="24"/>
          <w:szCs w:val="26"/>
          <w:rtl w:val="true"/>
        </w:rPr>
        <w:t>מאסר</w:t>
      </w:r>
      <w:r>
        <w:rPr>
          <w:rFonts w:cs="Times New Roman"/>
          <w:spacing w:val="0"/>
          <w:sz w:val="24"/>
          <w:sz w:val="24"/>
          <w:szCs w:val="26"/>
          <w:rtl w:val="true"/>
        </w:rPr>
        <w:t xml:space="preserve"> </w:t>
      </w:r>
      <w:r>
        <w:rPr>
          <w:spacing w:val="0"/>
          <w:sz w:val="24"/>
          <w:szCs w:val="26"/>
          <w:rtl w:val="true"/>
        </w:rPr>
        <w:t>(</w:t>
      </w:r>
      <w:r>
        <w:rPr>
          <w:spacing w:val="0"/>
          <w:sz w:val="24"/>
          <w:sz w:val="24"/>
          <w:szCs w:val="26"/>
          <w:rtl w:val="true"/>
        </w:rPr>
        <w:t>במקום</w:t>
      </w:r>
      <w:r>
        <w:rPr>
          <w:rFonts w:cs="Times New Roman"/>
          <w:spacing w:val="0"/>
          <w:sz w:val="24"/>
          <w:sz w:val="24"/>
          <w:szCs w:val="26"/>
          <w:rtl w:val="true"/>
        </w:rPr>
        <w:t xml:space="preserve"> </w:t>
      </w:r>
      <w:r>
        <w:rPr>
          <w:spacing w:val="0"/>
          <w:sz w:val="24"/>
          <w:sz w:val="24"/>
          <w:szCs w:val="26"/>
          <w:rtl w:val="true"/>
        </w:rPr>
        <w:t>שש</w:t>
      </w:r>
      <w:r>
        <w:rPr>
          <w:rFonts w:cs="Times New Roman"/>
          <w:spacing w:val="0"/>
          <w:sz w:val="24"/>
          <w:sz w:val="24"/>
          <w:szCs w:val="26"/>
          <w:rtl w:val="true"/>
        </w:rPr>
        <w:t xml:space="preserve"> </w:t>
      </w:r>
      <w:r>
        <w:rPr>
          <w:spacing w:val="0"/>
          <w:sz w:val="24"/>
          <w:sz w:val="24"/>
          <w:szCs w:val="26"/>
          <w:rtl w:val="true"/>
        </w:rPr>
        <w:t>וחצי</w:t>
      </w:r>
      <w:r>
        <w:rPr>
          <w:rFonts w:cs="Times New Roman"/>
          <w:spacing w:val="0"/>
          <w:sz w:val="24"/>
          <w:sz w:val="24"/>
          <w:szCs w:val="26"/>
          <w:rtl w:val="true"/>
        </w:rPr>
        <w:t xml:space="preserve"> </w:t>
      </w:r>
      <w:r>
        <w:rPr>
          <w:spacing w:val="0"/>
          <w:sz w:val="24"/>
          <w:sz w:val="24"/>
          <w:szCs w:val="26"/>
          <w:rtl w:val="true"/>
        </w:rPr>
        <w:t>שנות</w:t>
      </w:r>
      <w:r>
        <w:rPr>
          <w:rFonts w:cs="Times New Roman"/>
          <w:spacing w:val="0"/>
          <w:sz w:val="24"/>
          <w:sz w:val="24"/>
          <w:szCs w:val="26"/>
          <w:rtl w:val="true"/>
        </w:rPr>
        <w:t xml:space="preserve"> </w:t>
      </w:r>
      <w:r>
        <w:rPr>
          <w:spacing w:val="0"/>
          <w:sz w:val="24"/>
          <w:sz w:val="24"/>
          <w:szCs w:val="26"/>
          <w:rtl w:val="true"/>
        </w:rPr>
        <w:t>מאסר</w:t>
      </w:r>
      <w:r>
        <w:rPr>
          <w:spacing w:val="0"/>
          <w:sz w:val="24"/>
          <w:szCs w:val="26"/>
          <w:rtl w:val="true"/>
        </w:rPr>
        <w:t xml:space="preserve">). </w:t>
      </w:r>
      <w:r>
        <w:rPr>
          <w:spacing w:val="0"/>
          <w:sz w:val="24"/>
          <w:sz w:val="24"/>
          <w:szCs w:val="26"/>
          <w:rtl w:val="true"/>
        </w:rPr>
        <w:t>כך</w:t>
      </w:r>
      <w:r>
        <w:rPr>
          <w:rFonts w:cs="Times New Roman"/>
          <w:spacing w:val="0"/>
          <w:sz w:val="24"/>
          <w:sz w:val="24"/>
          <w:szCs w:val="26"/>
          <w:rtl w:val="true"/>
        </w:rPr>
        <w:t xml:space="preserve"> </w:t>
      </w:r>
      <w:r>
        <w:rPr>
          <w:spacing w:val="0"/>
          <w:sz w:val="24"/>
          <w:sz w:val="24"/>
          <w:szCs w:val="26"/>
          <w:rtl w:val="true"/>
        </w:rPr>
        <w:t>שעונשו</w:t>
      </w:r>
      <w:r>
        <w:rPr>
          <w:rFonts w:cs="Times New Roman"/>
          <w:spacing w:val="0"/>
          <w:sz w:val="24"/>
          <w:sz w:val="24"/>
          <w:szCs w:val="26"/>
          <w:rtl w:val="true"/>
        </w:rPr>
        <w:t xml:space="preserve"> </w:t>
      </w:r>
      <w:r>
        <w:rPr>
          <w:spacing w:val="0"/>
          <w:sz w:val="24"/>
          <w:sz w:val="24"/>
          <w:szCs w:val="26"/>
          <w:rtl w:val="true"/>
        </w:rPr>
        <w:t>הכולל</w:t>
      </w:r>
      <w:r>
        <w:rPr>
          <w:spacing w:val="0"/>
          <w:sz w:val="24"/>
          <w:szCs w:val="26"/>
          <w:rtl w:val="true"/>
        </w:rPr>
        <w:t xml:space="preserve">, </w:t>
      </w:r>
      <w:r>
        <w:rPr>
          <w:spacing w:val="0"/>
          <w:sz w:val="24"/>
          <w:sz w:val="24"/>
          <w:szCs w:val="26"/>
          <w:rtl w:val="true"/>
        </w:rPr>
        <w:t>יחד</w:t>
      </w:r>
      <w:r>
        <w:rPr>
          <w:rFonts w:cs="Times New Roman"/>
          <w:spacing w:val="0"/>
          <w:sz w:val="24"/>
          <w:sz w:val="24"/>
          <w:szCs w:val="26"/>
          <w:rtl w:val="true"/>
        </w:rPr>
        <w:t xml:space="preserve"> </w:t>
      </w:r>
      <w:r>
        <w:rPr>
          <w:spacing w:val="0"/>
          <w:sz w:val="24"/>
          <w:sz w:val="24"/>
          <w:szCs w:val="26"/>
          <w:rtl w:val="true"/>
        </w:rPr>
        <w:t>עם</w:t>
      </w:r>
      <w:r>
        <w:rPr>
          <w:rFonts w:cs="Times New Roman"/>
          <w:spacing w:val="0"/>
          <w:sz w:val="24"/>
          <w:sz w:val="24"/>
          <w:szCs w:val="26"/>
          <w:rtl w:val="true"/>
        </w:rPr>
        <w:t xml:space="preserve"> </w:t>
      </w:r>
      <w:r>
        <w:rPr>
          <w:spacing w:val="0"/>
          <w:sz w:val="24"/>
          <w:sz w:val="24"/>
          <w:szCs w:val="26"/>
          <w:rtl w:val="true"/>
        </w:rPr>
        <w:t>עונש</w:t>
      </w:r>
      <w:r>
        <w:rPr>
          <w:rFonts w:cs="Times New Roman"/>
          <w:spacing w:val="0"/>
          <w:sz w:val="24"/>
          <w:sz w:val="24"/>
          <w:szCs w:val="26"/>
          <w:rtl w:val="true"/>
        </w:rPr>
        <w:t xml:space="preserve"> </w:t>
      </w:r>
      <w:r>
        <w:rPr>
          <w:spacing w:val="0"/>
          <w:sz w:val="24"/>
          <w:sz w:val="24"/>
          <w:szCs w:val="26"/>
          <w:rtl w:val="true"/>
        </w:rPr>
        <w:t>המאסר</w:t>
      </w:r>
      <w:r>
        <w:rPr>
          <w:rFonts w:cs="Times New Roman"/>
          <w:spacing w:val="0"/>
          <w:sz w:val="24"/>
          <w:sz w:val="24"/>
          <w:szCs w:val="26"/>
          <w:rtl w:val="true"/>
        </w:rPr>
        <w:t xml:space="preserve"> </w:t>
      </w:r>
      <w:r>
        <w:rPr>
          <w:spacing w:val="0"/>
          <w:sz w:val="24"/>
          <w:sz w:val="24"/>
          <w:szCs w:val="26"/>
          <w:rtl w:val="true"/>
        </w:rPr>
        <w:t>המותנה</w:t>
      </w:r>
      <w:r>
        <w:rPr>
          <w:rFonts w:cs="Times New Roman"/>
          <w:spacing w:val="0"/>
          <w:sz w:val="24"/>
          <w:sz w:val="24"/>
          <w:szCs w:val="26"/>
          <w:rtl w:val="true"/>
        </w:rPr>
        <w:t xml:space="preserve"> </w:t>
      </w:r>
      <w:r>
        <w:rPr>
          <w:spacing w:val="0"/>
          <w:sz w:val="24"/>
          <w:sz w:val="24"/>
          <w:szCs w:val="26"/>
          <w:rtl w:val="true"/>
        </w:rPr>
        <w:t>שהופעל</w:t>
      </w:r>
      <w:r>
        <w:rPr>
          <w:rFonts w:cs="Times New Roman"/>
          <w:spacing w:val="0"/>
          <w:sz w:val="24"/>
          <w:sz w:val="24"/>
          <w:szCs w:val="26"/>
          <w:rtl w:val="true"/>
        </w:rPr>
        <w:t xml:space="preserve"> </w:t>
      </w:r>
      <w:r>
        <w:rPr>
          <w:spacing w:val="0"/>
          <w:sz w:val="24"/>
          <w:sz w:val="24"/>
          <w:szCs w:val="26"/>
          <w:rtl w:val="true"/>
        </w:rPr>
        <w:t>במצטבר</w:t>
      </w:r>
      <w:r>
        <w:rPr>
          <w:spacing w:val="0"/>
          <w:sz w:val="24"/>
          <w:szCs w:val="26"/>
          <w:rtl w:val="true"/>
        </w:rPr>
        <w:t xml:space="preserve">, </w:t>
      </w:r>
      <w:r>
        <w:rPr>
          <w:spacing w:val="0"/>
          <w:sz w:val="24"/>
          <w:sz w:val="24"/>
          <w:szCs w:val="26"/>
          <w:rtl w:val="true"/>
        </w:rPr>
        <w:t>יעמוד</w:t>
      </w:r>
      <w:r>
        <w:rPr>
          <w:rFonts w:cs="Times New Roman"/>
          <w:spacing w:val="0"/>
          <w:sz w:val="24"/>
          <w:sz w:val="24"/>
          <w:szCs w:val="26"/>
          <w:rtl w:val="true"/>
        </w:rPr>
        <w:t xml:space="preserve"> </w:t>
      </w:r>
      <w:r>
        <w:rPr>
          <w:spacing w:val="0"/>
          <w:sz w:val="24"/>
          <w:sz w:val="24"/>
          <w:szCs w:val="26"/>
          <w:rtl w:val="true"/>
        </w:rPr>
        <w:t>על</w:t>
      </w:r>
      <w:r>
        <w:rPr>
          <w:rFonts w:cs="Times New Roman"/>
          <w:spacing w:val="0"/>
          <w:sz w:val="24"/>
          <w:sz w:val="24"/>
          <w:szCs w:val="26"/>
          <w:rtl w:val="true"/>
        </w:rPr>
        <w:t xml:space="preserve"> </w:t>
      </w:r>
      <w:r>
        <w:rPr>
          <w:spacing w:val="0"/>
          <w:sz w:val="24"/>
          <w:sz w:val="24"/>
          <w:szCs w:val="26"/>
          <w:rtl w:val="true"/>
        </w:rPr>
        <w:t>שמונה</w:t>
      </w:r>
      <w:r>
        <w:rPr>
          <w:rFonts w:cs="Times New Roman"/>
          <w:spacing w:val="0"/>
          <w:sz w:val="24"/>
          <w:sz w:val="24"/>
          <w:szCs w:val="26"/>
          <w:rtl w:val="true"/>
        </w:rPr>
        <w:t xml:space="preserve"> </w:t>
      </w:r>
      <w:r>
        <w:rPr>
          <w:spacing w:val="0"/>
          <w:sz w:val="24"/>
          <w:sz w:val="24"/>
          <w:szCs w:val="26"/>
          <w:rtl w:val="true"/>
        </w:rPr>
        <w:t>וחצי</w:t>
      </w:r>
      <w:r>
        <w:rPr>
          <w:rFonts w:cs="Times New Roman"/>
          <w:spacing w:val="0"/>
          <w:sz w:val="24"/>
          <w:sz w:val="24"/>
          <w:szCs w:val="26"/>
          <w:rtl w:val="true"/>
        </w:rPr>
        <w:t xml:space="preserve"> </w:t>
      </w:r>
      <w:r>
        <w:rPr>
          <w:spacing w:val="0"/>
          <w:sz w:val="24"/>
          <w:sz w:val="24"/>
          <w:szCs w:val="26"/>
          <w:rtl w:val="true"/>
        </w:rPr>
        <w:t>שנות</w:t>
      </w:r>
      <w:r>
        <w:rPr>
          <w:rFonts w:cs="Times New Roman"/>
          <w:spacing w:val="0"/>
          <w:sz w:val="24"/>
          <w:sz w:val="24"/>
          <w:szCs w:val="26"/>
          <w:rtl w:val="true"/>
        </w:rPr>
        <w:t xml:space="preserve"> </w:t>
      </w:r>
      <w:r>
        <w:rPr>
          <w:spacing w:val="0"/>
          <w:sz w:val="24"/>
          <w:sz w:val="24"/>
          <w:szCs w:val="26"/>
          <w:rtl w:val="true"/>
        </w:rPr>
        <w:t>מאסר</w:t>
      </w:r>
      <w:r>
        <w:rPr>
          <w:spacing w:val="0"/>
          <w:sz w:val="24"/>
          <w:szCs w:val="26"/>
          <w:rtl w:val="true"/>
        </w:rPr>
        <w:t xml:space="preserve">. </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מדיניות</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התערבות</w:t>
      </w:r>
      <w:r>
        <w:rPr>
          <w:rFonts w:cs="Times New Roman"/>
          <w:spacing w:val="0"/>
          <w:sz w:val="24"/>
          <w:sz w:val="24"/>
          <w:szCs w:val="26"/>
          <w:rtl w:val="true"/>
        </w:rPr>
        <w:t xml:space="preserve"> </w:t>
      </w:r>
      <w:r>
        <w:rPr>
          <w:spacing w:val="0"/>
          <w:sz w:val="24"/>
          <w:sz w:val="24"/>
          <w:szCs w:val="26"/>
          <w:rtl w:val="true"/>
        </w:rPr>
        <w:t>ערכאת</w:t>
      </w:r>
      <w:r>
        <w:rPr>
          <w:rFonts w:cs="Times New Roman"/>
          <w:spacing w:val="0"/>
          <w:sz w:val="24"/>
          <w:sz w:val="24"/>
          <w:szCs w:val="26"/>
          <w:rtl w:val="true"/>
        </w:rPr>
        <w:t xml:space="preserve"> </w:t>
      </w:r>
      <w:r>
        <w:rPr>
          <w:spacing w:val="0"/>
          <w:sz w:val="24"/>
          <w:sz w:val="24"/>
          <w:szCs w:val="26"/>
          <w:rtl w:val="true"/>
        </w:rPr>
        <w:t>ערעור</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עבירות</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חבלה</w:t>
      </w:r>
      <w:r>
        <w:rPr>
          <w:rFonts w:cs="Times New Roman"/>
          <w:spacing w:val="0"/>
          <w:sz w:val="24"/>
          <w:sz w:val="24"/>
          <w:szCs w:val="26"/>
          <w:rtl w:val="true"/>
        </w:rPr>
        <w:t xml:space="preserve"> </w:t>
      </w:r>
      <w:r>
        <w:rPr>
          <w:spacing w:val="0"/>
          <w:sz w:val="24"/>
          <w:sz w:val="24"/>
          <w:szCs w:val="26"/>
          <w:rtl w:val="true"/>
        </w:rPr>
        <w:t>בכוונה</w:t>
      </w:r>
      <w:r>
        <w:rPr>
          <w:rFonts w:cs="Times New Roman"/>
          <w:spacing w:val="0"/>
          <w:sz w:val="24"/>
          <w:sz w:val="24"/>
          <w:szCs w:val="26"/>
          <w:rtl w:val="true"/>
        </w:rPr>
        <w:t xml:space="preserve"> </w:t>
      </w:r>
      <w:r>
        <w:rPr>
          <w:spacing w:val="0"/>
          <w:sz w:val="24"/>
          <w:sz w:val="24"/>
          <w:szCs w:val="26"/>
          <w:rtl w:val="true"/>
        </w:rPr>
        <w:t>מחמירה</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 xml:space="preserve">* </w:t>
      </w:r>
      <w:r>
        <w:rPr>
          <w:spacing w:val="0"/>
          <w:sz w:val="24"/>
          <w:sz w:val="24"/>
          <w:szCs w:val="26"/>
          <w:rtl w:val="true"/>
        </w:rPr>
        <w:t>עונשין</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ענישה</w:t>
      </w:r>
      <w:r>
        <w:rPr>
          <w:rFonts w:cs="Times New Roman"/>
          <w:spacing w:val="0"/>
          <w:sz w:val="24"/>
          <w:sz w:val="24"/>
          <w:szCs w:val="26"/>
          <w:rtl w:val="true"/>
        </w:rPr>
        <w:t xml:space="preserve"> </w:t>
      </w:r>
      <w:r>
        <w:rPr>
          <w:spacing w:val="0"/>
          <w:sz w:val="24"/>
          <w:sz w:val="24"/>
          <w:szCs w:val="26"/>
          <w:rtl w:val="true"/>
        </w:rPr>
        <w:t>–</w:t>
      </w:r>
      <w:r>
        <w:rPr>
          <w:rFonts w:cs="Times New Roman"/>
          <w:spacing w:val="0"/>
          <w:sz w:val="24"/>
          <w:sz w:val="24"/>
          <w:szCs w:val="26"/>
          <w:rtl w:val="true"/>
        </w:rPr>
        <w:t xml:space="preserve"> </w:t>
      </w:r>
      <w:r>
        <w:rPr>
          <w:spacing w:val="0"/>
          <w:sz w:val="24"/>
          <w:sz w:val="24"/>
          <w:szCs w:val="26"/>
          <w:rtl w:val="true"/>
        </w:rPr>
        <w:t>מדיניות</w:t>
      </w:r>
      <w:r>
        <w:rPr>
          <w:rFonts w:cs="Times New Roman"/>
          <w:spacing w:val="0"/>
          <w:sz w:val="24"/>
          <w:sz w:val="24"/>
          <w:szCs w:val="26"/>
          <w:rtl w:val="true"/>
        </w:rPr>
        <w:t xml:space="preserve"> </w:t>
      </w:r>
      <w:r>
        <w:rPr>
          <w:spacing w:val="0"/>
          <w:sz w:val="24"/>
          <w:sz w:val="24"/>
          <w:szCs w:val="26"/>
          <w:rtl w:val="true"/>
        </w:rPr>
        <w:t>ענישה</w:t>
      </w:r>
      <w:r>
        <w:rPr>
          <w:spacing w:val="0"/>
          <w:sz w:val="24"/>
          <w:szCs w:val="26"/>
          <w:rtl w:val="true"/>
        </w:rPr>
        <w:t xml:space="preserve">: </w:t>
      </w:r>
      <w:r>
        <w:rPr>
          <w:spacing w:val="0"/>
          <w:sz w:val="24"/>
          <w:sz w:val="24"/>
          <w:szCs w:val="26"/>
          <w:rtl w:val="true"/>
        </w:rPr>
        <w:t>שיקולים</w:t>
      </w:r>
      <w:r>
        <w:rPr>
          <w:rFonts w:cs="Times New Roman"/>
          <w:spacing w:val="0"/>
          <w:sz w:val="24"/>
          <w:sz w:val="24"/>
          <w:szCs w:val="26"/>
          <w:rtl w:val="true"/>
        </w:rPr>
        <w:t xml:space="preserve"> </w:t>
      </w:r>
      <w:r>
        <w:rPr>
          <w:spacing w:val="0"/>
          <w:sz w:val="24"/>
          <w:sz w:val="24"/>
          <w:szCs w:val="26"/>
          <w:rtl w:val="true"/>
        </w:rPr>
        <w:t>לחומרה</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על קולת העונש שהוטל על המשיב בגז</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ד מחוזי לפיו הוטלו על המשיב שבע שנות מאסר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מתוכן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חצי שנת מאסר בגין הפעלת עונש מאסר מותנה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מאסר מותנה ופיצוי למתלוננת בסך של </w:t>
      </w:r>
      <w:r>
        <w:rPr>
          <w:rFonts w:cs="Times New Roman" w:ascii="Times New Roman" w:hAnsi="Times New Roman"/>
          <w:spacing w:val="0"/>
          <w:sz w:val="24"/>
          <w:szCs w:val="26"/>
        </w:rPr>
        <w:t>50,000</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וזאת בעקבות הרשעת המשיב במסגרת הסדר טיעון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בעבירה של חבלה בכוונה מחמירה שעניינה בדקירת אחותו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מספר פעמים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רקע אי שביעות רצונו מהקשר שניהלה עם ארוס</w:t>
      </w:r>
      <w:r>
        <w:rPr>
          <w:rFonts w:ascii="Times New Roman" w:hAnsi="Times New Roman" w:cs="Times New Roman"/>
          <w:spacing w:val="0"/>
          <w:sz w:val="24"/>
          <w:sz w:val="24"/>
          <w:szCs w:val="26"/>
          <w:rtl w:val="true"/>
        </w:rPr>
        <w:t>הּ</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מפי </w:t>
      </w:r>
      <w:r>
        <w:rPr>
          <w:rFonts w:ascii="Times New Roman" w:hAnsi="Times New Roman" w:cs="Times New Roman"/>
          <w:spacing w:val="0"/>
          <w:sz w:val="24"/>
          <w:sz w:val="24"/>
          <w:szCs w:val="26"/>
          <w:rtl w:val="true"/>
        </w:rPr>
        <w:t>השופט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מהטעמים הבאים</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כידוע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הערעור בגזר הדין שמורה למקרים חריגים בלבד שבהם חורג העונש במידה ניכרת ממדיניות הענישה הנוהגת או הראויה במקרים דומים או שנפל פגם מהותי בגזר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המקרה דנא מצדיק התערבות על פי אמות מידה אלו</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העונש שהוטל על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שש וחצי שנות מאסר בגין העבירה שביצע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אינו מבטא באופן ראוי את מכלול נסיבות החומרה שנשקלו וצוינו בגזר דינו של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בכלל זה יש למנות את חומרת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שעונשה המירבי עומד על עשרים 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העובדה שהמשיב דקר את המתלוננת בחלקי גוף שונים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באמצעות סכין בעלת להב ארוך והעמיד אותה בסכנת חיים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העובדה שהמתלוננת היתה מאושפזת בבית חולים למשך תקופה של חמישה ימים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העובדה כי ביצע את המעשה בבית המשפחה מקום בו אמורה המתלוננת להיות מוגנת ובטוחה מפני כל פגע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ואת העילה לדקירה והיא הסתייגותו מאירוסיה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שמהן עולה כי המשיב פעל באופן מידי וחסר מעצורים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לאחר שנוכח כי אחותו משוחחת בטלפון עם ארוסה ניגש למטבח הבית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הצטייד בסכין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חזר לחדר ודקר אותה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כל משמעות להיעדר תכנון מוקדם של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יש להדגיש כי אין זה מקרה האלימות הראשון מצד המשיב כלפי בני משפחתו הקרובים וכי מקרה זה אף עולה בחומרתו על מעשיו הקודמים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וזאת בשעה שעונש מאסר מותנה תלוי ועומד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מקום ליתן משקל לעובדה שעונשי מאסר קודמים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גם עונש מאסר מותנה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הרתיעו את המשיב ולא הביאו לשינוי דרכו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ויש צורך ממשי בהרחקתו מבני משפחתו והרתעתו לעתיד</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אל מול שיקולי חומרה אלו לא מתקיימים בענייננו שיקולים ממשיים לקולה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לבד מהודאת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שלא נלוותה אליה הבעת חרטה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ולקשייו בריצוי עונש המאסר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רקע מכלול שיקולים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היה מקום לגזור על המשיב עונש הנוטה לרף התחתון במתחם העונש שקבע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כפי שנעשה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נכון היה להעמיד את העונש ברף העליון של המתחם שנקבע</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ובהתאם לכלל לפיו אין ערכאת הערעור ממצה את הדין בערעור על קולת העונש הוחלט להעמיד את עונשו של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בגין המעשה שביצע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שמונה 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יתר רכיבי הענישה יעמדו בעינם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שעונשו הכולל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 עם עונש המאסר המותנה שהופעל במצטבר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יעמוד על שמונה וחצי שנות מאסר</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Ruller4"/>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
        <w:ind w:end="0"/>
        <w:jc w:val="both"/>
        <w:rPr>
          <w:rFonts w:ascii="Century" w:hAnsi="Century" w:cs="Century"/>
          <w:sz w:val="24"/>
          <w:szCs w:val="24"/>
          <w:u w:val="single"/>
        </w:rPr>
      </w:pPr>
      <w:r>
        <w:rPr>
          <w:rFonts w:cs="Century" w:ascii="Century" w:hAnsi="Century"/>
          <w:sz w:val="24"/>
          <w:szCs w:val="24"/>
          <w:u w:val="single"/>
          <w:rtl w:val="true"/>
        </w:rPr>
      </w:r>
    </w:p>
    <w:p>
      <w:pPr>
        <w:pStyle w:val="Ruller4"/>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בחיפה</w:t>
      </w:r>
      <w:r>
        <w:rPr>
          <w:rFonts w:eastAsia="Arial TUR;Arial" w:cs="Arial TUR;Arial"/>
          <w:rtl w:val="true"/>
        </w:rPr>
        <w:t xml:space="preserve"> </w:t>
      </w:r>
      <w:r>
        <w:rPr>
          <w:rtl w:val="true"/>
        </w:rPr>
        <w:t>(</w:t>
      </w:r>
      <w:r>
        <w:rPr>
          <w:rtl w:val="true"/>
        </w:rPr>
        <w:t>כבוד</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tl w:val="true"/>
        </w:rPr>
        <w:t xml:space="preserve">) </w:t>
      </w:r>
      <w:r>
        <w:rPr>
          <w:rtl w:val="true"/>
        </w:rPr>
        <w:t>מיום</w:t>
      </w:r>
      <w:r>
        <w:rPr>
          <w:rFonts w:eastAsia="Arial TUR;Arial" w:cs="Arial TUR;Arial"/>
          <w:rtl w:val="true"/>
        </w:rPr>
        <w:t xml:space="preserve"> </w:t>
      </w:r>
      <w:r>
        <w:rPr/>
        <w:t>7.5.2019</w:t>
      </w:r>
      <w:r>
        <w:rPr>
          <w:rtl w:val="true"/>
        </w:rPr>
        <w:t xml:space="preserve"> </w:t>
      </w:r>
      <w:r>
        <w:rPr>
          <w:rtl w:val="true"/>
        </w:rPr>
        <w:t>ב</w:t>
      </w:r>
      <w:r>
        <w:rPr>
          <w:rtl w:val="true"/>
        </w:rPr>
        <w:t>ת</w:t>
      </w:r>
      <w:r>
        <w:rPr>
          <w:rtl w:val="true"/>
        </w:rPr>
        <w:t>"</w:t>
      </w:r>
      <w:r>
        <w:rPr>
          <w:rtl w:val="true"/>
        </w:rPr>
        <w:t>פ</w:t>
      </w:r>
      <w:r>
        <w:rPr>
          <w:rFonts w:eastAsia="Arial TUR;Arial" w:cs="Arial TUR;Arial"/>
          <w:rtl w:val="true"/>
        </w:rPr>
        <w:t xml:space="preserve"> </w:t>
      </w:r>
      <w:r>
        <w:rPr/>
        <w:t>19549-12-18</w:t>
      </w:r>
      <w:r>
        <w:rPr>
          <w:rtl w:val="true"/>
        </w:rPr>
        <w:t xml:space="preserve">, </w:t>
      </w:r>
      <w:r>
        <w:rPr>
          <w:rtl w:val="true"/>
        </w:rPr>
        <w:t>בגדרו</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w:t>
      </w:r>
      <w:r>
        <w:rPr>
          <w:rtl w:val="true"/>
        </w:rPr>
        <w:t>מתוכן</w:t>
      </w:r>
      <w:r>
        <w:rPr>
          <w:rtl w:val="true"/>
        </w:rPr>
        <w:t xml:space="preserve">, </w:t>
      </w:r>
      <w:r>
        <w:rPr>
          <w:rtl w:val="true"/>
        </w:rPr>
        <w:t>חצי</w:t>
      </w:r>
      <w:r>
        <w:rPr>
          <w:rFonts w:eastAsia="Arial TUR;Arial" w:cs="Arial TUR;Arial"/>
          <w:rtl w:val="true"/>
        </w:rPr>
        <w:t xml:space="preserve"> </w:t>
      </w:r>
      <w:r>
        <w:rPr>
          <w:rtl w:val="true"/>
        </w:rPr>
        <w:t>שנת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מותנה</w:t>
      </w:r>
      <w:r>
        <w:rPr>
          <w:rFonts w:eastAsia="Arial TUR;Arial" w:cs="Arial TUR;Arial"/>
          <w:rtl w:val="true"/>
        </w:rPr>
        <w:t xml:space="preserve"> </w:t>
      </w:r>
      <w:r>
        <w:rPr>
          <w:rtl w:val="true"/>
        </w:rPr>
        <w:t>מ</w:t>
      </w:r>
      <w:r>
        <w:rPr>
          <w:rtl w:val="true"/>
        </w:rPr>
        <w:t>ת</w:t>
      </w:r>
      <w:r>
        <w:rPr>
          <w:rtl w:val="true"/>
        </w:rPr>
        <w:t>"</w:t>
      </w:r>
      <w:r>
        <w:rPr>
          <w:rtl w:val="true"/>
        </w:rPr>
        <w:t>פ</w:t>
      </w:r>
      <w:r>
        <w:rPr>
          <w:rFonts w:eastAsia="Arial TUR;Arial" w:cs="Arial TUR;Arial"/>
          <w:rtl w:val="true"/>
        </w:rPr>
        <w:t xml:space="preserve"> </w:t>
      </w:r>
      <w:r>
        <w:rPr/>
        <w:t>48594-06-16</w:t>
      </w:r>
      <w:r>
        <w:rPr>
          <w:rtl w:val="true"/>
        </w:rPr>
        <w:t xml:space="preserve">), </w:t>
      </w:r>
      <w:r>
        <w:rPr>
          <w:rtl w:val="true"/>
        </w:rPr>
        <w:t>מאסר</w:t>
      </w:r>
      <w:r>
        <w:rPr>
          <w:rFonts w:eastAsia="Arial TUR;Arial" w:cs="Arial TUR;Arial"/>
          <w:rtl w:val="true"/>
        </w:rPr>
        <w:t xml:space="preserve"> </w:t>
      </w:r>
      <w:r>
        <w:rPr>
          <w:rtl w:val="true"/>
        </w:rPr>
        <w:t>מותנה</w:t>
      </w:r>
      <w:r>
        <w:rPr>
          <w:rFonts w:eastAsia="Arial TUR;Arial" w:cs="Arial TUR;Arial"/>
          <w:rtl w:val="true"/>
        </w:rPr>
        <w:t xml:space="preserve"> </w:t>
      </w:r>
      <w:r>
        <w:rPr>
          <w:rtl w:val="true"/>
        </w:rPr>
        <w:t>ופיצוי</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של</w:t>
      </w:r>
      <w:r>
        <w:rPr>
          <w:rFonts w:eastAsia="Arial TUR;Arial" w:cs="Arial TUR;Arial"/>
          <w:rtl w:val="true"/>
        </w:rPr>
        <w:t xml:space="preserve"> </w:t>
      </w:r>
      <w:r>
        <w:rPr/>
        <w:t>50,000</w:t>
      </w:r>
      <w:r>
        <w:rPr>
          <w:rtl w:val="true"/>
        </w:rPr>
        <w:t xml:space="preserve"> </w:t>
      </w:r>
      <w:r>
        <w:rPr>
          <w:rtl w:val="true"/>
        </w:rPr>
        <w:t>ש</w:t>
      </w:r>
      <w:r>
        <w:rPr>
          <w:rtl w:val="true"/>
        </w:rPr>
        <w:t>"</w:t>
      </w:r>
      <w:r>
        <w:rPr>
          <w:rtl w:val="true"/>
        </w:rPr>
        <w:t>ח</w:t>
      </w:r>
      <w:r>
        <w:rPr>
          <w:rtl w:val="true"/>
        </w:rPr>
        <w:t xml:space="preserve">. </w:t>
      </w:r>
      <w:r>
        <w:rPr>
          <w:rtl w:val="true"/>
        </w:rPr>
        <w:t>הערעור</w:t>
      </w:r>
      <w:r>
        <w:rPr>
          <w:rFonts w:eastAsia="Arial TUR;Arial" w:cs="Arial TUR;Arial"/>
          <w:rtl w:val="true"/>
        </w:rPr>
        <w:t xml:space="preserve"> </w:t>
      </w:r>
      <w:r>
        <w:rPr>
          <w:rtl w:val="true"/>
        </w:rPr>
        <w:t>מופנה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העונש</w:t>
      </w:r>
      <w:r>
        <w:rPr>
          <w:rtl w:val="true"/>
        </w:rPr>
        <w:t>.</w:t>
      </w:r>
    </w:p>
    <w:p>
      <w:pPr>
        <w:pStyle w:val="Ruller4"/>
        <w:ind w:end="0"/>
        <w:jc w:val="both"/>
        <w:rPr/>
      </w:pPr>
      <w:r>
        <w:rPr>
          <w:rtl w:val="true"/>
        </w:rPr>
      </w:r>
    </w:p>
    <w:p>
      <w:pPr>
        <w:pStyle w:val="Ruller4"/>
        <w:ind w:end="0"/>
        <w:jc w:val="both"/>
        <w:rPr>
          <w:rFonts w:ascii="Century" w:hAnsi="Century" w:cs="Century"/>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1</w:t>
      </w:r>
      <w:r>
        <w:rPr>
          <w:rFonts w:cs="Century" w:ascii="Century" w:hAnsi="Century"/>
          <w:rtl w:val="true"/>
        </w:rPr>
        <w:t>.</w:t>
        <w:tab/>
      </w:r>
      <w:r>
        <w:rPr>
          <w:rFonts w:ascii="Century" w:hAnsi="Century" w:cs="Century"/>
          <w:rtl w:val="true"/>
        </w:rPr>
        <w:t>המשיב הורשע על פי הודאתו</w:t>
      </w:r>
      <w:r>
        <w:rPr>
          <w:rFonts w:cs="Century" w:ascii="Century" w:hAnsi="Century"/>
          <w:rtl w:val="true"/>
        </w:rPr>
        <w:t xml:space="preserve">, </w:t>
      </w:r>
      <w:r>
        <w:rPr>
          <w:rFonts w:ascii="Century" w:hAnsi="Century" w:cs="Century"/>
          <w:rtl w:val="true"/>
        </w:rPr>
        <w:t>במסגרת הסדר טיעון</w:t>
      </w:r>
      <w:r>
        <w:rPr>
          <w:rFonts w:cs="Century" w:ascii="Century" w:hAnsi="Century"/>
          <w:rtl w:val="true"/>
        </w:rPr>
        <w:t xml:space="preserve">, </w:t>
      </w:r>
      <w:r>
        <w:rPr>
          <w:rFonts w:ascii="Century" w:hAnsi="Century" w:cs="Century"/>
          <w:rtl w:val="true"/>
        </w:rPr>
        <w:t xml:space="preserve">בעבירה של חבלה בכוונה מחמירה </w:t>
      </w:r>
      <w:r>
        <w:rPr>
          <w:rFonts w:cs="Century" w:ascii="Century" w:hAnsi="Century"/>
          <w:rtl w:val="true"/>
        </w:rPr>
        <w:t>(</w:t>
      </w:r>
      <w:r>
        <w:rPr>
          <w:rFonts w:ascii="Century" w:hAnsi="Century" w:cs="Century"/>
          <w:rtl w:val="true"/>
        </w:rPr>
        <w:t xml:space="preserve">עבירה לפי </w:t>
      </w:r>
      <w:hyperlink r:id="rId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329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הסדר הטיעון לא כלל הסכמה עונשית כלשהי</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2</w:t>
      </w:r>
      <w:r>
        <w:rPr>
          <w:rFonts w:cs="Century" w:ascii="Century" w:hAnsi="Century"/>
          <w:rtl w:val="true"/>
        </w:rPr>
        <w:t>.</w:t>
        <w:tab/>
      </w:r>
      <w:r>
        <w:rPr>
          <w:rFonts w:ascii="Century" w:hAnsi="Century" w:cs="Century"/>
          <w:rtl w:val="true"/>
        </w:rPr>
        <w:t>על פי עובדות כתב האישום המתוקן</w:t>
      </w:r>
      <w:r>
        <w:rPr>
          <w:rFonts w:cs="Century" w:ascii="Century" w:hAnsi="Century"/>
          <w:rtl w:val="true"/>
        </w:rPr>
        <w:t xml:space="preserve">, </w:t>
      </w:r>
      <w:r>
        <w:rPr>
          <w:rFonts w:ascii="Century" w:hAnsi="Century" w:cs="Century"/>
          <w:rtl w:val="true"/>
        </w:rPr>
        <w:t>דקר המשיב את המתלוננת</w:t>
      </w:r>
      <w:r>
        <w:rPr>
          <w:rFonts w:cs="Century" w:ascii="Century" w:hAnsi="Century"/>
          <w:rtl w:val="true"/>
        </w:rPr>
        <w:t xml:space="preserve">, </w:t>
      </w:r>
      <w:r>
        <w:rPr>
          <w:rFonts w:ascii="Century" w:hAnsi="Century" w:cs="Century"/>
          <w:rtl w:val="true"/>
        </w:rPr>
        <w:t>שהיא אחותו</w:t>
      </w:r>
      <w:r>
        <w:rPr>
          <w:rFonts w:cs="Century" w:ascii="Century" w:hAnsi="Century"/>
          <w:rtl w:val="true"/>
        </w:rPr>
        <w:t xml:space="preserve">, </w:t>
      </w:r>
      <w:r>
        <w:rPr>
          <w:rFonts w:ascii="Century" w:hAnsi="Century" w:cs="Century"/>
          <w:rtl w:val="true"/>
        </w:rPr>
        <w:t>מספר פעמים בזרועותיה</w:t>
      </w:r>
      <w:r>
        <w:rPr>
          <w:rFonts w:cs="Century" w:ascii="Century" w:hAnsi="Century"/>
          <w:rtl w:val="true"/>
        </w:rPr>
        <w:t xml:space="preserve">, </w:t>
      </w:r>
      <w:r>
        <w:rPr>
          <w:rFonts w:ascii="Century" w:hAnsi="Century" w:cs="Century"/>
          <w:rtl w:val="true"/>
        </w:rPr>
        <w:t>בחזה</w:t>
      </w:r>
      <w:r>
        <w:rPr>
          <w:rFonts w:cs="Century" w:ascii="Century" w:hAnsi="Century"/>
          <w:rtl w:val="true"/>
        </w:rPr>
        <w:t xml:space="preserve">, </w:t>
      </w:r>
      <w:r>
        <w:rPr>
          <w:rFonts w:ascii="Century" w:hAnsi="Century" w:cs="Century"/>
          <w:rtl w:val="true"/>
        </w:rPr>
        <w:t>במותנה ובבטנה</w:t>
      </w:r>
      <w:r>
        <w:rPr>
          <w:rFonts w:cs="Century" w:ascii="Century" w:hAnsi="Century"/>
          <w:rtl w:val="true"/>
        </w:rPr>
        <w:t xml:space="preserve">, </w:t>
      </w:r>
      <w:r>
        <w:rPr>
          <w:rFonts w:ascii="Century" w:hAnsi="Century" w:cs="Century"/>
          <w:rtl w:val="true"/>
        </w:rPr>
        <w:t>עד אשר דיממה ונפלה</w:t>
      </w:r>
      <w:r>
        <w:rPr>
          <w:rFonts w:cs="Century" w:ascii="Century" w:hAnsi="Century"/>
          <w:rtl w:val="true"/>
        </w:rPr>
        <w:t xml:space="preserve">, </w:t>
      </w:r>
      <w:r>
        <w:rPr>
          <w:rFonts w:ascii="Century" w:hAnsi="Century" w:cs="Century"/>
          <w:rtl w:val="true"/>
        </w:rPr>
        <w:t>בכוונה להטיל בה נכות או מום או לגרום לה חבלה חמורה</w:t>
      </w:r>
      <w:r>
        <w:rPr>
          <w:rFonts w:cs="Century" w:ascii="Century" w:hAnsi="Century"/>
          <w:rtl w:val="true"/>
        </w:rPr>
        <w:t xml:space="preserve">. </w:t>
      </w:r>
      <w:r>
        <w:rPr>
          <w:rFonts w:ascii="Century" w:hAnsi="Century" w:cs="Century"/>
          <w:rtl w:val="true"/>
        </w:rPr>
        <w:t>וזאת</w:t>
      </w:r>
      <w:r>
        <w:rPr>
          <w:rFonts w:cs="Century" w:ascii="Century" w:hAnsi="Century"/>
          <w:rtl w:val="true"/>
        </w:rPr>
        <w:t xml:space="preserve">, </w:t>
      </w:r>
      <w:r>
        <w:rPr>
          <w:rFonts w:ascii="Century" w:hAnsi="Century" w:cs="Century"/>
          <w:rtl w:val="true"/>
        </w:rPr>
        <w:t>על רקע אי שביעות רצונו מהקשר שניהלה עם ארוס</w:t>
      </w:r>
      <w:r>
        <w:rPr>
          <w:rFonts w:ascii="FrankRuehl" w:hAnsi="FrankRuehl"/>
          <w:rtl w:val="true"/>
        </w:rPr>
        <w:t>הּ</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המשיב ביצע את הדקירה בבית המשפחה</w:t>
      </w:r>
      <w:r>
        <w:rPr>
          <w:rFonts w:cs="Century" w:ascii="Century" w:hAnsi="Century"/>
          <w:rtl w:val="true"/>
        </w:rPr>
        <w:t xml:space="preserve">, </w:t>
      </w:r>
      <w:r>
        <w:rPr>
          <w:rFonts w:ascii="Century" w:hAnsi="Century" w:cs="Century"/>
          <w:rtl w:val="true"/>
        </w:rPr>
        <w:t>באמצעות סכין מטבח בעלת להב של כ</w:t>
      </w:r>
      <w:r>
        <w:rPr>
          <w:rFonts w:cs="Century" w:ascii="Century" w:hAnsi="Century"/>
          <w:rtl w:val="true"/>
        </w:rPr>
        <w:t>-</w:t>
      </w:r>
      <w:r>
        <w:rPr>
          <w:rFonts w:cs="Century" w:ascii="Century" w:hAnsi="Century"/>
        </w:rPr>
        <w:t>17</w:t>
      </w:r>
      <w:r>
        <w:rPr>
          <w:rFonts w:cs="Century" w:ascii="Century" w:hAnsi="Century"/>
          <w:rtl w:val="true"/>
        </w:rPr>
        <w:t xml:space="preserve"> </w:t>
      </w:r>
      <w:r>
        <w:rPr>
          <w:rFonts w:ascii="Century" w:hAnsi="Century" w:cs="Century"/>
          <w:rtl w:val="true"/>
        </w:rPr>
        <w:t>ס</w:t>
      </w:r>
      <w:r>
        <w:rPr>
          <w:rFonts w:cs="Century" w:ascii="Century" w:hAnsi="Century"/>
          <w:rtl w:val="true"/>
        </w:rPr>
        <w:t>"</w:t>
      </w:r>
      <w:r>
        <w:rPr>
          <w:rFonts w:ascii="Century" w:hAnsi="Century" w:cs="Century"/>
          <w:rtl w:val="true"/>
        </w:rPr>
        <w:t>מ וגרם למתלוננת חתך של כ</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ס</w:t>
      </w:r>
      <w:r>
        <w:rPr>
          <w:rFonts w:cs="Century" w:ascii="Century" w:hAnsi="Century"/>
          <w:rtl w:val="true"/>
        </w:rPr>
        <w:t>"</w:t>
      </w:r>
      <w:r>
        <w:rPr>
          <w:rFonts w:ascii="Century" w:hAnsi="Century" w:cs="Century"/>
          <w:rtl w:val="true"/>
        </w:rPr>
        <w:t>מ במותנה</w:t>
      </w:r>
      <w:r>
        <w:rPr>
          <w:rFonts w:cs="Century" w:ascii="Century" w:hAnsi="Century"/>
          <w:rtl w:val="true"/>
        </w:rPr>
        <w:t xml:space="preserve">, </w:t>
      </w:r>
      <w:r>
        <w:rPr>
          <w:rFonts w:ascii="Century" w:hAnsi="Century" w:cs="Century"/>
          <w:rtl w:val="true"/>
        </w:rPr>
        <w:t>קרע עם המטומה בכליה</w:t>
      </w:r>
      <w:r>
        <w:rPr>
          <w:rFonts w:cs="Century" w:ascii="Century" w:hAnsi="Century"/>
          <w:rtl w:val="true"/>
        </w:rPr>
        <w:t xml:space="preserve">, </w:t>
      </w:r>
      <w:r>
        <w:rPr>
          <w:rFonts w:ascii="Century" w:hAnsi="Century" w:cs="Century"/>
          <w:rtl w:val="true"/>
        </w:rPr>
        <w:t>פגיעה בריאה שגרמה לחזה אוויר ודימום</w:t>
      </w:r>
      <w:r>
        <w:rPr>
          <w:rFonts w:cs="Century" w:ascii="Century" w:hAnsi="Century"/>
          <w:rtl w:val="true"/>
        </w:rPr>
        <w:t xml:space="preserve">, </w:t>
      </w:r>
      <w:r>
        <w:rPr>
          <w:rFonts w:ascii="Century" w:hAnsi="Century" w:cs="Century"/>
          <w:rtl w:val="true"/>
        </w:rPr>
        <w:t>המטומה בגבה</w:t>
      </w:r>
      <w:r>
        <w:rPr>
          <w:rFonts w:cs="Century" w:ascii="Century" w:hAnsi="Century"/>
          <w:rtl w:val="true"/>
        </w:rPr>
        <w:t xml:space="preserve">, </w:t>
      </w:r>
      <w:r>
        <w:rPr>
          <w:rFonts w:ascii="Century" w:hAnsi="Century" w:cs="Century"/>
          <w:rtl w:val="true"/>
        </w:rPr>
        <w:t xml:space="preserve">שני פצעי דקירה שאורכם עד </w:t>
      </w:r>
      <w:r>
        <w:rPr>
          <w:rFonts w:cs="Century" w:ascii="Century" w:hAnsi="Century"/>
        </w:rPr>
        <w:t>1.5</w:t>
      </w:r>
      <w:r>
        <w:rPr>
          <w:rFonts w:cs="Century" w:ascii="Century" w:hAnsi="Century"/>
          <w:rtl w:val="true"/>
        </w:rPr>
        <w:t xml:space="preserve"> </w:t>
      </w:r>
      <w:r>
        <w:rPr>
          <w:rFonts w:ascii="Century" w:hAnsi="Century" w:cs="Century"/>
          <w:rtl w:val="true"/>
        </w:rPr>
        <w:t>ס</w:t>
      </w:r>
      <w:r>
        <w:rPr>
          <w:rFonts w:cs="Century" w:ascii="Century" w:hAnsi="Century"/>
          <w:rtl w:val="true"/>
        </w:rPr>
        <w:t>"</w:t>
      </w:r>
      <w:r>
        <w:rPr>
          <w:rFonts w:ascii="Century" w:hAnsi="Century" w:cs="Century"/>
          <w:rtl w:val="true"/>
        </w:rPr>
        <w:t>מ בחזה</w:t>
      </w:r>
      <w:r>
        <w:rPr>
          <w:rFonts w:cs="Century" w:ascii="Century" w:hAnsi="Century"/>
          <w:rtl w:val="true"/>
        </w:rPr>
        <w:t xml:space="preserve">, </w:t>
      </w:r>
      <w:r>
        <w:rPr>
          <w:rFonts w:ascii="Century" w:hAnsi="Century" w:cs="Century"/>
          <w:rtl w:val="true"/>
        </w:rPr>
        <w:t>פצע דקירה סמוך לעצם השכמה</w:t>
      </w:r>
      <w:r>
        <w:rPr>
          <w:rFonts w:cs="Century" w:ascii="Century" w:hAnsi="Century"/>
          <w:rtl w:val="true"/>
        </w:rPr>
        <w:t xml:space="preserve">, </w:t>
      </w:r>
      <w:r>
        <w:rPr>
          <w:rFonts w:ascii="Century" w:hAnsi="Century" w:cs="Century"/>
          <w:rtl w:val="true"/>
        </w:rPr>
        <w:t>שלושה חתכים בזרועותיה וחתך באמה</w:t>
      </w:r>
      <w:r>
        <w:rPr>
          <w:rFonts w:cs="Century" w:ascii="Century" w:hAnsi="Century"/>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Century" w:ascii="Century" w:hAnsi="Century"/>
        </w:rPr>
        <w:t>3</w:t>
      </w:r>
      <w:r>
        <w:rPr>
          <w:rFonts w:cs="Century" w:ascii="Century" w:hAnsi="Century"/>
          <w:rtl w:val="true"/>
        </w:rPr>
        <w:t>.</w:t>
        <w:tab/>
      </w:r>
      <w:r>
        <w:rPr>
          <w:rFonts w:ascii="Century" w:hAnsi="Century" w:cs="Century"/>
          <w:rtl w:val="true"/>
        </w:rPr>
        <w:t>בית המשפט המחוזי עמד על הרקע לביצוע המעשה ועל חומרתו כשבעטיו היתה המתלוננת נתונה בסכנת חיים ואשר הותיר בה צלקות פיסיות ונפשיות</w:t>
      </w:r>
      <w:r>
        <w:rPr>
          <w:rFonts w:cs="Century" w:ascii="Century" w:hAnsi="Century"/>
          <w:rtl w:val="true"/>
        </w:rPr>
        <w:t xml:space="preserve">; </w:t>
      </w:r>
      <w:r>
        <w:rPr>
          <w:rFonts w:ascii="Century" w:hAnsi="Century" w:cs="Century"/>
          <w:rtl w:val="true"/>
        </w:rPr>
        <w:t>על כך שהמשיב שב ונוקט אלימות חמורה כלפי בני משפחתו</w:t>
      </w:r>
      <w:r>
        <w:rPr>
          <w:rFonts w:cs="Century" w:ascii="Century" w:hAnsi="Century"/>
          <w:rtl w:val="true"/>
        </w:rPr>
        <w:t xml:space="preserve">; </w:t>
      </w:r>
      <w:r>
        <w:rPr>
          <w:rFonts w:ascii="Century" w:hAnsi="Century" w:cs="Century"/>
          <w:rtl w:val="true"/>
        </w:rPr>
        <w:t>על הפגיעה הקשה בערכים המוגנים בעבירה ועל מדיניות הענישה הנוהגת</w:t>
      </w:r>
      <w:r>
        <w:rPr>
          <w:rFonts w:cs="Century" w:ascii="Century" w:hAnsi="Century"/>
          <w:rtl w:val="true"/>
        </w:rPr>
        <w:t xml:space="preserve">, </w:t>
      </w:r>
      <w:r>
        <w:rPr>
          <w:rFonts w:ascii="Century" w:hAnsi="Century" w:cs="Century"/>
          <w:rtl w:val="true"/>
        </w:rPr>
        <w:t>והעמיד את מתחם העונש ההולם על חמש עד תשע שנות מאסר</w:t>
      </w:r>
      <w:r>
        <w:rPr>
          <w:rFonts w:cs="Century" w:ascii="Century" w:hAnsi="Century"/>
          <w:rtl w:val="true"/>
        </w:rPr>
        <w:t xml:space="preserve">, </w:t>
      </w:r>
      <w:r>
        <w:rPr>
          <w:rFonts w:ascii="Century" w:hAnsi="Century" w:cs="Century"/>
          <w:rtl w:val="true"/>
        </w:rPr>
        <w:t>מאסר מותנה ופיצוי</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בקביעת העונש בתוך המתחם</w:t>
      </w:r>
      <w:r>
        <w:rPr>
          <w:rFonts w:cs="Century" w:ascii="Century" w:hAnsi="Century"/>
          <w:rtl w:val="true"/>
        </w:rPr>
        <w:t xml:space="preserve">, </w:t>
      </w:r>
      <w:r>
        <w:rPr>
          <w:rFonts w:ascii="Century" w:hAnsi="Century" w:cs="Century"/>
          <w:rtl w:val="true"/>
        </w:rPr>
        <w:t>שקל בית המשפט מחד גיסא את פגיעת עונש המאסר במשיב בשל קשייו לשהות בחברת אסירים אחרים ואת הודאתו</w:t>
      </w:r>
      <w:r>
        <w:rPr>
          <w:rFonts w:cs="Century" w:ascii="Century" w:hAnsi="Century"/>
          <w:rtl w:val="true"/>
        </w:rPr>
        <w:t xml:space="preserve">. </w:t>
      </w:r>
      <w:r>
        <w:rPr>
          <w:rFonts w:ascii="Century" w:hAnsi="Century" w:cs="Century"/>
          <w:rtl w:val="true"/>
        </w:rPr>
        <w:t>ומאידך גיסא</w:t>
      </w:r>
      <w:r>
        <w:rPr>
          <w:rFonts w:cs="Century" w:ascii="Century" w:hAnsi="Century"/>
          <w:rtl w:val="true"/>
        </w:rPr>
        <w:t xml:space="preserve">, </w:t>
      </w:r>
      <w:r>
        <w:rPr>
          <w:rFonts w:ascii="Century" w:hAnsi="Century" w:cs="Century"/>
          <w:rtl w:val="true"/>
        </w:rPr>
        <w:t>את הימנעותו של המשיב מלהביע חרטה</w:t>
      </w:r>
      <w:r>
        <w:rPr>
          <w:rFonts w:cs="Century" w:ascii="Century" w:hAnsi="Century"/>
          <w:rtl w:val="true"/>
        </w:rPr>
        <w:t xml:space="preserve">; </w:t>
      </w:r>
      <w:r>
        <w:rPr>
          <w:rFonts w:ascii="Century" w:hAnsi="Century" w:cs="Century"/>
          <w:rtl w:val="true"/>
        </w:rPr>
        <w:t>את עברו הפלילי המכביד</w:t>
      </w:r>
      <w:r>
        <w:rPr>
          <w:rFonts w:cs="Century" w:ascii="Century" w:hAnsi="Century"/>
          <w:rtl w:val="true"/>
        </w:rPr>
        <w:t xml:space="preserve">, </w:t>
      </w:r>
      <w:r>
        <w:rPr>
          <w:rFonts w:ascii="Century" w:hAnsi="Century" w:cs="Century"/>
          <w:rtl w:val="true"/>
        </w:rPr>
        <w:t>הכולל עבירות אלימות רבות בגינן ריצה עונשי מאסר משמעותיים</w:t>
      </w:r>
      <w:r>
        <w:rPr>
          <w:rFonts w:cs="Century" w:ascii="Century" w:hAnsi="Century"/>
          <w:rtl w:val="true"/>
        </w:rPr>
        <w:t xml:space="preserve">; </w:t>
      </w:r>
      <w:r>
        <w:rPr>
          <w:rFonts w:ascii="Century" w:hAnsi="Century" w:cs="Century"/>
          <w:rtl w:val="true"/>
        </w:rPr>
        <w:t>ואת העובדה כי ביצע את המעשה כאשר עונש מאסר מותנה תלוי ועומד נגדו</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לאור האמור לעיל</w:t>
      </w:r>
      <w:r>
        <w:rPr>
          <w:rFonts w:cs="Century" w:ascii="Century" w:hAnsi="Century"/>
          <w:rtl w:val="true"/>
        </w:rPr>
        <w:t xml:space="preserve">, </w:t>
      </w:r>
      <w:r>
        <w:rPr>
          <w:rFonts w:ascii="Century" w:hAnsi="Century" w:cs="Century"/>
          <w:rtl w:val="true"/>
        </w:rPr>
        <w:t>נגזר עונשו של המשיב</w:t>
      </w:r>
      <w:r>
        <w:rPr>
          <w:rFonts w:cs="Century" w:ascii="Century" w:hAnsi="Century"/>
          <w:rtl w:val="true"/>
        </w:rPr>
        <w:t xml:space="preserve">, </w:t>
      </w:r>
      <w:r>
        <w:rPr>
          <w:rFonts w:ascii="Century" w:hAnsi="Century" w:cs="Century"/>
          <w:rtl w:val="true"/>
        </w:rPr>
        <w:t>כפי שפורט לעיל</w:t>
      </w:r>
      <w:r>
        <w:rPr>
          <w:rFonts w:cs="Century" w:ascii="Century" w:hAnsi="Century"/>
          <w:rtl w:val="true"/>
        </w:rPr>
        <w:t xml:space="preserve">. </w:t>
      </w:r>
      <w:r>
        <w:rPr>
          <w:rFonts w:ascii="Century" w:hAnsi="Century" w:cs="Century"/>
          <w:rtl w:val="true"/>
        </w:rPr>
        <w:t>ומכאן ערעור המדינה</w:t>
      </w:r>
      <w:r>
        <w:rPr>
          <w:rFonts w:cs="Century" w:ascii="Century" w:hAnsi="Century"/>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cs="Miriam" w:ascii="Century" w:hAnsi="Century"/>
          <w:b/>
          <w:spacing w:val="0"/>
          <w:szCs w:val="24"/>
          <w:rtl w:val="true"/>
        </w:rPr>
        <w:br/>
      </w:r>
    </w:p>
    <w:p>
      <w:pPr>
        <w:pStyle w:val="Ruller4"/>
        <w:ind w:end="0"/>
        <w:jc w:val="both"/>
        <w:rPr>
          <w:rFonts w:ascii="Century" w:hAnsi="Century" w:cs="Miriam"/>
          <w:b/>
          <w:spacing w:val="0"/>
          <w:szCs w:val="24"/>
        </w:rPr>
      </w:pPr>
      <w:r>
        <w:rPr>
          <w:rFonts w:cs="Century" w:ascii="Century" w:hAnsi="Century"/>
        </w:rPr>
        <w:t>5</w:t>
      </w:r>
      <w:r>
        <w:rPr>
          <w:rFonts w:cs="Century" w:ascii="Century" w:hAnsi="Century"/>
          <w:rtl w:val="true"/>
        </w:rPr>
        <w:t>.</w:t>
        <w:tab/>
      </w:r>
      <w:r>
        <w:rPr>
          <w:rFonts w:ascii="Century" w:hAnsi="Century" w:cs="Century"/>
          <w:rtl w:val="true"/>
        </w:rPr>
        <w:t>המדינה סבורה כי העונש שהוטל על המשיב</w:t>
      </w:r>
      <w:r>
        <w:rPr>
          <w:rFonts w:cs="Century" w:ascii="Century" w:hAnsi="Century"/>
          <w:rtl w:val="true"/>
        </w:rPr>
        <w:t xml:space="preserve">, </w:t>
      </w:r>
      <w:r>
        <w:rPr>
          <w:rFonts w:ascii="Century" w:hAnsi="Century" w:cs="Century"/>
          <w:rtl w:val="true"/>
        </w:rPr>
        <w:t>הגם שאנו קל</w:t>
      </w:r>
      <w:r>
        <w:rPr>
          <w:rFonts w:cs="Century" w:ascii="Century" w:hAnsi="Century"/>
          <w:rtl w:val="true"/>
        </w:rPr>
        <w:t xml:space="preserve">, </w:t>
      </w:r>
      <w:r>
        <w:rPr>
          <w:rFonts w:ascii="Century" w:hAnsi="Century" w:cs="Century"/>
          <w:rtl w:val="true"/>
        </w:rPr>
        <w:t>מקל עימו יתר על המידה</w:t>
      </w:r>
      <w:r>
        <w:rPr>
          <w:rFonts w:cs="Century" w:ascii="Century" w:hAnsi="Century"/>
          <w:rtl w:val="true"/>
        </w:rPr>
        <w:t xml:space="preserve">; </w:t>
      </w:r>
      <w:r>
        <w:rPr>
          <w:rFonts w:ascii="Century" w:hAnsi="Century" w:cs="Century"/>
          <w:rtl w:val="true"/>
        </w:rPr>
        <w:t>אינו משקף את מידת הפגיעה בערכים המוגנים</w:t>
      </w:r>
      <w:r>
        <w:rPr>
          <w:rFonts w:cs="Century" w:ascii="Century" w:hAnsi="Century"/>
          <w:rtl w:val="true"/>
        </w:rPr>
        <w:t xml:space="preserve">; </w:t>
      </w:r>
      <w:r>
        <w:rPr>
          <w:rFonts w:ascii="Century" w:hAnsi="Century" w:cs="Century"/>
          <w:rtl w:val="true"/>
        </w:rPr>
        <w:t>אינו הולם את חומרת המעשה ואת מידת הפגיעה במתלוננת</w:t>
      </w:r>
      <w:r>
        <w:rPr>
          <w:rFonts w:cs="Century" w:ascii="Century" w:hAnsi="Century"/>
          <w:rtl w:val="true"/>
        </w:rPr>
        <w:t xml:space="preserve">; </w:t>
      </w:r>
      <w:r>
        <w:rPr>
          <w:rFonts w:ascii="Century" w:hAnsi="Century" w:cs="Century"/>
          <w:rtl w:val="true"/>
        </w:rPr>
        <w:t>אינו נותן משקל ראוי לביצוע חוזר נשנה של תקיפות בני משפחתו</w:t>
      </w:r>
      <w:r>
        <w:rPr>
          <w:rFonts w:cs="Century" w:ascii="Century" w:hAnsi="Century"/>
          <w:rtl w:val="true"/>
        </w:rPr>
        <w:t xml:space="preserve">; </w:t>
      </w:r>
      <w:r>
        <w:rPr>
          <w:rFonts w:ascii="Century" w:hAnsi="Century" w:cs="Century"/>
          <w:rtl w:val="true"/>
        </w:rPr>
        <w:t>אינו נותן מענה לצורך בהרחקת המשיב מבני משפחתו ומן הציבור בכללותו</w:t>
      </w:r>
      <w:r>
        <w:rPr>
          <w:rFonts w:cs="Century" w:ascii="Century" w:hAnsi="Century"/>
          <w:rtl w:val="true"/>
        </w:rPr>
        <w:t xml:space="preserve">, </w:t>
      </w:r>
      <w:r>
        <w:rPr>
          <w:rFonts w:ascii="Century" w:hAnsi="Century" w:cs="Century"/>
          <w:rtl w:val="true"/>
        </w:rPr>
        <w:t>לאור כישלון מאסרים קודמים בהרתעתו</w:t>
      </w:r>
      <w:r>
        <w:rPr>
          <w:rFonts w:cs="Century" w:ascii="Century" w:hAnsi="Century"/>
          <w:rtl w:val="true"/>
        </w:rPr>
        <w:t xml:space="preserve">. </w:t>
      </w:r>
      <w:r>
        <w:rPr>
          <w:rFonts w:ascii="Century" w:hAnsi="Century" w:cs="Century"/>
          <w:rtl w:val="true"/>
        </w:rPr>
        <w:t>המדינה אף סבורה כי מתחם העונש שנקבע נמוך במידה משמעותית מן המתחם ההולם את חומרת המעשה וכי מכל מקום היה על בית המשפט להעמיד את העונש ברף העליון של המתחם שקבע</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מבקשת המדינה כי נתערב בגזר הדין ונחמיר באופן משמעותי בעונשו של המשיב</w:t>
      </w:r>
      <w:r>
        <w:rPr>
          <w:rFonts w:cs="Century" w:ascii="Century" w:hAnsi="Century"/>
          <w:rtl w:val="true"/>
        </w:rPr>
        <w:t xml:space="preserve">. </w:t>
      </w:r>
      <w:r>
        <w:rPr>
          <w:rFonts w:cs="Miriam" w:ascii="Century" w:hAnsi="Century"/>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Century" w:ascii="Century" w:hAnsi="Century"/>
        </w:rPr>
        <w:t>6</w:t>
      </w:r>
      <w:r>
        <w:rPr>
          <w:rFonts w:cs="Century" w:ascii="Century" w:hAnsi="Century"/>
          <w:rtl w:val="true"/>
        </w:rPr>
        <w:t>.</w:t>
        <w:tab/>
      </w:r>
      <w:r>
        <w:rPr>
          <w:rFonts w:ascii="Century" w:hAnsi="Century" w:cs="Century"/>
          <w:rtl w:val="true"/>
        </w:rPr>
        <w:t>בא כוחו של המשיב ביקש לדחות את הערעור</w:t>
      </w:r>
      <w:r>
        <w:rPr>
          <w:rFonts w:cs="Century" w:ascii="Century" w:hAnsi="Century"/>
          <w:rtl w:val="true"/>
        </w:rPr>
        <w:t xml:space="preserve">, </w:t>
      </w:r>
      <w:r>
        <w:rPr>
          <w:rFonts w:ascii="Century" w:hAnsi="Century" w:cs="Century"/>
          <w:rtl w:val="true"/>
        </w:rPr>
        <w:t>משאינו עומד באמות המידה המצדיקות התערבות בית משפט זה במידת העונש</w:t>
      </w:r>
      <w:r>
        <w:rPr>
          <w:rFonts w:cs="Century" w:ascii="Century" w:hAnsi="Century"/>
          <w:rtl w:val="true"/>
        </w:rPr>
        <w:t xml:space="preserve">. </w:t>
      </w:r>
      <w:r>
        <w:rPr>
          <w:rFonts w:ascii="Century" w:hAnsi="Century" w:cs="Century"/>
          <w:rtl w:val="true"/>
        </w:rPr>
        <w:t>לשיטתו</w:t>
      </w:r>
      <w:r>
        <w:rPr>
          <w:rFonts w:cs="Century" w:ascii="Century" w:hAnsi="Century"/>
          <w:rtl w:val="true"/>
        </w:rPr>
        <w:t xml:space="preserve">, </w:t>
      </w:r>
      <w:r>
        <w:rPr>
          <w:rFonts w:ascii="Century" w:hAnsi="Century" w:cs="Century"/>
          <w:rtl w:val="true"/>
        </w:rPr>
        <w:t>בית המשפט המחוזי התייחס</w:t>
      </w:r>
      <w:r>
        <w:rPr>
          <w:rFonts w:cs="Century" w:ascii="Century" w:hAnsi="Century"/>
          <w:rtl w:val="true"/>
        </w:rPr>
        <w:t xml:space="preserve">, </w:t>
      </w:r>
      <w:r>
        <w:rPr>
          <w:rFonts w:ascii="Century" w:hAnsi="Century" w:cs="Century"/>
          <w:rtl w:val="true"/>
        </w:rPr>
        <w:t>כנדרש</w:t>
      </w:r>
      <w:r>
        <w:rPr>
          <w:rFonts w:cs="Century" w:ascii="Century" w:hAnsi="Century"/>
          <w:rtl w:val="true"/>
        </w:rPr>
        <w:t xml:space="preserve">, </w:t>
      </w:r>
      <w:r>
        <w:rPr>
          <w:rFonts w:ascii="Century" w:hAnsi="Century" w:cs="Century"/>
          <w:rtl w:val="true"/>
        </w:rPr>
        <w:t>למכלול שיקולי הענישה וקבע מתחם עונש הולם בהתאם למדיניות הענישה של בית משפט זה</w:t>
      </w:r>
      <w:r>
        <w:rPr>
          <w:rFonts w:cs="Century" w:ascii="Century" w:hAnsi="Century"/>
          <w:rtl w:val="true"/>
        </w:rPr>
        <w:t xml:space="preserve">, </w:t>
      </w:r>
      <w:r>
        <w:rPr>
          <w:rFonts w:ascii="Century" w:hAnsi="Century" w:cs="Century"/>
          <w:rtl w:val="true"/>
        </w:rPr>
        <w:t>והעונש שגזר בגדרו של המתחם</w:t>
      </w:r>
      <w:r>
        <w:rPr>
          <w:rFonts w:cs="Century" w:ascii="Century" w:hAnsi="Century"/>
          <w:rtl w:val="true"/>
        </w:rPr>
        <w:t xml:space="preserve">, </w:t>
      </w:r>
      <w:r>
        <w:rPr>
          <w:rFonts w:ascii="Century" w:hAnsi="Century" w:cs="Century"/>
          <w:rtl w:val="true"/>
        </w:rPr>
        <w:t>חמור ומרתיע</w:t>
      </w:r>
      <w:r>
        <w:rPr>
          <w:rFonts w:cs="Century" w:ascii="Century" w:hAnsi="Century"/>
          <w:rtl w:val="true"/>
        </w:rPr>
        <w:t xml:space="preserve">. </w:t>
      </w:r>
      <w:r>
        <w:rPr>
          <w:rFonts w:ascii="Century" w:hAnsi="Century" w:cs="Century"/>
          <w:rtl w:val="true"/>
        </w:rPr>
        <w:t>עוד הדגיש בא כוח המשיב כי המעשה לא נעשה מתוך תכנון מוקדם וכן הפנה לנסיבות חייו של המשיב</w:t>
      </w:r>
      <w:r>
        <w:rPr>
          <w:rFonts w:cs="Century" w:ascii="Century" w:hAnsi="Century"/>
          <w:rtl w:val="true"/>
        </w:rPr>
        <w:t xml:space="preserve">, </w:t>
      </w:r>
      <w:r>
        <w:rPr>
          <w:rFonts w:ascii="Century" w:hAnsi="Century" w:cs="Century"/>
          <w:rtl w:val="true"/>
        </w:rPr>
        <w:t>ובכלל זה להיבטים הטיפוליים הנוגעים למשפחתו ולו עצמו</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כידוע</w:t>
      </w:r>
      <w:r>
        <w:rPr>
          <w:rFonts w:cs="Century" w:ascii="Century" w:hAnsi="Century"/>
          <w:rtl w:val="true"/>
        </w:rPr>
        <w:t xml:space="preserve">, </w:t>
      </w:r>
      <w:r>
        <w:rPr>
          <w:rFonts w:ascii="Century" w:hAnsi="Century" w:cs="Century"/>
          <w:rtl w:val="true"/>
        </w:rPr>
        <w:t xml:space="preserve">התערבות ערכאת הערעור בגזר הדין שמורה למקרים חריגים בלבד שבהם חורג העונש במידה ניכרת ממדיניות הענישה הנוהגת או הראויה במקרים דומים או שנפל פגם מהותי בגזר הדין </w:t>
      </w:r>
      <w:r>
        <w:rPr>
          <w:rFonts w:cs="Century" w:ascii="Century" w:hAnsi="Century"/>
          <w:rtl w:val="true"/>
        </w:rPr>
        <w:t>(</w:t>
      </w:r>
      <w:hyperlink r:id="rId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864/19</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חינאוי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14</w:t>
      </w:r>
      <w:r>
        <w:rPr>
          <w:rFonts w:cs="Century" w:ascii="Century" w:hAnsi="Century"/>
          <w:rtl w:val="true"/>
        </w:rPr>
        <w:t xml:space="preserve"> (</w:t>
      </w:r>
      <w:r>
        <w:rPr>
          <w:rFonts w:cs="Century" w:ascii="Century" w:hAnsi="Century"/>
        </w:rPr>
        <w:t>10.7.2019</w:t>
      </w:r>
      <w:r>
        <w:rPr>
          <w:rFonts w:cs="Century" w:ascii="Century" w:hAnsi="Century"/>
          <w:rtl w:val="true"/>
        </w:rPr>
        <w:t xml:space="preserve">)). </w:t>
      </w:r>
      <w:r>
        <w:rPr>
          <w:rFonts w:ascii="Century" w:hAnsi="Century" w:cs="Century"/>
          <w:rtl w:val="true"/>
        </w:rPr>
        <w:t>העניין שלפנינו מצדיק התערבות על פי אמות מידה אלו</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8</w:t>
      </w:r>
      <w:r>
        <w:rPr>
          <w:rFonts w:cs="Century" w:ascii="Century" w:hAnsi="Century"/>
          <w:rtl w:val="true"/>
        </w:rPr>
        <w:t>.</w:t>
        <w:tab/>
      </w:r>
      <w:r>
        <w:rPr>
          <w:rFonts w:ascii="Century" w:hAnsi="Century" w:cs="Century"/>
          <w:rtl w:val="true"/>
        </w:rPr>
        <w:t>העונש שהוטל על המשיב</w:t>
      </w:r>
      <w:r>
        <w:rPr>
          <w:rFonts w:cs="Century" w:ascii="Century" w:hAnsi="Century"/>
          <w:rtl w:val="true"/>
        </w:rPr>
        <w:t xml:space="preserve">, </w:t>
      </w:r>
      <w:r>
        <w:rPr>
          <w:rFonts w:ascii="Century" w:hAnsi="Century" w:cs="Century"/>
          <w:rtl w:val="true"/>
        </w:rPr>
        <w:t>שש וחצי שנות מאסר בגין העבירה שביצע</w:t>
      </w:r>
      <w:r>
        <w:rPr>
          <w:rFonts w:cs="Century" w:ascii="Century" w:hAnsi="Century"/>
          <w:rtl w:val="true"/>
        </w:rPr>
        <w:t xml:space="preserve">, </w:t>
      </w:r>
      <w:r>
        <w:rPr>
          <w:rFonts w:ascii="Century" w:hAnsi="Century" w:cs="Century"/>
          <w:rtl w:val="true"/>
        </w:rPr>
        <w:t>אינו מבטא באופן ראוי את מכלול נסיבות החומרה שנשקלו וצוינו בגזר דינו של בית המשפט המחוזי</w:t>
      </w:r>
      <w:r>
        <w:rPr>
          <w:rFonts w:cs="Century" w:ascii="Century" w:hAnsi="Century"/>
          <w:rtl w:val="true"/>
        </w:rPr>
        <w:t xml:space="preserve">. </w:t>
      </w:r>
      <w:r>
        <w:rPr>
          <w:rFonts w:ascii="Century" w:hAnsi="Century" w:cs="Century"/>
          <w:rtl w:val="true"/>
        </w:rPr>
        <w:t>בכלל זה יש למנות את חומרת העבירה</w:t>
      </w:r>
      <w:r>
        <w:rPr>
          <w:rFonts w:cs="Century" w:ascii="Century" w:hAnsi="Century"/>
          <w:rtl w:val="true"/>
        </w:rPr>
        <w:t xml:space="preserve">, </w:t>
      </w:r>
      <w:r>
        <w:rPr>
          <w:rFonts w:ascii="Century" w:hAnsi="Century" w:cs="Century"/>
          <w:rtl w:val="true"/>
        </w:rPr>
        <w:t>שעונשה המירבי עומד על עשרים שנות מאסר</w:t>
      </w:r>
      <w:r>
        <w:rPr>
          <w:rFonts w:cs="Century" w:ascii="Century" w:hAnsi="Century"/>
          <w:rtl w:val="true"/>
        </w:rPr>
        <w:t xml:space="preserve">; </w:t>
      </w:r>
      <w:r>
        <w:rPr>
          <w:rFonts w:ascii="Century" w:hAnsi="Century" w:cs="Century"/>
          <w:rtl w:val="true"/>
        </w:rPr>
        <w:t>את העובדה שהמשיב דקר את המתלוננת בחלקי גוף שונים</w:t>
      </w:r>
      <w:r>
        <w:rPr>
          <w:rFonts w:cs="Century" w:ascii="Century" w:hAnsi="Century"/>
          <w:rtl w:val="true"/>
        </w:rPr>
        <w:t xml:space="preserve">, </w:t>
      </w:r>
      <w:r>
        <w:rPr>
          <w:rFonts w:ascii="Century" w:hAnsi="Century" w:cs="Century"/>
          <w:rtl w:val="true"/>
        </w:rPr>
        <w:t>באמצעות סכין בעלת להב ארוך והעמיד אותה בסכנת חיים</w:t>
      </w:r>
      <w:r>
        <w:rPr>
          <w:rFonts w:cs="Century" w:ascii="Century" w:hAnsi="Century"/>
          <w:rtl w:val="true"/>
        </w:rPr>
        <w:t xml:space="preserve">; </w:t>
      </w:r>
      <w:r>
        <w:rPr>
          <w:rFonts w:ascii="Century" w:hAnsi="Century" w:cs="Century"/>
          <w:rtl w:val="true"/>
        </w:rPr>
        <w:t>את העובדה שהמתלוננת היתה מאושפזת בבית חולים למשך תקופה של חמישה ימים</w:t>
      </w:r>
      <w:r>
        <w:rPr>
          <w:rFonts w:cs="Century" w:ascii="Century" w:hAnsi="Century"/>
          <w:rtl w:val="true"/>
        </w:rPr>
        <w:t xml:space="preserve">; </w:t>
      </w:r>
      <w:r>
        <w:rPr>
          <w:rFonts w:ascii="Century" w:hAnsi="Century" w:cs="Century"/>
          <w:rtl w:val="true"/>
        </w:rPr>
        <w:t>את העובדה כי ביצע את המעשה בבית המשפחה מקום בו אמורה המתלוננת להיות מוגנת ובטוחה מפני כל פגע</w:t>
      </w:r>
      <w:r>
        <w:rPr>
          <w:rFonts w:cs="Century" w:ascii="Century" w:hAnsi="Century"/>
          <w:rtl w:val="true"/>
        </w:rPr>
        <w:t xml:space="preserve">; </w:t>
      </w:r>
      <w:r>
        <w:rPr>
          <w:rFonts w:ascii="Century" w:hAnsi="Century" w:cs="Century"/>
          <w:rtl w:val="true"/>
        </w:rPr>
        <w:t>ואת העילה לדקירה והיא הסתייגותו מאירוסיה</w:t>
      </w:r>
      <w:r>
        <w:rPr>
          <w:rFonts w:cs="Century" w:ascii="Century" w:hAnsi="Century"/>
          <w:rtl w:val="true"/>
        </w:rPr>
        <w:t xml:space="preserve">. </w:t>
      </w:r>
      <w:r>
        <w:rPr>
          <w:rFonts w:ascii="Century" w:hAnsi="Century" w:cs="Century"/>
          <w:rtl w:val="true"/>
        </w:rPr>
        <w:t>בנסיבות אלו</w:t>
      </w:r>
      <w:r>
        <w:rPr>
          <w:rFonts w:cs="Century" w:ascii="Century" w:hAnsi="Century"/>
          <w:rtl w:val="true"/>
        </w:rPr>
        <w:t xml:space="preserve">, </w:t>
      </w:r>
      <w:r>
        <w:rPr>
          <w:rFonts w:ascii="Century" w:hAnsi="Century" w:cs="Century"/>
          <w:rtl w:val="true"/>
        </w:rPr>
        <w:t>שמהן עולה כי המשיב פעל באופן מידי וחסר מעצורים</w:t>
      </w:r>
      <w:r>
        <w:rPr>
          <w:rFonts w:cs="Century" w:ascii="Century" w:hAnsi="Century"/>
          <w:rtl w:val="true"/>
        </w:rPr>
        <w:t xml:space="preserve">, </w:t>
      </w:r>
      <w:r>
        <w:rPr>
          <w:rFonts w:ascii="Century" w:hAnsi="Century" w:cs="Century"/>
          <w:rtl w:val="true"/>
        </w:rPr>
        <w:t>כאשר לאחר שנוכח כי אחותו משוחחת בטלפון עם ארוסה ניגש למטבח הבית</w:t>
      </w:r>
      <w:r>
        <w:rPr>
          <w:rFonts w:cs="Century" w:ascii="Century" w:hAnsi="Century"/>
          <w:rtl w:val="true"/>
        </w:rPr>
        <w:t xml:space="preserve">, </w:t>
      </w:r>
      <w:r>
        <w:rPr>
          <w:rFonts w:ascii="Century" w:hAnsi="Century" w:cs="Century"/>
          <w:rtl w:val="true"/>
        </w:rPr>
        <w:t>הצטייד בסכין</w:t>
      </w:r>
      <w:r>
        <w:rPr>
          <w:rFonts w:cs="Century" w:ascii="Century" w:hAnsi="Century"/>
          <w:rtl w:val="true"/>
        </w:rPr>
        <w:t xml:space="preserve">, </w:t>
      </w:r>
      <w:r>
        <w:rPr>
          <w:rFonts w:ascii="Century" w:hAnsi="Century" w:cs="Century"/>
          <w:rtl w:val="true"/>
        </w:rPr>
        <w:t>חזר לחדר ודקר אותה</w:t>
      </w:r>
      <w:r>
        <w:rPr>
          <w:rFonts w:cs="Century" w:ascii="Century" w:hAnsi="Century"/>
          <w:rtl w:val="true"/>
        </w:rPr>
        <w:t xml:space="preserve">, </w:t>
      </w:r>
      <w:r>
        <w:rPr>
          <w:rFonts w:ascii="Century" w:hAnsi="Century" w:cs="Century"/>
          <w:rtl w:val="true"/>
        </w:rPr>
        <w:t>אין כל משמעות להיעדר תכנון מוקדם של המעשה</w:t>
      </w:r>
      <w:r>
        <w:rPr>
          <w:rFonts w:cs="Century" w:ascii="Century" w:hAnsi="Century"/>
          <w:rtl w:val="true"/>
        </w:rPr>
        <w:t xml:space="preserve">. </w:t>
      </w:r>
      <w:r>
        <w:rPr>
          <w:rFonts w:ascii="Century" w:hAnsi="Century" w:cs="Century"/>
          <w:rtl w:val="true"/>
        </w:rPr>
        <w:t>עוד יש להדגיש כי אין זה מקרה האלימות הראשון מצד המשיב כלפי בני משפחתו הקרובים</w:t>
      </w:r>
      <w:r>
        <w:rPr>
          <w:rFonts w:cs="Century" w:ascii="Century" w:hAnsi="Century"/>
          <w:rtl w:val="true"/>
        </w:rPr>
        <w:t xml:space="preserve">, </w:t>
      </w:r>
      <w:r>
        <w:rPr>
          <w:rFonts w:ascii="Century" w:hAnsi="Century" w:cs="Century"/>
          <w:rtl w:val="true"/>
        </w:rPr>
        <w:t>שכן בעבר ביצע כלפיהם מעשי אלימות בגינם הועמד לדין ואף ריצה עונשי מאסר</w:t>
      </w:r>
      <w:r>
        <w:rPr>
          <w:rFonts w:cs="Century" w:ascii="Century" w:hAnsi="Century"/>
          <w:rtl w:val="true"/>
        </w:rPr>
        <w:t xml:space="preserve">, </w:t>
      </w:r>
      <w:r>
        <w:rPr>
          <w:rFonts w:ascii="Century" w:hAnsi="Century" w:cs="Century"/>
          <w:rtl w:val="true"/>
        </w:rPr>
        <w:t>שהאחרון בהם מאסר לתקופה של שנתיים</w:t>
      </w:r>
      <w:r>
        <w:rPr>
          <w:rFonts w:cs="Century" w:ascii="Century" w:hAnsi="Century"/>
          <w:rtl w:val="true"/>
        </w:rPr>
        <w:t xml:space="preserve">. </w:t>
      </w:r>
      <w:r>
        <w:rPr>
          <w:rFonts w:ascii="Century" w:hAnsi="Century" w:cs="Century"/>
          <w:rtl w:val="true"/>
        </w:rPr>
        <w:t>והנה</w:t>
      </w:r>
      <w:r>
        <w:rPr>
          <w:rFonts w:cs="Century" w:ascii="Century" w:hAnsi="Century"/>
          <w:rtl w:val="true"/>
        </w:rPr>
        <w:t xml:space="preserve">, </w:t>
      </w:r>
      <w:r>
        <w:rPr>
          <w:rFonts w:ascii="Century" w:hAnsi="Century" w:cs="Century"/>
          <w:rtl w:val="true"/>
        </w:rPr>
        <w:t>המערער שב וביצע מעשה אלימות כלפי בת משפחתו</w:t>
      </w:r>
      <w:r>
        <w:rPr>
          <w:rFonts w:cs="Century" w:ascii="Century" w:hAnsi="Century"/>
          <w:rtl w:val="true"/>
        </w:rPr>
        <w:t xml:space="preserve">, </w:t>
      </w:r>
      <w:r>
        <w:rPr>
          <w:rFonts w:ascii="Century" w:hAnsi="Century" w:cs="Century"/>
          <w:rtl w:val="true"/>
        </w:rPr>
        <w:t>שאף עולה בחומרתו על מעשיו הקודמים</w:t>
      </w:r>
      <w:r>
        <w:rPr>
          <w:rFonts w:cs="Century" w:ascii="Century" w:hAnsi="Century"/>
          <w:rtl w:val="true"/>
        </w:rPr>
        <w:t xml:space="preserve">, </w:t>
      </w:r>
      <w:r>
        <w:rPr>
          <w:rFonts w:ascii="Century" w:hAnsi="Century" w:cs="Century"/>
          <w:rtl w:val="true"/>
        </w:rPr>
        <w:t>וזאת בשעה שעונש מאסר מותנה תלוי ועומד נגדו</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יש מקום ליתן משקל לעובדה שעונשי מאסר קודמים</w:t>
      </w:r>
      <w:r>
        <w:rPr>
          <w:rFonts w:cs="Century" w:ascii="Century" w:hAnsi="Century"/>
          <w:rtl w:val="true"/>
        </w:rPr>
        <w:t xml:space="preserve">, </w:t>
      </w:r>
      <w:r>
        <w:rPr>
          <w:rFonts w:ascii="Century" w:hAnsi="Century" w:cs="Century"/>
          <w:rtl w:val="true"/>
        </w:rPr>
        <w:t>כמו גם עונש מאסר מותנה</w:t>
      </w:r>
      <w:r>
        <w:rPr>
          <w:rFonts w:cs="Century" w:ascii="Century" w:hAnsi="Century"/>
          <w:rtl w:val="true"/>
        </w:rPr>
        <w:t xml:space="preserve">, </w:t>
      </w:r>
      <w:r>
        <w:rPr>
          <w:rFonts w:ascii="Century" w:hAnsi="Century" w:cs="Century"/>
          <w:rtl w:val="true"/>
        </w:rPr>
        <w:t>לא הרתיעו את המשיב ולא הביאו לשינוי דרכו</w:t>
      </w:r>
      <w:r>
        <w:rPr>
          <w:rFonts w:cs="Century" w:ascii="Century" w:hAnsi="Century"/>
          <w:rtl w:val="true"/>
        </w:rPr>
        <w:t xml:space="preserve">, </w:t>
      </w:r>
      <w:r>
        <w:rPr>
          <w:rFonts w:ascii="Century" w:hAnsi="Century" w:cs="Century"/>
          <w:rtl w:val="true"/>
        </w:rPr>
        <w:t>ויש צורך ממשי בהרחקתו מבני משפחתו והרתעתו לעתיד</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אל מול שיקולי חומרה אלו לא מתקיימים בענייננו שיקולים ממשיים לקולה</w:t>
      </w:r>
      <w:r>
        <w:rPr>
          <w:rFonts w:cs="Century" w:ascii="Century" w:hAnsi="Century"/>
          <w:rtl w:val="true"/>
        </w:rPr>
        <w:t xml:space="preserve">, </w:t>
      </w:r>
      <w:r>
        <w:rPr>
          <w:rFonts w:ascii="Century" w:hAnsi="Century" w:cs="Century"/>
          <w:rtl w:val="true"/>
        </w:rPr>
        <w:t>לבד מהודאת המשיב</w:t>
      </w:r>
      <w:r>
        <w:rPr>
          <w:rFonts w:cs="Century" w:ascii="Century" w:hAnsi="Century"/>
          <w:rtl w:val="true"/>
        </w:rPr>
        <w:t xml:space="preserve">, </w:t>
      </w:r>
      <w:r>
        <w:rPr>
          <w:rFonts w:ascii="Century" w:hAnsi="Century" w:cs="Century"/>
          <w:rtl w:val="true"/>
        </w:rPr>
        <w:t>שלא נלוותה אליה הבעת חרטה</w:t>
      </w:r>
      <w:r>
        <w:rPr>
          <w:rFonts w:cs="Century" w:ascii="Century" w:hAnsi="Century"/>
          <w:rtl w:val="true"/>
        </w:rPr>
        <w:t xml:space="preserve">, </w:t>
      </w:r>
      <w:r>
        <w:rPr>
          <w:rFonts w:ascii="Century" w:hAnsi="Century" w:cs="Century"/>
          <w:rtl w:val="true"/>
        </w:rPr>
        <w:t>ולקשייו בריצוי עונש המאסר</w:t>
      </w:r>
      <w:r>
        <w:rPr>
          <w:rFonts w:cs="Century" w:ascii="Century" w:hAnsi="Century"/>
          <w:rtl w:val="true"/>
        </w:rPr>
        <w:t xml:space="preserve">. </w:t>
      </w:r>
      <w:r>
        <w:rPr>
          <w:rFonts w:ascii="Century" w:hAnsi="Century" w:cs="Century"/>
          <w:rtl w:val="true"/>
        </w:rPr>
        <w:t>על רקע מכלול שיקולים אלו</w:t>
      </w:r>
      <w:r>
        <w:rPr>
          <w:rFonts w:cs="Century" w:ascii="Century" w:hAnsi="Century"/>
          <w:rtl w:val="true"/>
        </w:rPr>
        <w:t xml:space="preserve">, </w:t>
      </w:r>
      <w:r>
        <w:rPr>
          <w:rFonts w:ascii="Century" w:hAnsi="Century" w:cs="Century"/>
          <w:rtl w:val="true"/>
        </w:rPr>
        <w:t>לא היה מקום לגזור על המשיב עונש הנוטה לרף התחתון במתחם העונש שקבע בית המשפט</w:t>
      </w:r>
      <w:r>
        <w:rPr>
          <w:rFonts w:cs="Century" w:ascii="Century" w:hAnsi="Century"/>
          <w:rtl w:val="true"/>
        </w:rPr>
        <w:t xml:space="preserve">, </w:t>
      </w:r>
      <w:r>
        <w:rPr>
          <w:rFonts w:ascii="Century" w:hAnsi="Century" w:cs="Century"/>
          <w:rtl w:val="true"/>
        </w:rPr>
        <w:t>כפי שנעשה</w:t>
      </w:r>
      <w:r>
        <w:rPr>
          <w:rFonts w:cs="Century" w:ascii="Century" w:hAnsi="Century"/>
          <w:rtl w:val="true"/>
        </w:rPr>
        <w:t xml:space="preserve">, </w:t>
      </w:r>
      <w:r>
        <w:rPr>
          <w:rFonts w:ascii="Century" w:hAnsi="Century" w:cs="Century"/>
          <w:rtl w:val="true"/>
        </w:rPr>
        <w:t>אלא נכון היה להעמיד את העונש ברף העליון של המתחם שנקבע</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יוער בהקשר זה</w:t>
      </w:r>
      <w:r>
        <w:rPr>
          <w:rFonts w:cs="Century" w:ascii="Century" w:hAnsi="Century"/>
          <w:rtl w:val="true"/>
        </w:rPr>
        <w:t xml:space="preserve">, </w:t>
      </w:r>
      <w:r>
        <w:rPr>
          <w:rFonts w:ascii="Century" w:hAnsi="Century" w:cs="Century"/>
          <w:rtl w:val="true"/>
        </w:rPr>
        <w:t>כי אין בפסקי הדין של בית משפט זה</w:t>
      </w:r>
      <w:r>
        <w:rPr>
          <w:rFonts w:cs="Century" w:ascii="Century" w:hAnsi="Century"/>
          <w:rtl w:val="true"/>
        </w:rPr>
        <w:t xml:space="preserve">, </w:t>
      </w:r>
      <w:r>
        <w:rPr>
          <w:rFonts w:ascii="Century" w:hAnsi="Century" w:cs="Century"/>
          <w:rtl w:val="true"/>
        </w:rPr>
        <w:t>שאליהם הפנה בא כוח המשיב</w:t>
      </w:r>
      <w:r>
        <w:rPr>
          <w:rFonts w:cs="Century" w:ascii="Century" w:hAnsi="Century"/>
          <w:rtl w:val="true"/>
        </w:rPr>
        <w:t xml:space="preserve">, </w:t>
      </w:r>
      <w:r>
        <w:rPr>
          <w:rFonts w:ascii="Century" w:hAnsi="Century" w:cs="Century"/>
          <w:rtl w:val="true"/>
        </w:rPr>
        <w:t>כדי להצדיק דחיית הערעור והותרת העונש על כנו</w:t>
      </w:r>
      <w:r>
        <w:rPr>
          <w:rFonts w:cs="Century" w:ascii="Century" w:hAnsi="Century"/>
          <w:rtl w:val="true"/>
        </w:rPr>
        <w:t xml:space="preserve">. </w:t>
      </w:r>
      <w:r>
        <w:rPr>
          <w:rFonts w:ascii="Century" w:hAnsi="Century" w:cs="Century"/>
          <w:rtl w:val="true"/>
        </w:rPr>
        <w:t>המדובר במקרים שונים שבהם עמד בית משפט זה על החומרה היתרה שבעבירות אלימות</w:t>
      </w:r>
      <w:r>
        <w:rPr>
          <w:rFonts w:cs="Century" w:ascii="Century" w:hAnsi="Century"/>
          <w:rtl w:val="true"/>
        </w:rPr>
        <w:t xml:space="preserve">, </w:t>
      </w:r>
      <w:r>
        <w:rPr>
          <w:rFonts w:ascii="Century" w:hAnsi="Century" w:cs="Century"/>
          <w:rtl w:val="true"/>
        </w:rPr>
        <w:t>לרבות עבירות אלימות בנשק קר ועל מגמת ההחמרה בענישה</w:t>
      </w:r>
      <w:r>
        <w:rPr>
          <w:rFonts w:cs="Century" w:ascii="Century" w:hAnsi="Century"/>
          <w:rtl w:val="true"/>
        </w:rPr>
        <w:t xml:space="preserve">, </w:t>
      </w:r>
      <w:r>
        <w:rPr>
          <w:rFonts w:ascii="Century" w:hAnsi="Century" w:cs="Century"/>
          <w:rtl w:val="true"/>
        </w:rPr>
        <w:t>בדחותו ערעורים על חומרת העונש לאחר שבקביעת העונש באותם מקרים נלקחו בחשבון</w:t>
      </w:r>
      <w:r>
        <w:rPr>
          <w:rFonts w:cs="Century" w:ascii="Century" w:hAnsi="Century"/>
          <w:rtl w:val="true"/>
        </w:rPr>
        <w:t xml:space="preserve">, </w:t>
      </w:r>
      <w:r>
        <w:rPr>
          <w:rFonts w:ascii="Century" w:hAnsi="Century" w:cs="Century"/>
          <w:rtl w:val="true"/>
        </w:rPr>
        <w:t>על ידי הערכאה הדיונית</w:t>
      </w:r>
      <w:r>
        <w:rPr>
          <w:rFonts w:cs="Century" w:ascii="Century" w:hAnsi="Century"/>
          <w:rtl w:val="true"/>
        </w:rPr>
        <w:t xml:space="preserve">, </w:t>
      </w:r>
      <w:r>
        <w:rPr>
          <w:rFonts w:ascii="Century" w:hAnsi="Century" w:cs="Century"/>
          <w:rtl w:val="true"/>
        </w:rPr>
        <w:t xml:space="preserve">שיקולי קולה כדוגמת נטילת אחריות והבעת חרטה </w:t>
      </w:r>
      <w:r>
        <w:rPr>
          <w:rFonts w:cs="Century" w:ascii="Century" w:hAnsi="Century"/>
          <w:rtl w:val="true"/>
        </w:rPr>
        <w:t>(</w:t>
      </w:r>
      <w:hyperlink r:id="rId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799/19</w:t>
        </w:r>
      </w:hyperlink>
      <w:r>
        <w:rPr>
          <w:rFonts w:cs="Century" w:ascii="Century" w:hAnsi="Century"/>
          <w:rtl w:val="true"/>
        </w:rPr>
        <w:t xml:space="preserve"> </w:t>
      </w:r>
      <w:r>
        <w:rPr>
          <w:rFonts w:ascii="Century" w:hAnsi="Century" w:cs="Miriam"/>
          <w:b/>
          <w:b/>
          <w:spacing w:val="0"/>
          <w:szCs w:val="24"/>
          <w:rtl w:val="true"/>
        </w:rPr>
        <w:t>צ</w:t>
      </w:r>
      <w:r>
        <w:rPr>
          <w:rFonts w:cs="Miriam" w:ascii="Century" w:hAnsi="Century"/>
          <w:b/>
          <w:spacing w:val="0"/>
          <w:szCs w:val="24"/>
          <w:rtl w:val="true"/>
        </w:rPr>
        <w:t>'</w:t>
      </w:r>
      <w:r>
        <w:rPr>
          <w:rFonts w:ascii="Century" w:hAnsi="Century" w:cs="Miriam"/>
          <w:b/>
          <w:b/>
          <w:spacing w:val="0"/>
          <w:szCs w:val="24"/>
          <w:rtl w:val="true"/>
        </w:rPr>
        <w:t>קול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18.7.2019</w:t>
      </w:r>
      <w:r>
        <w:rPr>
          <w:rFonts w:cs="Century" w:ascii="Century" w:hAnsi="Century"/>
          <w:rtl w:val="true"/>
        </w:rPr>
        <w:t xml:space="preserve">)) </w:t>
      </w:r>
      <w:r>
        <w:rPr>
          <w:rFonts w:ascii="Century" w:hAnsi="Century" w:cs="Century"/>
          <w:rtl w:val="true"/>
        </w:rPr>
        <w:t xml:space="preserve">וגיל צעיר </w:t>
      </w:r>
      <w:r>
        <w:rPr>
          <w:rFonts w:cs="Century" w:ascii="Century" w:hAnsi="Century"/>
          <w:rtl w:val="true"/>
        </w:rPr>
        <w:t>(</w:t>
      </w:r>
      <w:hyperlink r:id="rId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954/17</w:t>
        </w:r>
      </w:hyperlink>
      <w:r>
        <w:rPr>
          <w:rFonts w:cs="Century" w:ascii="Century" w:hAnsi="Century"/>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עראר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10.6.2019</w:t>
      </w:r>
      <w:r>
        <w:rPr>
          <w:rFonts w:cs="Century" w:ascii="Century" w:hAnsi="Century"/>
          <w:rtl w:val="true"/>
        </w:rPr>
        <w:t xml:space="preserve">)). </w:t>
      </w:r>
      <w:r>
        <w:rPr>
          <w:rFonts w:ascii="Century" w:hAnsi="Century" w:cs="Century"/>
          <w:rtl w:val="true"/>
        </w:rPr>
        <w:t>שיקולים אלו אינם מתקיימים בעניינו של המשיב כאן</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9</w:t>
      </w:r>
      <w:r>
        <w:rPr>
          <w:rFonts w:cs="Century" w:ascii="Century" w:hAnsi="Century"/>
          <w:rtl w:val="true"/>
        </w:rPr>
        <w:t>.</w:t>
      </w:r>
      <w:r>
        <w:rPr>
          <w:rFonts w:cs="Century" w:ascii="Century" w:hAnsi="Century"/>
          <w:rtl w:val="true"/>
        </w:rPr>
        <w:tab/>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ובהתאם לכלל הנקוט בידינו לפיו אין ערכאת הערעור ממצה את הדין בערעור על קולת העונש </w:t>
      </w:r>
      <w:r>
        <w:rPr>
          <w:rFonts w:cs="Century" w:ascii="Century" w:hAnsi="Century"/>
          <w:rtl w:val="true"/>
        </w:rPr>
        <w:t>(</w:t>
      </w:r>
      <w:hyperlink r:id="rId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5466/19</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הוארי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21</w:t>
      </w:r>
      <w:r>
        <w:rPr>
          <w:rFonts w:cs="Century" w:ascii="Century" w:hAnsi="Century"/>
          <w:rtl w:val="true"/>
        </w:rPr>
        <w:t xml:space="preserve"> (</w:t>
      </w:r>
      <w:r>
        <w:rPr>
          <w:rFonts w:cs="Century" w:ascii="Century" w:hAnsi="Century"/>
        </w:rPr>
        <w:t>25.11.2019</w:t>
      </w:r>
      <w:r>
        <w:rPr>
          <w:rFonts w:cs="Century" w:ascii="Century" w:hAnsi="Century"/>
          <w:rtl w:val="true"/>
        </w:rPr>
        <w:t xml:space="preserve">)), </w:t>
      </w:r>
      <w:r>
        <w:rPr>
          <w:rFonts w:ascii="Century" w:hAnsi="Century" w:cs="Century"/>
          <w:rtl w:val="true"/>
        </w:rPr>
        <w:t>מצאנו כי יש להעמיד את עונשו של המשיב</w:t>
      </w:r>
      <w:r>
        <w:rPr>
          <w:rFonts w:cs="Century" w:ascii="Century" w:hAnsi="Century"/>
          <w:rtl w:val="true"/>
        </w:rPr>
        <w:t xml:space="preserve">, </w:t>
      </w:r>
      <w:r>
        <w:rPr>
          <w:rFonts w:ascii="Century" w:hAnsi="Century" w:cs="Century"/>
          <w:rtl w:val="true"/>
        </w:rPr>
        <w:t>בגין המעשה שביצע</w:t>
      </w:r>
      <w:r>
        <w:rPr>
          <w:rFonts w:cs="Century" w:ascii="Century" w:hAnsi="Century"/>
          <w:rtl w:val="true"/>
        </w:rPr>
        <w:t xml:space="preserve">, </w:t>
      </w:r>
      <w:r>
        <w:rPr>
          <w:rFonts w:ascii="Century" w:hAnsi="Century" w:cs="Century"/>
          <w:rtl w:val="true"/>
        </w:rPr>
        <w:t>על שמונה שנות מאסר</w:t>
      </w:r>
      <w:r>
        <w:rPr>
          <w:rFonts w:cs="Century" w:ascii="Century" w:hAnsi="Century"/>
          <w:rtl w:val="true"/>
        </w:rPr>
        <w:t xml:space="preserve">. </w:t>
      </w:r>
      <w:r>
        <w:rPr>
          <w:rFonts w:ascii="Century" w:hAnsi="Century" w:cs="Century"/>
          <w:rtl w:val="true"/>
        </w:rPr>
        <w:t>יתר רכיבי הענישה יעמדו בעינם</w:t>
      </w:r>
      <w:r>
        <w:rPr>
          <w:rFonts w:cs="Century" w:ascii="Century" w:hAnsi="Century"/>
          <w:rtl w:val="true"/>
        </w:rPr>
        <w:t xml:space="preserve">. </w:t>
      </w:r>
      <w:r>
        <w:rPr>
          <w:rFonts w:ascii="Century" w:hAnsi="Century" w:cs="Century"/>
          <w:rtl w:val="true"/>
        </w:rPr>
        <w:t>כך שעונשו הכולל</w:t>
      </w:r>
      <w:r>
        <w:rPr>
          <w:rFonts w:cs="Century" w:ascii="Century" w:hAnsi="Century"/>
          <w:rtl w:val="true"/>
        </w:rPr>
        <w:t xml:space="preserve">, </w:t>
      </w:r>
      <w:r>
        <w:rPr>
          <w:rFonts w:ascii="Century" w:hAnsi="Century" w:cs="Century"/>
          <w:rtl w:val="true"/>
        </w:rPr>
        <w:t>יחד עם עונש המאסר המותנה שהופעל במצטבר</w:t>
      </w:r>
      <w:r>
        <w:rPr>
          <w:rFonts w:cs="Century" w:ascii="Century" w:hAnsi="Century"/>
          <w:rtl w:val="true"/>
        </w:rPr>
        <w:t xml:space="preserve">, </w:t>
      </w:r>
      <w:r>
        <w:rPr>
          <w:rFonts w:ascii="Century" w:hAnsi="Century" w:cs="Century"/>
          <w:rtl w:val="true"/>
        </w:rPr>
        <w:t>יעמוד על שמונה וחצי שנות מאסר</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bookmarkStart w:id="15"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ט</w:t>
      </w:r>
      <w:r>
        <w:rPr>
          <w:rFonts w:cs="Century" w:ascii="Century" w:hAnsi="Century"/>
          <w:rtl w:val="true"/>
        </w:rPr>
        <w:t>"</w:t>
      </w:r>
      <w:r>
        <w:rPr>
          <w:rFonts w:ascii="Century" w:hAnsi="Century" w:cs="Century"/>
          <w:rtl w:val="true"/>
        </w:rPr>
        <w:t>ז</w:t>
      </w:r>
      <w:r>
        <w:rPr>
          <w:rFonts w:ascii="Century" w:hAnsi="Century" w:cs="Century"/>
          <w:rtl w:val="true"/>
        </w:rPr>
        <w:t xml:space="preserve"> </w:t>
      </w:r>
      <w:r>
        <w:rPr>
          <w:rFonts w:ascii="Century" w:hAnsi="Century" w:cs="Century"/>
          <w:rtl w:val="true"/>
        </w:rPr>
        <w:t>בטבת</w:t>
      </w:r>
      <w:r>
        <w:rPr>
          <w:rFonts w:ascii="Century" w:hAnsi="Century" w:cs="Century"/>
          <w:rtl w:val="true"/>
        </w:rPr>
        <w:t xml:space="preserve"> </w:t>
      </w:r>
      <w:r>
        <w:rPr>
          <w:rFonts w:ascii="Century" w:hAnsi="Century" w:cs="Century"/>
          <w:rtl w:val="true"/>
        </w:rPr>
        <w:t>התש</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tl w:val="true"/>
        </w:rPr>
        <w:t>(‏</w:t>
      </w:r>
      <w:r>
        <w:rPr>
          <w:rFonts w:cs="Century" w:ascii="Century" w:hAnsi="Century"/>
        </w:rPr>
        <w:t>13.1.2020</w:t>
      </w:r>
      <w:r>
        <w:rPr>
          <w:rFonts w:cs="Century" w:ascii="Century" w:hAnsi="Century"/>
          <w:rtl w:val="true"/>
        </w:rPr>
        <w:t xml:space="preserve">). </w:t>
      </w:r>
      <w:bookmarkEnd w:id="15"/>
    </w:p>
    <w:p>
      <w:pPr>
        <w:pStyle w:val="Ruller4"/>
        <w:ind w:end="0"/>
        <w:jc w:val="both"/>
        <w:rPr>
          <w:color w:val="FFFFFF"/>
          <w:sz w:val="2"/>
          <w:szCs w:val="2"/>
        </w:rPr>
      </w:pPr>
      <w:bookmarkStart w:id="16" w:name="Start_Write"/>
      <w:bookmarkEnd w:id="16"/>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color w:val="FFFFFF"/>
                <w:sz w:val="2"/>
                <w:szCs w:val="2"/>
              </w:rPr>
              <w:t>54678313</w:t>
            </w:r>
            <w:r>
              <w:rPr>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19040210</w:t>
      </w:r>
      <w:r>
        <w:rPr>
          <w:sz w:val="16"/>
          <w:rtl w:val="true"/>
        </w:rPr>
        <w:t>_</w:t>
      </w:r>
      <w:r>
        <w:rPr>
          <w:sz w:val="16"/>
        </w:rPr>
        <w:t>Q01.docx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0">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סולברג </w:t>
      </w:r>
      <w:r>
        <w:rPr>
          <w:rFonts w:cs="David" w:ascii="David" w:hAnsi="David"/>
          <w:color w:val="000000"/>
          <w:szCs w:val="22"/>
        </w:rPr>
        <w:t>54678313-4021/19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2"/>
      <w:footerReference w:type="default" r:id="rId1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4021/19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29.a.1" TargetMode="External"/><Relationship Id="rId4" Type="http://schemas.openxmlformats.org/officeDocument/2006/relationships/hyperlink" Target="http://www.nevo.co.il/law/70301/329.a.1" TargetMode="External"/><Relationship Id="rId5" Type="http://schemas.openxmlformats.org/officeDocument/2006/relationships/hyperlink" Target="http://www.nevo.co.il/law/70301" TargetMode="External"/><Relationship Id="rId6" Type="http://schemas.openxmlformats.org/officeDocument/2006/relationships/hyperlink" Target="http://www.nevo.co.il/case/25398447" TargetMode="External"/><Relationship Id="rId7" Type="http://schemas.openxmlformats.org/officeDocument/2006/relationships/hyperlink" Target="http://www.nevo.co.il/case/25388948" TargetMode="External"/><Relationship Id="rId8" Type="http://schemas.openxmlformats.org/officeDocument/2006/relationships/hyperlink" Target="http://www.nevo.co.il/case/22205829" TargetMode="External"/><Relationship Id="rId9" Type="http://schemas.openxmlformats.org/officeDocument/2006/relationships/hyperlink" Target="http://www.nevo.co.il/case/25940943" TargetMode="External"/><Relationship Id="rId10" Type="http://schemas.openxmlformats.org/officeDocument/2006/relationships/hyperlink" Target="http://supreme.court.gov.il/" TargetMode="External"/><Relationship Id="rId11" Type="http://schemas.openxmlformats.org/officeDocument/2006/relationships/hyperlink" Target="http://www.nevo.co.il/advertisements/nevo-100.doc"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2020-01-14T11:33:00Z</dcterms:created>
  <dc:creator>h4</dc:creator>
  <dc:description/>
  <cp:keywords/>
  <dc:language>en-IL</dc:language>
  <cp:lastModifiedBy>orly</cp:lastModifiedBy>
  <cp:lastPrinted>2020-01-13T10:06:00Z</cp:lastPrinted>
  <dcterms:modified xsi:type="dcterms:W3CDTF">2020-01-14T11:33:00Z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SLISTTMP1">
    <vt:lpwstr>25398447;25388948;22205829;25940943</vt:lpwstr>
  </property>
  <property fmtid="{D5CDD505-2E9C-101B-9397-08002B2CF9AE}" pid="9" name="CITY">
    <vt:lpwstr/>
  </property>
  <property fmtid="{D5CDD505-2E9C-101B-9397-08002B2CF9AE}" pid="10" name="DATE">
    <vt:lpwstr>20200113</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סולברג;ג' קרא;א' חיות</vt:lpwstr>
  </property>
  <property fmtid="{D5CDD505-2E9C-101B-9397-08002B2CF9AE}" pid="14" name="LAWLISTTMP1">
    <vt:lpwstr>70301/329.a.1</vt:lpwstr>
  </property>
  <property fmtid="{D5CDD505-2E9C-101B-9397-08002B2CF9AE}" pid="15" name="LAWYER">
    <vt:lpwstr>מוחמד מסארווה;רוני זלושינסקי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עבירות</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1446;1443;1446</vt:lpwstr>
  </property>
  <property fmtid="{D5CDD505-2E9C-101B-9397-08002B2CF9AE}" pid="48" name="NOSE31">
    <vt:lpwstr>מדיניות ענישה: התערבות ערכאת ערעור</vt:lpwstr>
  </property>
  <property fmtid="{D5CDD505-2E9C-101B-9397-08002B2CF9AE}" pid="49" name="NOSE310">
    <vt:lpwstr/>
  </property>
  <property fmtid="{D5CDD505-2E9C-101B-9397-08002B2CF9AE}" pid="50" name="NOSE32">
    <vt:lpwstr>חבלה בכוונה מחמירה</vt:lpwstr>
  </property>
  <property fmtid="{D5CDD505-2E9C-101B-9397-08002B2CF9AE}" pid="51" name="NOSE33">
    <vt:lpwstr>מדיניות ענישה: שיקולים לחומרה</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8982;8830;8995</vt:lpwstr>
  </property>
  <property fmtid="{D5CDD505-2E9C-101B-9397-08002B2CF9AE}" pid="59" name="PADIDATE">
    <vt:lpwstr>20200114</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4021</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410120200113</vt:lpwstr>
  </property>
  <property fmtid="{D5CDD505-2E9C-101B-9397-08002B2CF9AE}" pid="69" name="TYPE_N_DATE">
    <vt:lpwstr>41020200113</vt:lpwstr>
  </property>
  <property fmtid="{D5CDD505-2E9C-101B-9397-08002B2CF9AE}" pid="70" name="VOLUME">
    <vt:lpwstr/>
  </property>
  <property fmtid="{D5CDD505-2E9C-101B-9397-08002B2CF9AE}" pid="71" name="WORDNUMPAGES">
    <vt:lpwstr>6</vt:lpwstr>
  </property>
</Properties>
</file>