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4060/17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נאור</w:t>
            </w:r>
          </w:p>
        </w:tc>
      </w:tr>
    </w:tbl>
    <w:p>
      <w:pPr>
        <w:pStyle w:val="Ruller31"/>
        <w:ind w:end="0"/>
        <w:jc w:val="start"/>
        <w:rPr>
          <w:rFonts w:cs="Times New Roman;Arial Narrow"/>
          <w:b/>
          <w:bCs/>
          <w:sz w:val="32"/>
          <w:szCs w:val="32"/>
        </w:rPr>
      </w:pPr>
      <w:r>
        <w:rPr>
          <w:rFonts w:cs="Times New Roman;Arial Narrow"/>
          <w:b/>
          <w:bCs/>
          <w:sz w:val="32"/>
          <w:szCs w:val="32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;Arial Narrow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14.5.2017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42814-10-14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;Symbol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Miriam;Symbol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;Symbol"/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rFonts w:cs="Miriam;Symbol"/>
                <w:sz w:val="24"/>
                <w:szCs w:val="24"/>
                <w:rtl w:val="true"/>
              </w:rPr>
              <w:t>-</w:t>
            </w:r>
            <w:r>
              <w:rPr>
                <w:rFonts w:cs="Miriam;Symbol"/>
                <w:sz w:val="24"/>
                <w:sz w:val="24"/>
                <w:szCs w:val="24"/>
                <w:rtl w:val="true"/>
              </w:rPr>
              <w:t>מרום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;Arial Narrow"/>
          <w:sz w:val="28"/>
          <w:szCs w:val="28"/>
          <w:rtl w:val="true"/>
        </w:rPr>
        <w:t xml:space="preserve">                                           </w:t>
      </w:r>
    </w:p>
    <w:p>
      <w:pPr>
        <w:pStyle w:val="Ruller31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                    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sz w:val="28"/>
          <w:sz w:val="28"/>
          <w:szCs w:val="28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  <w:bookmarkStart w:id="3" w:name="LawTable"/>
      <w:bookmarkEnd w:id="3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383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393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77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146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Arial Narrow" w:hAnsi="Times New Roman;Arial Narrow" w:cs="FrankRuehl"/>
          <w:spacing w:val="0"/>
          <w:szCs w:val="26"/>
        </w:rPr>
      </w:pPr>
      <w:bookmarkStart w:id="4" w:name="ABSTRACT_START"/>
      <w:bookmarkStart w:id="5" w:name="LawTable_End"/>
      <w:bookmarkEnd w:id="4"/>
      <w:bookmarkEnd w:id="5"/>
      <w:r>
        <w:rPr>
          <w:rFonts w:ascii="Times New Roman;Arial Narrow" w:hAnsi="Times New Roman;Arial Narrow" w:cs="FrankRuehl"/>
          <w:spacing w:val="0"/>
          <w:szCs w:val="26"/>
          <w:rtl w:val="true"/>
        </w:rPr>
        <w:t>מיני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-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רציו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*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יש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שהתבטאויות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שופט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היושב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לדין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יביאו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לכדי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חשש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ממשי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למשוא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פנים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ויהוו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ראייה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לכך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אולם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ההלכה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הפסוקה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קובעת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שמקרים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אלו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נדירים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ביותר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ומחייבים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התבטאויות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בעלות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אופי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מובהק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ונחרץ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Arial Narrow" w:hAnsi="Times New Roman;Arial Narrow"/>
          <w:spacing w:val="0"/>
          <w:szCs w:val="26"/>
        </w:rPr>
      </w:pP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*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בתי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-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משפט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–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פסלות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שופט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–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חשש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ממשי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למשוא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פנים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Arial Narrow" w:hAnsi="Times New Roman;Arial Narrow" w:cs="FrankRuehl"/>
          <w:spacing w:val="0"/>
          <w:szCs w:val="26"/>
        </w:rPr>
      </w:pP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*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בתי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-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משפט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–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פסלות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שופט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–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Arial Narrow" w:hAnsi="Times New Roman;Arial Narrow" w:cs="FrankRuehl"/>
          <w:spacing w:val="0"/>
          <w:szCs w:val="26"/>
        </w:rPr>
      </w:pPr>
      <w:r>
        <w:rPr>
          <w:rFonts w:cs="FrankRuehl" w:ascii="Times New Roman;Arial Narrow" w:hAnsi="Times New Roman;Arial Narrow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Arial Narrow" w:hAnsi="Times New Roman;Arial Narrow" w:cs="FrankRuehl"/>
          <w:spacing w:val="0"/>
          <w:szCs w:val="26"/>
          <w:rtl w:val="true"/>
        </w:rPr>
        <w:t>נגד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המערער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הוגש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כתב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אישום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לפיו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יוחסו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חמישה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אישומים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שבמרכזם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ביצוע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עבירה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גניבה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בידי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מורשה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.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הערעור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הוא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החלטת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ביהמ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"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המחוזי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(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השופטת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מרשק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מרום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)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לפסול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עצמו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.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בערעורו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חזר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המערער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טענתו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המרכזית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לפיה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התבטאויותיו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המותב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במהלך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עדותו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מלמדות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חשש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ממשי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למשוא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פנים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ונעילת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דעתו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עובדה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המונעת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מהמערער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למעשה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קו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ההגנה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המרכזי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בחר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Arial Narrow" w:hAnsi="Times New Roman;Arial Narrow" w:cs="FrankRuehl"/>
          <w:spacing w:val="0"/>
          <w:szCs w:val="26"/>
        </w:rPr>
      </w:pPr>
      <w:r>
        <w:rPr>
          <w:rFonts w:cs="FrankRuehl" w:ascii="Times New Roman;Arial Narrow" w:hAnsi="Times New Roman;Arial Narrow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Arial Narrow" w:hAnsi="Times New Roman;Arial Narrow" w:cs="FrankRuehl"/>
          <w:spacing w:val="0"/>
          <w:szCs w:val="26"/>
          <w:rtl w:val="true"/>
        </w:rPr>
        <w:t>נשיאת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ביהמ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"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העליון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דחתה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הערעור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בקבעו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hyperlink r:id="rId11">
        <w:r>
          <w:rPr>
            <w:rStyle w:val="Hyperlink"/>
            <w:rFonts w:ascii="Times New Roman;Arial Narrow" w:hAnsi="Times New Roman;Arial Narrow" w:cs="FrankRuehl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;Arial Narrow" w:hAnsi="Times New Roman;Arial Narrow" w:cs="Times New Roman;Arial Narrow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;Arial Narrow" w:hAnsi="Times New Roman;Arial Narrow"/>
            <w:spacing w:val="0"/>
            <w:szCs w:val="26"/>
          </w:rPr>
          <w:t>77</w:t>
        </w:r>
        <w:r>
          <w:rPr>
            <w:rStyle w:val="Hyperlink"/>
            <w:rFonts w:ascii="Times New Roman;Arial Narrow" w:hAnsi="Times New Roman;Arial Narrow" w:cs="FrankRuehl"/>
            <w:spacing w:val="0"/>
            <w:szCs w:val="26"/>
            <w:rtl w:val="true"/>
          </w:rPr>
          <w:t>א</w:t>
        </w:r>
      </w:hyperlink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</w:t>
      </w:r>
      <w:hyperlink r:id="rId12">
        <w:r>
          <w:rPr>
            <w:rStyle w:val="Hyperlink"/>
            <w:rFonts w:ascii="Times New Roman;Arial Narrow" w:hAnsi="Times New Roman;Arial Narrow" w:cs="FrankRuehl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;Arial Narrow" w:hAnsi="Times New Roman;Arial Narrow" w:cs="Times New Roman;Arial Narrow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;Arial Narrow" w:hAnsi="Times New Roman;Arial Narrow" w:cs="FrankRuehl"/>
            <w:spacing w:val="0"/>
            <w:szCs w:val="26"/>
            <w:rtl w:val="true"/>
          </w:rPr>
          <w:t>בתי</w:t>
        </w:r>
        <w:r>
          <w:rPr>
            <w:rStyle w:val="Hyperlink"/>
            <w:rFonts w:ascii="Times New Roman;Arial Narrow" w:hAnsi="Times New Roman;Arial Narrow" w:cs="Times New Roman;Arial Narrow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;Arial Narrow" w:hAnsi="Times New Roman;Arial Narrow" w:cs="FrankRuehl"/>
            <w:spacing w:val="0"/>
            <w:szCs w:val="26"/>
            <w:rtl w:val="true"/>
          </w:rPr>
          <w:t>המשפט</w:t>
        </w:r>
      </w:hyperlink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קובע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המבחן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לפסלות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שופט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הוא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קיומן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נסיבות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שיש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בהן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כדי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ליצור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חשש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ממשי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למשוא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פנים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.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יש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שהתבטאויות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שופט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היושב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לדין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יביאו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לכדי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חשש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ממשי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למשוא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פנים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ויהוו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ראייה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לכך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אולם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ההלכה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הפסוקה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קובעת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שמקרים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אלו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נדירים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ביותר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ומחייבים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התבטאויות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בעלות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אופי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מובהק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ונחרץ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.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צריך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שההתבטאות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תלמד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השופט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גיבש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כבר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עמדה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נחרצת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כלפי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הנאשם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כלפי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אשמתו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עמדה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השוללת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אפשרות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סבירה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ניהול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המשפט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באופן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אובייקטיבי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והכרעה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במשפט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יסוד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הראיות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והטענות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שהובאו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לפני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השופט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.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מקרה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זה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אינו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נמנה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מקרים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נדירים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אלו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המערער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מנסה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להיבנות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ממספר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התבטאויות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המותב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שחלקן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מובאות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לראשונה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במסגרת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הערעור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.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דרך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הכלל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ישמע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ביהמ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"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בערעור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הפסלות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טענות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הובאו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במסגרת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בקשת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הפסלות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שהוגשה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לערכאה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הדיונית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.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אולם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לביהמ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"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שק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"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ד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במקרים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אלו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ובפרט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במקרים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בהם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הטענות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החדשות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אינן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אלא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ביטוי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נוסף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עילת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הפסלות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שנטענה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לפני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הערכאה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הדיונית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–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כפי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שמדובר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במקרה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דנן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.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החליטה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הנשיאה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לעיין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אף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בטענות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הנוספות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כדי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לחסוך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הליכים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דיוניים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נוספים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ומיותרים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.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למעשה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ההתבטאויות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וההחלטות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הדיוניות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כולן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גם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אלו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הנוספות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שהובאו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במסגרת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הערעור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,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אינן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מלמדות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אלא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מאמציו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המותב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למקד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עדות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המערער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לסוגיות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השנויות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במחלוקת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המופיעות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בכתב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האישום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 xml:space="preserve">.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משכך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אין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בהם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כדי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ללמד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חשש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ממשי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למשוא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פנים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של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המותב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או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על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חוסר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אובייקטיביות</w:t>
      </w:r>
      <w:r>
        <w:rPr>
          <w:rFonts w:ascii="Times New Roman;Arial Narrow" w:hAnsi="Times New Roman;Arial Narrow" w:cs="Times New Roman;Arial Narrow"/>
          <w:spacing w:val="0"/>
          <w:szCs w:val="26"/>
          <w:rtl w:val="true"/>
        </w:rPr>
        <w:t xml:space="preserve"> </w:t>
      </w:r>
      <w:r>
        <w:rPr>
          <w:rFonts w:ascii="Times New Roman;Arial Narrow" w:hAnsi="Times New Roman;Arial Narrow" w:cs="FrankRuehl"/>
          <w:spacing w:val="0"/>
          <w:szCs w:val="26"/>
          <w:rtl w:val="true"/>
        </w:rPr>
        <w:t>כלשהי</w:t>
      </w:r>
      <w:r>
        <w:rPr>
          <w:rFonts w:cs="FrankRuehl" w:ascii="Times New Roman;Arial Narrow" w:hAnsi="Times New Roman;Arial Narrow"/>
          <w:spacing w:val="0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;Arial Narrow" w:hAnsi="Times New Roman;Arial Narrow" w:cs="FrankRuehl"/>
          <w:spacing w:val="0"/>
          <w:szCs w:val="26"/>
        </w:rPr>
      </w:pPr>
      <w:r>
        <w:rPr>
          <w:rFonts w:cs="FrankRuehl"/>
          <w:spacing w:val="0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8" w:name="PsakDin"/>
            <w:bookmarkStart w:id="9" w:name="secretary"/>
            <w:bookmarkStart w:id="10" w:name="BeginProtocol"/>
            <w:bookmarkEnd w:id="8"/>
            <w:bookmarkEnd w:id="9"/>
            <w:bookmarkEnd w:id="10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sz w:val="26"/>
          <w:szCs w:val="26"/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11" w:name="Writer_Name"/>
      <w:bookmarkEnd w:id="11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לפניי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ד</w:t>
      </w:r>
      <w:r>
        <w:rPr>
          <w:rFonts w:cs="Miriam;Symbol"/>
          <w:spacing w:val="0"/>
          <w:sz w:val="24"/>
          <w:szCs w:val="24"/>
          <w:rtl w:val="true"/>
        </w:rPr>
        <w:t xml:space="preserve">' </w:t>
      </w:r>
      <w:r>
        <w:rPr>
          <w:rFonts w:cs="Miriam;Symbol"/>
          <w:spacing w:val="0"/>
          <w:sz w:val="24"/>
          <w:sz w:val="24"/>
          <w:szCs w:val="24"/>
          <w:rtl w:val="true"/>
        </w:rPr>
        <w:t>מרשק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מרום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14.5.2017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42814-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רקע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;Arial Narrow" w:ascii="Times New Roman;Arial Narrow" w:hAnsi="Times New Roman;Arial Narrow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27.10.2014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שבמרכזם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במקצועו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2011-2001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ככונס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עיזבון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המיסים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;Arial Narrow" w:ascii="Times New Roman;Arial Narrow" w:hAnsi="Times New Roman;Arial Narrow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קבוצת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מהטרדות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להתנכלויות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מקבוצת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bookmarkStart w:id="12" w:name="_ETM_Q_4894466"/>
      <w:bookmarkEnd w:id="12"/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12"/>
          <w:szCs w:val="12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מרשק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bookmarkStart w:id="13" w:name="_ETM_Q_4899673"/>
      <w:bookmarkEnd w:id="13"/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bookmarkStart w:id="14" w:name="_ETM_Q_4904526"/>
      <w:bookmarkEnd w:id="14"/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bookmarkStart w:id="15" w:name="_ETM_Q_4908479"/>
      <w:bookmarkEnd w:id="15"/>
      <w:r>
        <w:rPr>
          <w:rFonts w:cs="FrankRuehl"/>
          <w:sz w:val="28"/>
          <w:sz w:val="28"/>
          <w:szCs w:val="28"/>
          <w:rtl w:val="true"/>
        </w:rPr>
        <w:t>רלבנטי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להשמיץ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גבאי</w:t>
      </w:r>
      <w:r>
        <w:rPr>
          <w:rFonts w:cs="FrankRuehl"/>
          <w:sz w:val="28"/>
          <w:szCs w:val="28"/>
          <w:rtl w:val="true"/>
        </w:rPr>
        <w:t xml:space="preserve">, </w:t>
      </w:r>
      <w:bookmarkStart w:id="16" w:name="_ETM_Q_4914368"/>
      <w:bookmarkEnd w:id="16"/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12"/>
          <w:szCs w:val="12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בסחיטה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bookmarkStart w:id="17" w:name="_ETM_Q_4914644"/>
      <w:bookmarkEnd w:id="17"/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12"/>
          <w:szCs w:val="12"/>
          <w:rtl w:val="true"/>
        </w:rPr>
        <w:t xml:space="preserve"> </w:t>
      </w:r>
    </w:p>
    <w:p>
      <w:pPr>
        <w:pStyle w:val="Ruller5"/>
        <w:ind w:end="1282"/>
        <w:jc w:val="both"/>
        <w:rPr/>
      </w:pPr>
      <w:bookmarkStart w:id="18" w:name="_ETM_Q_4916597"/>
      <w:bookmarkEnd w:id="18"/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מרשק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12"/>
          <w:szCs w:val="12"/>
          <w:rtl w:val="true"/>
        </w:rPr>
        <w:t xml:space="preserve"> </w:t>
      </w:r>
    </w:p>
    <w:p>
      <w:pPr>
        <w:pStyle w:val="Ruller5"/>
        <w:ind w:end="1282"/>
        <w:jc w:val="both"/>
        <w:rPr/>
      </w:pPr>
      <w:bookmarkStart w:id="19" w:name="_ETM_Q_4917706"/>
      <w:bookmarkEnd w:id="19"/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bookmarkStart w:id="20" w:name="_ETM_Q_4919075"/>
      <w:bookmarkEnd w:id="20"/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סחיטה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12"/>
          <w:szCs w:val="12"/>
          <w:rtl w:val="true"/>
        </w:rPr>
        <w:t xml:space="preserve"> </w:t>
      </w:r>
    </w:p>
    <w:p>
      <w:pPr>
        <w:pStyle w:val="Ruller5"/>
        <w:ind w:end="1282"/>
        <w:jc w:val="both"/>
        <w:rPr/>
      </w:pPr>
      <w:bookmarkStart w:id="21" w:name="_ETM_Q_4935153"/>
      <w:bookmarkEnd w:id="21"/>
      <w:r>
        <w:rPr>
          <w:rFonts w:cs="FrankRuehl"/>
          <w:sz w:val="28"/>
          <w:szCs w:val="28"/>
          <w:rtl w:val="true"/>
        </w:rPr>
        <w:t xml:space="preserve">[...]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12"/>
          <w:szCs w:val="12"/>
          <w:rtl w:val="true"/>
        </w:rPr>
        <w:t xml:space="preserve"> </w:t>
      </w:r>
    </w:p>
    <w:p>
      <w:pPr>
        <w:pStyle w:val="Ruller5"/>
        <w:ind w:end="1282"/>
        <w:jc w:val="both"/>
        <w:rPr/>
      </w:pPr>
      <w:bookmarkStart w:id="22" w:name="_ETM_Q_4958770"/>
      <w:bookmarkEnd w:id="22"/>
      <w:r>
        <w:rPr>
          <w:rFonts w:eastAsia="Arial TUR;Arial" w:cs="Arial TUR;Arial"/>
          <w:sz w:val="12"/>
          <w:szCs w:val="12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מרשק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bookmarkStart w:id="23" w:name="_ETM_Q_4965276"/>
      <w:bookmarkEnd w:id="23"/>
      <w:r>
        <w:rPr>
          <w:rFonts w:cs="FrankRuehl"/>
          <w:sz w:val="28"/>
          <w:sz w:val="28"/>
          <w:szCs w:val="28"/>
          <w:rtl w:val="true"/>
        </w:rPr>
        <w:t>איזו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bookmarkStart w:id="24" w:name="_ETM_Q_4971015"/>
      <w:bookmarkEnd w:id="24"/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קונספירציה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cs="FrankRuehl"/>
          <w:sz w:val="28"/>
          <w:szCs w:val="28"/>
          <w:rtl w:val="true"/>
        </w:rPr>
        <w:t>."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32-23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10-1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;Arial Narrow" w:ascii="Times New Roman;Arial Narrow" w:hAnsi="Times New Roman;Arial Narrow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14.5.2017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שההאשמות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ממסע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ורדיפה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המאורגן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השמצה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החפצית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;Arial Narrow" w:ascii="Times New Roman;Arial Narrow" w:hAnsi="Times New Roman;Arial Narrow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14.5.2017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המצוטטות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גבאי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;Symbol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;Arial Narrow" w:ascii="Times New Roman;Arial Narrow" w:hAnsi="Times New Roman;Arial Narrow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שהתבטאויותיו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שבהתבטאויות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;Symbol"/>
          <w:spacing w:val="0"/>
          <w:sz w:val="24"/>
          <w:sz w:val="24"/>
          <w:szCs w:val="24"/>
          <w:rtl w:val="true"/>
        </w:rPr>
        <w:t>דיון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Arial TUR;Arial" w:ascii="Arial TUR;Arial" w:hAnsi="Arial TUR;Arial"/>
          <w:sz w:val="22"/>
          <w:szCs w:val="22"/>
        </w:rPr>
        <w:t>6</w:t>
      </w:r>
      <w:r>
        <w:rPr>
          <w:rFonts w:cs="Arial TUR;Arial" w:ascii="Arial TUR;Arial" w:hAnsi="Arial TUR;Arial"/>
          <w:sz w:val="22"/>
          <w:szCs w:val="22"/>
          <w:rtl w:val="true"/>
        </w:rPr>
        <w:t>.</w:t>
      </w:r>
      <w:r>
        <w:rPr>
          <w:rFonts w:cs="Times New Roman;Arial Narrow" w:ascii="Times New Roman;Arial Narrow" w:hAnsi="Times New Roman;Arial Narrow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</w:r>
      <w:r>
        <w:rPr>
          <w:rFonts w:cs="Times New Roman;Arial Narrow" w:ascii="Times New Roman;Arial Narrow" w:hAnsi="Times New Roman;Arial Narrow"/>
          <w:sz w:val="14"/>
          <w:szCs w:val="14"/>
          <w:rtl w:val="true"/>
        </w:rPr>
        <w:t xml:space="preserve">            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המשפט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שהתבטאויות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ויהוו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655/77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מאירי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לב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ונחרץ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"[...]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שההתבטאות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FrankRuehl"/>
          <w:sz w:val="28"/>
          <w:szCs w:val="28"/>
          <w:rtl w:val="true"/>
        </w:rPr>
        <w:t>." (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1988/94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בראון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להרחבה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יגאל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מרזל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דיני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פסלות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;Symbol"/>
          <w:spacing w:val="0"/>
          <w:sz w:val="24"/>
          <w:sz w:val="24"/>
          <w:szCs w:val="24"/>
          <w:rtl w:val="true"/>
        </w:rPr>
        <w:t>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191-189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;Symbol"/>
          <w:spacing w:val="0"/>
          <w:sz w:val="24"/>
          <w:sz w:val="24"/>
          <w:szCs w:val="24"/>
          <w:rtl w:val="true"/>
        </w:rPr>
        <w:t>מרזל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;Arial Narrow" w:ascii="Times New Roman;Arial Narrow" w:hAnsi="Times New Roman;Arial Narrow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14.5.2017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;Symbol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;Symbol"/>
          <w:spacing w:val="0"/>
          <w:rtl w:val="true"/>
        </w:rPr>
        <w:t>סדר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;Symbol"/>
          <w:spacing w:val="0"/>
          <w:rtl w:val="true"/>
        </w:rPr>
        <w:t>הדין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;Symbol"/>
          <w:spacing w:val="0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הקובעות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2872/02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;Symbol"/>
          <w:spacing w:val="0"/>
          <w:rtl w:val="true"/>
        </w:rPr>
        <w:t>יחיא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;Symbol"/>
          <w:spacing w:val="0"/>
          <w:rtl w:val="true"/>
        </w:rPr>
        <w:t>נ</w:t>
      </w:r>
      <w:r>
        <w:rPr>
          <w:rFonts w:cs="Miriam;Symbol"/>
          <w:spacing w:val="0"/>
          <w:rtl w:val="true"/>
        </w:rPr>
        <w:t xml:space="preserve">' </w:t>
      </w:r>
      <w:r>
        <w:rPr>
          <w:rFonts w:cs="Miriam;Symbol"/>
          <w:spacing w:val="0"/>
          <w:rtl w:val="true"/>
        </w:rPr>
        <w:t>בנק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;Symbol"/>
          <w:spacing w:val="0"/>
          <w:rtl w:val="true"/>
        </w:rPr>
        <w:t>הפועלים</w:t>
      </w:r>
      <w:r>
        <w:rPr>
          <w:rFonts w:cs="Miriam;Symbol"/>
          <w:spacing w:val="0"/>
          <w:rtl w:val="true"/>
        </w:rPr>
        <w:t xml:space="preserve">, </w:t>
      </w:r>
      <w:r>
        <w:rPr>
          <w:rFonts w:cs="Miriam;Symbol"/>
          <w:spacing w:val="0"/>
          <w:rtl w:val="true"/>
        </w:rPr>
        <w:t>סניף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;Symbol"/>
          <w:spacing w:val="0"/>
          <w:rtl w:val="true"/>
        </w:rPr>
        <w:t>מעלות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15.4.2002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;Symbol"/>
          <w:spacing w:val="0"/>
          <w:rtl w:val="true"/>
        </w:rPr>
        <w:t>מרזל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לחסוך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ומיותרים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ההתבטאויות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מאמציו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36"/>
          <w:szCs w:val="36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eastAsia="Arial TUR;Arial" w:cs="Arial TUR;Arial" w:ascii="Arial TUR;Arial" w:hAnsi="Arial TUR;Arial"/>
          <w:sz w:val="28"/>
          <w:szCs w:val="28"/>
          <w:rtl w:val="true"/>
        </w:rPr>
        <w:t xml:space="preserve">          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 TUR;Arial" w:hAnsi="Arial TUR;Arial"/>
          <w:sz w:val="28"/>
          <w:szCs w:val="28"/>
          <w:rtl w:val="true"/>
        </w:rPr>
        <w:t>, ‏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כ</w:t>
      </w:r>
      <w:r>
        <w:rPr>
          <w:rFonts w:cs="FrankRuehl" w:ascii="Arial TUR;Arial" w:hAnsi="Arial TUR;Arial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באייר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התשע</w:t>
      </w:r>
      <w:r>
        <w:rPr>
          <w:rFonts w:cs="FrankRuehl" w:ascii="Arial TUR;Arial" w:hAnsi="Arial TUR;Arial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z w:val="28"/>
          <w:sz w:val="28"/>
          <w:szCs w:val="28"/>
          <w:rtl w:val="true"/>
        </w:rPr>
        <w:t>ז</w:t>
      </w:r>
      <w:r>
        <w:rPr>
          <w:rFonts w:ascii="Arial TUR;Arial" w:hAnsi="Arial TUR;Arial" w:eastAsia="Arial TUR;Arial" w:cs="Arial TUR;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z w:val="28"/>
          <w:szCs w:val="28"/>
          <w:rtl w:val="true"/>
        </w:rPr>
        <w:t>(‏</w:t>
      </w:r>
      <w:r>
        <w:rPr>
          <w:rFonts w:cs="FrankRuehl" w:ascii="Arial TUR;Arial" w:hAnsi="Arial TUR;Arial"/>
          <w:sz w:val="28"/>
          <w:szCs w:val="28"/>
        </w:rPr>
        <w:t>21.5.2017</w:t>
      </w:r>
      <w:r>
        <w:rPr>
          <w:rFonts w:cs="FrankRuehl" w:ascii="Arial TUR;Arial" w:hAnsi="Arial TUR;Arial"/>
          <w:sz w:val="28"/>
          <w:szCs w:val="28"/>
          <w:rtl w:val="true"/>
        </w:rPr>
        <w:t xml:space="preserve">). </w:t>
      </w:r>
      <w:r>
        <w:rPr>
          <w:rFonts w:cs="Miriam;Symbol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25" w:name="Start_Write"/>
      <w:bookmarkEnd w:id="2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color w:val="FFFFFF"/>
                <w:sz w:val="2"/>
                <w:szCs w:val="2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17040600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C01.doc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דז</w:t>
      </w:r>
    </w:p>
    <w:p>
      <w:pPr>
        <w:pStyle w:val="Ruller381"/>
        <w:ind w:end="0"/>
        <w:jc w:val="start"/>
        <w:rPr/>
      </w:pPr>
      <w:r>
        <w:rPr>
          <w:rFonts w:cs="David;Times New Roman"/>
          <w:color w:val="FFFFFF"/>
          <w:sz w:val="2"/>
          <w:szCs w:val="2"/>
        </w:rPr>
        <w:t>5129371</w:t>
      </w: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2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/>
          <w:color w:val="FFFFFF"/>
          <w:sz w:val="2"/>
          <w:szCs w:val="2"/>
        </w:rPr>
        <w:t>54678313</w:t>
      </w:r>
      <w:r>
        <w:rPr>
          <w:rFonts w:cs="David;Times New Roman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;Times New Roman" w:hAnsi="David;Times New Roman" w:cs="David;Times New Roman"/>
          <w:color w:val="FFFFFF"/>
          <w:sz w:val="2"/>
          <w:szCs w:val="2"/>
        </w:rPr>
      </w:pPr>
      <w:r>
        <w:rPr>
          <w:rFonts w:cs="David;Times New Roman" w:ascii="David;Times New Roman" w:hAnsi="David;Times New Roman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27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4"/>
          <w:u w:val="single"/>
        </w:rPr>
      </w:pPr>
      <w:r>
        <w:rPr>
          <w:rFonts w:cs="David;Times New Roman" w:ascii="David;Times New Roman" w:hAnsi="David;Times New Roman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מ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נאור </w:t>
      </w:r>
      <w:r>
        <w:rPr>
          <w:rFonts w:cs="David;Times New Roman" w:ascii="David;Times New Roman" w:hAnsi="David;Times New Roman"/>
          <w:color w:val="000000"/>
        </w:rPr>
        <w:t>54678313-4060/17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;Times New Roman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Arial Narrow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4060/17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עו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"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ד דוד לוי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;Arial Narrow" w:hAnsi="Times New Roman;Arial Narrow" w:eastAsia="Times New Roman;Arial Narrow" w:cs="Times New Roman;Arial Narrow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1971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83" TargetMode="External"/><Relationship Id="rId5" Type="http://schemas.openxmlformats.org/officeDocument/2006/relationships/hyperlink" Target="http://www.nevo.co.il/law/70301/393" TargetMode="External"/><Relationship Id="rId6" Type="http://schemas.openxmlformats.org/officeDocument/2006/relationships/hyperlink" Target="http://www.nevo.co.il/law/74849" TargetMode="External"/><Relationship Id="rId7" Type="http://schemas.openxmlformats.org/officeDocument/2006/relationships/hyperlink" Target="http://www.nevo.co.il/law/74849/77a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146.c" TargetMode="External"/><Relationship Id="rId10" Type="http://schemas.openxmlformats.org/officeDocument/2006/relationships/hyperlink" Target="http://www.nevo.co.il/law/74903/147.c" TargetMode="External"/><Relationship Id="rId11" Type="http://schemas.openxmlformats.org/officeDocument/2006/relationships/hyperlink" Target="http://www.nevo.co.il/law/74849/77a" TargetMode="External"/><Relationship Id="rId12" Type="http://schemas.openxmlformats.org/officeDocument/2006/relationships/hyperlink" Target="http://www.nevo.co.il/law/74849" TargetMode="External"/><Relationship Id="rId13" Type="http://schemas.openxmlformats.org/officeDocument/2006/relationships/hyperlink" Target="http://www.nevo.co.il/case/18119719" TargetMode="External"/><Relationship Id="rId14" Type="http://schemas.openxmlformats.org/officeDocument/2006/relationships/hyperlink" Target="http://www.nevo.co.il/law/70301/393" TargetMode="External"/><Relationship Id="rId15" Type="http://schemas.openxmlformats.org/officeDocument/2006/relationships/hyperlink" Target="http://www.nevo.co.il/law/70301/383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4849/77a" TargetMode="External"/><Relationship Id="rId18" Type="http://schemas.openxmlformats.org/officeDocument/2006/relationships/hyperlink" Target="http://www.nevo.co.il/law/74849" TargetMode="External"/><Relationship Id="rId19" Type="http://schemas.openxmlformats.org/officeDocument/2006/relationships/hyperlink" Target="http://www.nevo.co.il/case/17945474" TargetMode="External"/><Relationship Id="rId20" Type="http://schemas.openxmlformats.org/officeDocument/2006/relationships/hyperlink" Target="http://www.nevo.co.il/case/17914129" TargetMode="External"/><Relationship Id="rId21" Type="http://schemas.openxmlformats.org/officeDocument/2006/relationships/hyperlink" Target="http://www.nevo.co.il/law/74903/146.c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case/5862056" TargetMode="External"/><Relationship Id="rId24" Type="http://schemas.openxmlformats.org/officeDocument/2006/relationships/hyperlink" Target="http://www.nevo.co.il/law/74903/147.c" TargetMode="External"/><Relationship Id="rId25" Type="http://schemas.openxmlformats.org/officeDocument/2006/relationships/hyperlink" Target="http://www.nevo.co.il/law/74903" TargetMode="External"/><Relationship Id="rId26" Type="http://schemas.openxmlformats.org/officeDocument/2006/relationships/hyperlink" Target="http://www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2017-05-22T11:13:00Z</dcterms:created>
  <dc:creator> </dc:creator>
  <dc:description/>
  <cp:keywords/>
  <dc:language>en-IL</dc:language>
  <cp:lastModifiedBy>orly</cp:lastModifiedBy>
  <dcterms:modified xsi:type="dcterms:W3CDTF">2017-05-22T11:13:00Z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עו#ד דוד לוי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18119719:2;17945474;17914129;5862056</vt:lpwstr>
  </property>
  <property fmtid="{D5CDD505-2E9C-101B-9397-08002B2CF9AE}" pid="9" name="CITY">
    <vt:lpwstr/>
  </property>
  <property fmtid="{D5CDD505-2E9C-101B-9397-08002B2CF9AE}" pid="10" name="DATE">
    <vt:lpwstr>20170521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נאור</vt:lpwstr>
  </property>
  <property fmtid="{D5CDD505-2E9C-101B-9397-08002B2CF9AE}" pid="14" name="LAWLISTTMP1">
    <vt:lpwstr>70301/393;383</vt:lpwstr>
  </property>
  <property fmtid="{D5CDD505-2E9C-101B-9397-08002B2CF9AE}" pid="15" name="LAWLISTTMP2">
    <vt:lpwstr>74849/077a</vt:lpwstr>
  </property>
  <property fmtid="{D5CDD505-2E9C-101B-9397-08002B2CF9AE}" pid="16" name="LAWLISTTMP3">
    <vt:lpwstr>74903/146.c;147.c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בתי-משפט</vt:lpwstr>
  </property>
  <property fmtid="{D5CDD505-2E9C-101B-9397-08002B2CF9AE}" pid="29" name="NOSE110">
    <vt:lpwstr/>
  </property>
  <property fmtid="{D5CDD505-2E9C-101B-9397-08002B2CF9AE}" pid="30" name="NOSE12">
    <vt:lpwstr>בתי-משפט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14;14</vt:lpwstr>
  </property>
  <property fmtid="{D5CDD505-2E9C-101B-9397-08002B2CF9AE}" pid="39" name="NOSE21">
    <vt:lpwstr>פסלות שופט</vt:lpwstr>
  </property>
  <property fmtid="{D5CDD505-2E9C-101B-9397-08002B2CF9AE}" pid="40" name="NOSE210">
    <vt:lpwstr/>
  </property>
  <property fmtid="{D5CDD505-2E9C-101B-9397-08002B2CF9AE}" pid="41" name="NOSE22">
    <vt:lpwstr>פסלות שופט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336;336</vt:lpwstr>
  </property>
  <property fmtid="{D5CDD505-2E9C-101B-9397-08002B2CF9AE}" pid="50" name="NOSE31">
    <vt:lpwstr>חשש ממשי למשוא פנים</vt:lpwstr>
  </property>
  <property fmtid="{D5CDD505-2E9C-101B-9397-08002B2CF9AE}" pid="51" name="NOSE310">
    <vt:lpwstr/>
  </property>
  <property fmtid="{D5CDD505-2E9C-101B-9397-08002B2CF9AE}" pid="52" name="NOSE32">
    <vt:lpwstr>ערעור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17095;2759</vt:lpwstr>
  </property>
  <property fmtid="{D5CDD505-2E9C-101B-9397-08002B2CF9AE}" pid="61" name="PADIDATE">
    <vt:lpwstr>20170522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4060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410120170521</vt:lpwstr>
  </property>
  <property fmtid="{D5CDD505-2E9C-101B-9397-08002B2CF9AE}" pid="71" name="TYPE_N_DATE">
    <vt:lpwstr>41020170521</vt:lpwstr>
  </property>
  <property fmtid="{D5CDD505-2E9C-101B-9397-08002B2CF9AE}" pid="72" name="VOLUME">
    <vt:lpwstr/>
  </property>
  <property fmtid="{D5CDD505-2E9C-101B-9397-08002B2CF9AE}" pid="73" name="WORDNUMPAGES">
    <vt:lpwstr>6</vt:lpwstr>
  </property>
</Properties>
</file>